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62B" w:rsidRPr="002D7F26" w:rsidRDefault="00CA062B" w:rsidP="00CA062B">
      <w:pPr>
        <w:jc w:val="center"/>
        <w:rPr>
          <w:rFonts w:ascii="Verdana" w:hAnsi="Verdana"/>
          <w:b/>
          <w:sz w:val="20"/>
          <w:szCs w:val="20"/>
          <w:lang w:val="en-GB"/>
        </w:rPr>
      </w:pPr>
    </w:p>
    <w:p w:rsidR="00CA062B" w:rsidRPr="002D7F26" w:rsidRDefault="00CA062B" w:rsidP="00CA062B">
      <w:pPr>
        <w:jc w:val="center"/>
        <w:rPr>
          <w:rFonts w:ascii="Verdana" w:hAnsi="Verdana"/>
          <w:b/>
          <w:sz w:val="20"/>
          <w:szCs w:val="20"/>
          <w:lang w:val="en-GB"/>
        </w:rPr>
      </w:pPr>
      <w:r w:rsidRPr="002D7F26">
        <w:rPr>
          <w:rFonts w:ascii="Verdana" w:hAnsi="Verdana"/>
          <w:b/>
          <w:sz w:val="20"/>
          <w:szCs w:val="20"/>
          <w:lang w:val="en-GB"/>
        </w:rPr>
        <w:t>Extended Project Qualification Online Workshops</w:t>
      </w:r>
    </w:p>
    <w:p w:rsidR="00CA062B" w:rsidRPr="002D7F26" w:rsidRDefault="00CA062B" w:rsidP="00CA062B">
      <w:pPr>
        <w:jc w:val="center"/>
        <w:rPr>
          <w:rFonts w:ascii="Verdana" w:hAnsi="Verdana"/>
          <w:b/>
          <w:sz w:val="20"/>
          <w:szCs w:val="20"/>
          <w:lang w:val="en-GB"/>
        </w:rPr>
      </w:pPr>
    </w:p>
    <w:p w:rsidR="00CA062B" w:rsidRPr="002D7F26" w:rsidRDefault="00CA062B" w:rsidP="00CA062B">
      <w:pPr>
        <w:jc w:val="center"/>
        <w:rPr>
          <w:rFonts w:ascii="Verdana" w:hAnsi="Verdana"/>
          <w:b/>
          <w:sz w:val="20"/>
          <w:szCs w:val="20"/>
          <w:lang w:val="en-GB"/>
        </w:rPr>
      </w:pPr>
      <w:r w:rsidRPr="002D7F26">
        <w:rPr>
          <w:rFonts w:ascii="Verdana" w:hAnsi="Verdana"/>
          <w:b/>
          <w:sz w:val="20"/>
          <w:szCs w:val="20"/>
          <w:lang w:val="en-GB"/>
        </w:rPr>
        <w:t>Notes for teachers</w:t>
      </w:r>
    </w:p>
    <w:p w:rsidR="00CA062B" w:rsidRPr="002D7F26" w:rsidRDefault="00CA062B">
      <w:pPr>
        <w:rPr>
          <w:rFonts w:ascii="Verdana" w:hAnsi="Verdana"/>
          <w:sz w:val="20"/>
          <w:szCs w:val="20"/>
          <w:lang w:val="en-GB"/>
        </w:rPr>
      </w:pPr>
    </w:p>
    <w:p w:rsidR="00CA062B" w:rsidRPr="002D7F26" w:rsidRDefault="00CA062B">
      <w:pPr>
        <w:rPr>
          <w:rFonts w:ascii="Verdana" w:hAnsi="Verdana"/>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8253"/>
      </w:tblGrid>
      <w:tr w:rsidR="00CA062B" w:rsidRPr="00CA062B" w:rsidTr="00CB2C7E">
        <w:tc>
          <w:tcPr>
            <w:tcW w:w="2520" w:type="dxa"/>
          </w:tcPr>
          <w:p w:rsidR="00CA062B" w:rsidRPr="00CA062B" w:rsidRDefault="00CA062B">
            <w:pPr>
              <w:rPr>
                <w:rFonts w:ascii="Verdana" w:hAnsi="Verdana"/>
                <w:b/>
                <w:sz w:val="20"/>
                <w:szCs w:val="20"/>
                <w:lang w:val="en-GB"/>
              </w:rPr>
            </w:pPr>
            <w:r w:rsidRPr="00CA062B">
              <w:rPr>
                <w:rFonts w:ascii="Verdana" w:hAnsi="Verdana"/>
                <w:b/>
                <w:sz w:val="20"/>
                <w:szCs w:val="20"/>
                <w:lang w:val="en-GB"/>
              </w:rPr>
              <w:t>Title of workshop</w:t>
            </w:r>
          </w:p>
        </w:tc>
        <w:tc>
          <w:tcPr>
            <w:tcW w:w="8253" w:type="dxa"/>
          </w:tcPr>
          <w:p w:rsidR="00CA062B" w:rsidRPr="00CA062B" w:rsidRDefault="00CA062B">
            <w:pPr>
              <w:rPr>
                <w:rFonts w:ascii="Verdana" w:hAnsi="Verdana"/>
                <w:sz w:val="20"/>
                <w:szCs w:val="20"/>
                <w:lang w:val="en-GB"/>
              </w:rPr>
            </w:pPr>
            <w:r w:rsidRPr="00CA062B">
              <w:rPr>
                <w:rFonts w:ascii="Verdana" w:hAnsi="Verdana"/>
                <w:sz w:val="20"/>
                <w:szCs w:val="20"/>
                <w:lang w:val="en-GB"/>
              </w:rPr>
              <w:t>Reading &amp; Note-taking</w:t>
            </w:r>
          </w:p>
        </w:tc>
      </w:tr>
      <w:tr w:rsidR="00CA062B" w:rsidRPr="00CA062B" w:rsidTr="00CB2C7E">
        <w:tc>
          <w:tcPr>
            <w:tcW w:w="2520" w:type="dxa"/>
          </w:tcPr>
          <w:p w:rsidR="00CA062B" w:rsidRPr="00CA062B" w:rsidRDefault="00CA062B">
            <w:pPr>
              <w:rPr>
                <w:rFonts w:ascii="Verdana" w:hAnsi="Verdana"/>
                <w:b/>
                <w:sz w:val="20"/>
                <w:szCs w:val="20"/>
                <w:lang w:val="en-GB"/>
              </w:rPr>
            </w:pPr>
            <w:r w:rsidRPr="00CA062B">
              <w:rPr>
                <w:rFonts w:ascii="Verdana" w:hAnsi="Verdana"/>
                <w:b/>
                <w:sz w:val="20"/>
                <w:szCs w:val="20"/>
                <w:lang w:val="en-GB"/>
              </w:rPr>
              <w:t>Length</w:t>
            </w:r>
          </w:p>
        </w:tc>
        <w:tc>
          <w:tcPr>
            <w:tcW w:w="8253" w:type="dxa"/>
          </w:tcPr>
          <w:p w:rsidR="00CA062B" w:rsidRPr="00CA062B" w:rsidRDefault="00CA062B">
            <w:pPr>
              <w:rPr>
                <w:rFonts w:ascii="Verdana" w:hAnsi="Verdana"/>
                <w:sz w:val="20"/>
                <w:szCs w:val="20"/>
                <w:lang w:val="en-GB"/>
              </w:rPr>
            </w:pPr>
            <w:r w:rsidRPr="00CA062B">
              <w:rPr>
                <w:rFonts w:ascii="Verdana" w:hAnsi="Verdana"/>
                <w:sz w:val="20"/>
                <w:szCs w:val="20"/>
                <w:lang w:val="en-GB"/>
              </w:rPr>
              <w:t>c. 45 minutes</w:t>
            </w:r>
          </w:p>
        </w:tc>
      </w:tr>
      <w:tr w:rsidR="00CA062B" w:rsidRPr="00CA062B" w:rsidTr="00CB2C7E">
        <w:tc>
          <w:tcPr>
            <w:tcW w:w="2520" w:type="dxa"/>
          </w:tcPr>
          <w:p w:rsidR="00CA062B" w:rsidRPr="00CA062B" w:rsidRDefault="00CA062B">
            <w:pPr>
              <w:rPr>
                <w:rFonts w:ascii="Verdana" w:hAnsi="Verdana"/>
                <w:b/>
                <w:sz w:val="20"/>
                <w:szCs w:val="20"/>
                <w:lang w:val="en-GB"/>
              </w:rPr>
            </w:pPr>
            <w:r w:rsidRPr="00CA062B">
              <w:rPr>
                <w:rFonts w:ascii="Verdana" w:hAnsi="Verdana"/>
                <w:b/>
                <w:sz w:val="20"/>
                <w:szCs w:val="20"/>
                <w:lang w:val="en-GB"/>
              </w:rPr>
              <w:t>Learning Objectives</w:t>
            </w:r>
          </w:p>
        </w:tc>
        <w:tc>
          <w:tcPr>
            <w:tcW w:w="8253" w:type="dxa"/>
          </w:tcPr>
          <w:p w:rsidR="00CA062B" w:rsidRPr="00CA062B" w:rsidRDefault="00CA062B" w:rsidP="00CA062B">
            <w:pPr>
              <w:numPr>
                <w:ilvl w:val="0"/>
                <w:numId w:val="3"/>
              </w:numPr>
              <w:rPr>
                <w:rFonts w:ascii="Verdana" w:hAnsi="Verdana"/>
                <w:sz w:val="20"/>
                <w:szCs w:val="20"/>
                <w:lang w:val="en-GB"/>
              </w:rPr>
            </w:pPr>
            <w:r w:rsidRPr="00CA062B">
              <w:rPr>
                <w:rFonts w:ascii="Verdana" w:hAnsi="Verdana"/>
                <w:sz w:val="20"/>
                <w:szCs w:val="20"/>
                <w:lang w:val="en-GB"/>
              </w:rPr>
              <w:t>Enable student to put appropriate amount of time and energy into whatever resource they are using for they research</w:t>
            </w:r>
          </w:p>
          <w:p w:rsidR="00CA062B" w:rsidRPr="00CA062B" w:rsidRDefault="00CA062B" w:rsidP="00CA062B">
            <w:pPr>
              <w:numPr>
                <w:ilvl w:val="0"/>
                <w:numId w:val="3"/>
              </w:numPr>
              <w:rPr>
                <w:rFonts w:ascii="Verdana" w:hAnsi="Verdana"/>
                <w:sz w:val="20"/>
                <w:szCs w:val="20"/>
                <w:lang w:val="en-GB"/>
              </w:rPr>
            </w:pPr>
            <w:r w:rsidRPr="00CA062B">
              <w:rPr>
                <w:rFonts w:ascii="Verdana" w:hAnsi="Verdana"/>
                <w:sz w:val="20"/>
                <w:szCs w:val="20"/>
                <w:lang w:val="en-GB"/>
              </w:rPr>
              <w:t>Provide students with reflective tools to utilise in order to decide how to approach a resource</w:t>
            </w:r>
          </w:p>
          <w:p w:rsidR="00CA062B" w:rsidRPr="00CA062B" w:rsidRDefault="00CA062B" w:rsidP="00CA062B">
            <w:pPr>
              <w:numPr>
                <w:ilvl w:val="0"/>
                <w:numId w:val="3"/>
              </w:numPr>
              <w:rPr>
                <w:rFonts w:ascii="Verdana" w:hAnsi="Verdana"/>
                <w:sz w:val="20"/>
                <w:szCs w:val="20"/>
                <w:lang w:val="en-GB"/>
              </w:rPr>
            </w:pPr>
            <w:r w:rsidRPr="00CA062B">
              <w:rPr>
                <w:rFonts w:ascii="Verdana" w:hAnsi="Verdana"/>
                <w:sz w:val="20"/>
                <w:szCs w:val="20"/>
                <w:lang w:val="en-GB"/>
              </w:rPr>
              <w:t>Raise awareness of the importance of note-taking and develop a deeper understanding of how and why one should take notes whilst reading / engaging with resources of any type.</w:t>
            </w:r>
          </w:p>
        </w:tc>
      </w:tr>
      <w:tr w:rsidR="00CA062B" w:rsidRPr="00CA062B" w:rsidTr="00CB2C7E">
        <w:tc>
          <w:tcPr>
            <w:tcW w:w="2520" w:type="dxa"/>
          </w:tcPr>
          <w:p w:rsidR="00CA062B" w:rsidRPr="00CA062B" w:rsidRDefault="00CA062B">
            <w:pPr>
              <w:rPr>
                <w:rFonts w:ascii="Verdana" w:hAnsi="Verdana"/>
                <w:b/>
                <w:sz w:val="20"/>
                <w:szCs w:val="20"/>
                <w:lang w:val="en-GB"/>
              </w:rPr>
            </w:pPr>
            <w:r w:rsidRPr="00CA062B">
              <w:rPr>
                <w:rFonts w:ascii="Verdana" w:hAnsi="Verdana"/>
                <w:b/>
                <w:sz w:val="20"/>
                <w:szCs w:val="20"/>
                <w:lang w:val="en-GB"/>
              </w:rPr>
              <w:t>Materials required</w:t>
            </w:r>
          </w:p>
        </w:tc>
        <w:tc>
          <w:tcPr>
            <w:tcW w:w="8253" w:type="dxa"/>
          </w:tcPr>
          <w:p w:rsidR="00CA062B" w:rsidRPr="00CA062B" w:rsidRDefault="00CA062B" w:rsidP="00CA062B">
            <w:pPr>
              <w:numPr>
                <w:ilvl w:val="0"/>
                <w:numId w:val="1"/>
              </w:numPr>
              <w:rPr>
                <w:rFonts w:ascii="Verdana" w:hAnsi="Verdana"/>
                <w:sz w:val="20"/>
                <w:szCs w:val="20"/>
                <w:lang w:val="en-GB"/>
              </w:rPr>
            </w:pPr>
            <w:r w:rsidRPr="00CA062B">
              <w:rPr>
                <w:rFonts w:ascii="Verdana" w:hAnsi="Verdana"/>
                <w:sz w:val="20"/>
                <w:szCs w:val="20"/>
                <w:lang w:val="en-GB"/>
              </w:rPr>
              <w:t xml:space="preserve">Students should be asked to bring a book relevant to their Extended Project to this session. It could be any book – perhaps one they’ve happened across and don’t know if it will be useful, one they’ve tried to read already, one they’re convinced is fundamental to their project. What is important is that they are largely unfamiliar with it. Textbooks would work well, as would any large volume. </w:t>
            </w:r>
          </w:p>
          <w:p w:rsidR="00CA062B" w:rsidRPr="00CA062B" w:rsidRDefault="00CA062B" w:rsidP="00CA062B">
            <w:pPr>
              <w:numPr>
                <w:ilvl w:val="0"/>
                <w:numId w:val="1"/>
              </w:numPr>
              <w:rPr>
                <w:rFonts w:ascii="Verdana" w:hAnsi="Verdana"/>
                <w:sz w:val="20"/>
                <w:szCs w:val="20"/>
                <w:lang w:val="en-GB"/>
              </w:rPr>
            </w:pPr>
            <w:r w:rsidRPr="00CA062B">
              <w:rPr>
                <w:rFonts w:ascii="Verdana" w:hAnsi="Verdana"/>
                <w:sz w:val="20"/>
                <w:szCs w:val="20"/>
                <w:lang w:val="en-GB"/>
              </w:rPr>
              <w:t xml:space="preserve">You may wish to give students a printed version of the presentation to take away. </w:t>
            </w:r>
          </w:p>
          <w:p w:rsidR="00CA062B" w:rsidRPr="00CA062B" w:rsidRDefault="00CA062B" w:rsidP="00CA062B">
            <w:pPr>
              <w:numPr>
                <w:ilvl w:val="0"/>
                <w:numId w:val="1"/>
              </w:numPr>
              <w:rPr>
                <w:rFonts w:ascii="Verdana" w:hAnsi="Verdana"/>
                <w:sz w:val="20"/>
                <w:szCs w:val="20"/>
                <w:lang w:val="en-GB"/>
              </w:rPr>
            </w:pPr>
            <w:r w:rsidRPr="00CA062B">
              <w:rPr>
                <w:rFonts w:ascii="Verdana" w:hAnsi="Verdana"/>
                <w:sz w:val="20"/>
                <w:szCs w:val="20"/>
                <w:lang w:val="en-GB"/>
              </w:rPr>
              <w:t xml:space="preserve">Students will need scraps of paper or post-it notes for Activity 3 (for bookmarking). </w:t>
            </w:r>
          </w:p>
          <w:p w:rsidR="00CA062B" w:rsidRPr="00CA062B" w:rsidRDefault="00CA062B">
            <w:pPr>
              <w:rPr>
                <w:rFonts w:ascii="Verdana" w:hAnsi="Verdana"/>
                <w:sz w:val="20"/>
                <w:szCs w:val="20"/>
                <w:lang w:val="en-GB"/>
              </w:rPr>
            </w:pPr>
          </w:p>
        </w:tc>
      </w:tr>
      <w:tr w:rsidR="00CA062B" w:rsidRPr="00CA062B" w:rsidTr="00CB2C7E">
        <w:tc>
          <w:tcPr>
            <w:tcW w:w="2520" w:type="dxa"/>
          </w:tcPr>
          <w:p w:rsidR="00CA062B" w:rsidRPr="00CA062B" w:rsidRDefault="00CA062B">
            <w:pPr>
              <w:rPr>
                <w:rFonts w:ascii="Verdana" w:hAnsi="Verdana"/>
                <w:b/>
                <w:sz w:val="20"/>
                <w:szCs w:val="20"/>
                <w:lang w:val="en-GB"/>
              </w:rPr>
            </w:pPr>
            <w:r w:rsidRPr="00CA062B">
              <w:rPr>
                <w:rFonts w:ascii="Verdana" w:hAnsi="Verdana"/>
                <w:b/>
                <w:sz w:val="20"/>
                <w:szCs w:val="20"/>
                <w:lang w:val="en-GB"/>
              </w:rPr>
              <w:t>Activities included</w:t>
            </w:r>
          </w:p>
        </w:tc>
        <w:tc>
          <w:tcPr>
            <w:tcW w:w="8253" w:type="dxa"/>
          </w:tcPr>
          <w:p w:rsidR="00CA062B" w:rsidRPr="00CA062B" w:rsidRDefault="00DA45C2">
            <w:pPr>
              <w:rPr>
                <w:rFonts w:ascii="Verdana" w:hAnsi="Verdana"/>
                <w:sz w:val="20"/>
                <w:szCs w:val="20"/>
                <w:lang w:val="en-GB"/>
              </w:rPr>
            </w:pPr>
            <w:r>
              <w:rPr>
                <w:rFonts w:ascii="Verdana" w:hAnsi="Verdana"/>
                <w:sz w:val="20"/>
                <w:szCs w:val="20"/>
                <w:lang w:val="en-GB"/>
              </w:rPr>
              <w:t xml:space="preserve">Bring a book – encouraging </w:t>
            </w:r>
            <w:r w:rsidR="00CA062B" w:rsidRPr="00CA062B">
              <w:rPr>
                <w:rFonts w:ascii="Verdana" w:hAnsi="Verdana"/>
                <w:sz w:val="20"/>
                <w:szCs w:val="20"/>
                <w:lang w:val="en-GB"/>
              </w:rPr>
              <w:t>student to habitually approach resources with an active, con</w:t>
            </w:r>
            <w:r>
              <w:rPr>
                <w:rFonts w:ascii="Verdana" w:hAnsi="Verdana"/>
                <w:sz w:val="20"/>
                <w:szCs w:val="20"/>
                <w:lang w:val="en-GB"/>
              </w:rPr>
              <w:t>s</w:t>
            </w:r>
            <w:r w:rsidR="00CA062B" w:rsidRPr="00CA062B">
              <w:rPr>
                <w:rFonts w:ascii="Verdana" w:hAnsi="Verdana"/>
                <w:sz w:val="20"/>
                <w:szCs w:val="20"/>
                <w:lang w:val="en-GB"/>
              </w:rPr>
              <w:t xml:space="preserve">cious approach, and in a systematic manor. </w:t>
            </w:r>
          </w:p>
          <w:p w:rsidR="00CA062B" w:rsidRPr="00CA062B" w:rsidRDefault="00CA062B">
            <w:pPr>
              <w:rPr>
                <w:rFonts w:ascii="Verdana" w:hAnsi="Verdana"/>
                <w:sz w:val="20"/>
                <w:szCs w:val="20"/>
                <w:lang w:val="en-GB"/>
              </w:rPr>
            </w:pPr>
          </w:p>
          <w:p w:rsidR="00CA062B" w:rsidRPr="00CA062B" w:rsidRDefault="00CA062B">
            <w:pPr>
              <w:rPr>
                <w:rFonts w:ascii="Verdana" w:hAnsi="Verdana"/>
                <w:sz w:val="20"/>
                <w:szCs w:val="20"/>
                <w:lang w:val="en-GB"/>
              </w:rPr>
            </w:pPr>
            <w:r w:rsidRPr="00CA062B">
              <w:rPr>
                <w:rFonts w:ascii="Verdana" w:hAnsi="Verdana"/>
                <w:b/>
                <w:sz w:val="20"/>
                <w:szCs w:val="20"/>
                <w:lang w:val="en-GB"/>
              </w:rPr>
              <w:t>Bring a Book Activity 1:</w:t>
            </w:r>
            <w:r w:rsidRPr="00CA062B">
              <w:rPr>
                <w:rFonts w:ascii="Verdana" w:hAnsi="Verdana"/>
                <w:sz w:val="20"/>
                <w:szCs w:val="20"/>
                <w:lang w:val="en-GB"/>
              </w:rPr>
              <w:t xml:space="preserve"> Quick Question (5-10 </w:t>
            </w:r>
            <w:proofErr w:type="spellStart"/>
            <w:r w:rsidRPr="00CA062B">
              <w:rPr>
                <w:rFonts w:ascii="Verdana" w:hAnsi="Verdana"/>
                <w:sz w:val="20"/>
                <w:szCs w:val="20"/>
                <w:lang w:val="en-GB"/>
              </w:rPr>
              <w:t>mins</w:t>
            </w:r>
            <w:proofErr w:type="spellEnd"/>
            <w:r w:rsidRPr="00CA062B">
              <w:rPr>
                <w:rFonts w:ascii="Verdana" w:hAnsi="Verdana"/>
                <w:sz w:val="20"/>
                <w:szCs w:val="20"/>
                <w:lang w:val="en-GB"/>
              </w:rPr>
              <w:t>)</w:t>
            </w:r>
          </w:p>
          <w:p w:rsidR="00CA062B" w:rsidRPr="00CA062B" w:rsidRDefault="00CA062B">
            <w:pPr>
              <w:rPr>
                <w:rFonts w:ascii="Verdana" w:hAnsi="Verdana"/>
                <w:sz w:val="20"/>
                <w:szCs w:val="20"/>
                <w:lang w:val="en-GB"/>
              </w:rPr>
            </w:pPr>
            <w:r w:rsidRPr="00CA062B">
              <w:rPr>
                <w:rFonts w:ascii="Verdana" w:hAnsi="Verdana"/>
                <w:sz w:val="20"/>
                <w:szCs w:val="20"/>
                <w:lang w:val="en-GB"/>
              </w:rPr>
              <w:t>Reflection on the reasons why student wants to look at the resource</w:t>
            </w:r>
          </w:p>
          <w:p w:rsidR="00CA062B" w:rsidRPr="00CA062B" w:rsidRDefault="00CA062B">
            <w:pPr>
              <w:rPr>
                <w:rFonts w:ascii="Verdana" w:hAnsi="Verdana"/>
                <w:sz w:val="20"/>
                <w:szCs w:val="20"/>
                <w:lang w:val="en-GB"/>
              </w:rPr>
            </w:pPr>
            <w:r w:rsidRPr="00CA062B">
              <w:rPr>
                <w:rFonts w:ascii="Verdana" w:hAnsi="Verdana"/>
                <w:b/>
                <w:sz w:val="20"/>
                <w:szCs w:val="20"/>
                <w:lang w:val="en-GB"/>
              </w:rPr>
              <w:t>Bring a Book Activity 2:</w:t>
            </w:r>
            <w:r w:rsidRPr="00CA062B">
              <w:rPr>
                <w:rFonts w:ascii="Verdana" w:hAnsi="Verdana"/>
                <w:sz w:val="20"/>
                <w:szCs w:val="20"/>
                <w:lang w:val="en-GB"/>
              </w:rPr>
              <w:t xml:space="preserve"> Flick! (up to 10 </w:t>
            </w:r>
            <w:proofErr w:type="spellStart"/>
            <w:r w:rsidRPr="00CA062B">
              <w:rPr>
                <w:rFonts w:ascii="Verdana" w:hAnsi="Verdana"/>
                <w:sz w:val="20"/>
                <w:szCs w:val="20"/>
                <w:lang w:val="en-GB"/>
              </w:rPr>
              <w:t>mins</w:t>
            </w:r>
            <w:proofErr w:type="spellEnd"/>
            <w:r w:rsidRPr="00CA062B">
              <w:rPr>
                <w:rFonts w:ascii="Verdana" w:hAnsi="Verdana"/>
                <w:sz w:val="20"/>
                <w:szCs w:val="20"/>
                <w:lang w:val="en-GB"/>
              </w:rPr>
              <w:t>)</w:t>
            </w:r>
            <w:r w:rsidRPr="00CA062B">
              <w:rPr>
                <w:rFonts w:ascii="Verdana" w:hAnsi="Verdana"/>
                <w:sz w:val="20"/>
                <w:szCs w:val="20"/>
                <w:lang w:val="en-GB"/>
              </w:rPr>
              <w:br/>
              <w:t>Familiarisation with the text</w:t>
            </w:r>
          </w:p>
          <w:p w:rsidR="00CA062B" w:rsidRPr="00CA062B" w:rsidRDefault="00CA062B">
            <w:pPr>
              <w:rPr>
                <w:rFonts w:ascii="Verdana" w:hAnsi="Verdana"/>
                <w:b/>
                <w:sz w:val="20"/>
                <w:szCs w:val="20"/>
                <w:lang w:val="en-GB"/>
              </w:rPr>
            </w:pPr>
          </w:p>
          <w:p w:rsidR="00CA062B" w:rsidRPr="00CA062B" w:rsidRDefault="00CA062B">
            <w:pPr>
              <w:rPr>
                <w:rFonts w:ascii="Verdana" w:hAnsi="Verdana"/>
                <w:sz w:val="20"/>
                <w:szCs w:val="20"/>
                <w:lang w:val="en-GB"/>
              </w:rPr>
            </w:pPr>
            <w:r w:rsidRPr="00CA062B">
              <w:rPr>
                <w:rFonts w:ascii="Verdana" w:hAnsi="Verdana"/>
                <w:b/>
                <w:sz w:val="20"/>
                <w:szCs w:val="20"/>
                <w:lang w:val="en-GB"/>
              </w:rPr>
              <w:t>Bring a Book Activity 3:</w:t>
            </w:r>
            <w:r w:rsidRPr="00CA062B">
              <w:rPr>
                <w:rFonts w:ascii="Verdana" w:hAnsi="Verdana"/>
                <w:sz w:val="20"/>
                <w:szCs w:val="20"/>
                <w:lang w:val="en-GB"/>
              </w:rPr>
              <w:t xml:space="preserve"> Bookmark (5 </w:t>
            </w:r>
            <w:proofErr w:type="spellStart"/>
            <w:r w:rsidRPr="00CA062B">
              <w:rPr>
                <w:rFonts w:ascii="Verdana" w:hAnsi="Verdana"/>
                <w:sz w:val="20"/>
                <w:szCs w:val="20"/>
                <w:lang w:val="en-GB"/>
              </w:rPr>
              <w:t>mins</w:t>
            </w:r>
            <w:proofErr w:type="spellEnd"/>
            <w:r w:rsidRPr="00CA062B">
              <w:rPr>
                <w:rFonts w:ascii="Verdana" w:hAnsi="Verdana"/>
                <w:sz w:val="20"/>
                <w:szCs w:val="20"/>
                <w:lang w:val="en-GB"/>
              </w:rPr>
              <w:t>)</w:t>
            </w:r>
          </w:p>
          <w:p w:rsidR="00CA062B" w:rsidRPr="00CA062B" w:rsidRDefault="00CA062B">
            <w:pPr>
              <w:rPr>
                <w:rFonts w:ascii="Verdana" w:hAnsi="Verdana"/>
                <w:sz w:val="20"/>
                <w:szCs w:val="20"/>
                <w:lang w:val="en-GB"/>
              </w:rPr>
            </w:pPr>
            <w:r w:rsidRPr="00CA062B">
              <w:rPr>
                <w:rFonts w:ascii="Verdana" w:hAnsi="Verdana"/>
                <w:sz w:val="20"/>
                <w:szCs w:val="20"/>
                <w:lang w:val="en-GB"/>
              </w:rPr>
              <w:t>Marking to return to sections later</w:t>
            </w:r>
          </w:p>
          <w:p w:rsidR="00CA062B" w:rsidRPr="00CA062B" w:rsidRDefault="00CA062B">
            <w:pPr>
              <w:rPr>
                <w:rFonts w:ascii="Verdana" w:hAnsi="Verdana"/>
                <w:sz w:val="20"/>
                <w:szCs w:val="20"/>
                <w:lang w:val="en-GB"/>
              </w:rPr>
            </w:pPr>
          </w:p>
          <w:p w:rsidR="00CA062B" w:rsidRPr="00CA062B" w:rsidRDefault="00CA062B">
            <w:pPr>
              <w:rPr>
                <w:rFonts w:ascii="Verdana" w:hAnsi="Verdana"/>
                <w:sz w:val="20"/>
                <w:szCs w:val="20"/>
                <w:lang w:val="en-GB"/>
              </w:rPr>
            </w:pPr>
            <w:r w:rsidRPr="00CA062B">
              <w:rPr>
                <w:rFonts w:ascii="Verdana" w:hAnsi="Verdana"/>
                <w:b/>
                <w:sz w:val="20"/>
                <w:szCs w:val="20"/>
                <w:lang w:val="en-GB"/>
              </w:rPr>
              <w:t xml:space="preserve">Activity 4: Practice note-taking </w:t>
            </w:r>
            <w:r w:rsidRPr="00CA062B">
              <w:rPr>
                <w:rFonts w:ascii="Verdana" w:hAnsi="Verdana"/>
                <w:sz w:val="20"/>
                <w:szCs w:val="20"/>
                <w:lang w:val="en-GB"/>
              </w:rPr>
              <w:t xml:space="preserve">(this is an extension activity, which can be used if you have longer than 45/50 </w:t>
            </w:r>
            <w:proofErr w:type="spellStart"/>
            <w:r w:rsidRPr="00CA062B">
              <w:rPr>
                <w:rFonts w:ascii="Verdana" w:hAnsi="Verdana"/>
                <w:sz w:val="20"/>
                <w:szCs w:val="20"/>
                <w:lang w:val="en-GB"/>
              </w:rPr>
              <w:t>mins</w:t>
            </w:r>
            <w:proofErr w:type="spellEnd"/>
            <w:r w:rsidRPr="00CA062B">
              <w:rPr>
                <w:rFonts w:ascii="Verdana" w:hAnsi="Verdana"/>
                <w:sz w:val="20"/>
                <w:szCs w:val="20"/>
                <w:lang w:val="en-GB"/>
              </w:rPr>
              <w:t xml:space="preserve"> available for your session)</w:t>
            </w:r>
          </w:p>
          <w:p w:rsidR="00CA062B" w:rsidRPr="00CA062B" w:rsidRDefault="00CA062B">
            <w:pPr>
              <w:rPr>
                <w:rFonts w:ascii="Verdana" w:hAnsi="Verdana"/>
                <w:sz w:val="20"/>
                <w:szCs w:val="20"/>
                <w:lang w:val="en-GB"/>
              </w:rPr>
            </w:pPr>
            <w:r w:rsidRPr="00CA062B">
              <w:rPr>
                <w:rFonts w:ascii="Verdana" w:hAnsi="Verdana"/>
                <w:sz w:val="20"/>
                <w:szCs w:val="20"/>
                <w:lang w:val="en-GB"/>
              </w:rPr>
              <w:t>Students take a small section of the text and practice note-taking, taking care to do so in the light of the reasons they have already identified for their engagement with the text.</w:t>
            </w:r>
          </w:p>
          <w:p w:rsidR="00CA062B" w:rsidRPr="00CA062B" w:rsidRDefault="00CA062B">
            <w:pPr>
              <w:rPr>
                <w:rFonts w:ascii="Verdana" w:hAnsi="Verdana"/>
                <w:sz w:val="20"/>
                <w:szCs w:val="20"/>
                <w:lang w:val="en-GB"/>
              </w:rPr>
            </w:pPr>
          </w:p>
        </w:tc>
      </w:tr>
      <w:tr w:rsidR="00CA062B" w:rsidRPr="00CA062B" w:rsidTr="00CB2C7E">
        <w:tc>
          <w:tcPr>
            <w:tcW w:w="2520" w:type="dxa"/>
          </w:tcPr>
          <w:p w:rsidR="00CA062B" w:rsidRPr="00CA062B" w:rsidRDefault="00CA062B">
            <w:pPr>
              <w:rPr>
                <w:rFonts w:ascii="Verdana" w:hAnsi="Verdana"/>
                <w:b/>
                <w:sz w:val="20"/>
                <w:szCs w:val="20"/>
                <w:lang w:val="en-GB"/>
              </w:rPr>
            </w:pPr>
            <w:r w:rsidRPr="00CA062B">
              <w:rPr>
                <w:rFonts w:ascii="Verdana" w:hAnsi="Verdana"/>
                <w:b/>
                <w:sz w:val="20"/>
                <w:szCs w:val="20"/>
                <w:lang w:val="en-GB"/>
              </w:rPr>
              <w:t>Session most relevant to students producing project type</w:t>
            </w:r>
          </w:p>
        </w:tc>
        <w:tc>
          <w:tcPr>
            <w:tcW w:w="8253" w:type="dxa"/>
          </w:tcPr>
          <w:p w:rsidR="00CA062B" w:rsidRPr="00CA062B" w:rsidRDefault="00CA062B">
            <w:pPr>
              <w:rPr>
                <w:rFonts w:ascii="Verdana" w:hAnsi="Verdana"/>
                <w:sz w:val="20"/>
                <w:szCs w:val="20"/>
                <w:lang w:val="en-GB"/>
              </w:rPr>
            </w:pPr>
            <w:r w:rsidRPr="00CA062B">
              <w:rPr>
                <w:rFonts w:ascii="Verdana" w:hAnsi="Verdana"/>
                <w:sz w:val="20"/>
                <w:szCs w:val="20"/>
                <w:lang w:val="en-GB"/>
              </w:rPr>
              <w:t xml:space="preserve">Dissertation </w:t>
            </w:r>
          </w:p>
          <w:p w:rsidR="00CA062B" w:rsidRPr="00CA062B" w:rsidRDefault="00CA062B">
            <w:pPr>
              <w:rPr>
                <w:rFonts w:ascii="Verdana" w:hAnsi="Verdana"/>
                <w:sz w:val="20"/>
                <w:szCs w:val="20"/>
                <w:lang w:val="en-GB"/>
              </w:rPr>
            </w:pPr>
            <w:r w:rsidRPr="00CA062B">
              <w:rPr>
                <w:rFonts w:ascii="Verdana" w:hAnsi="Verdana"/>
                <w:sz w:val="20"/>
                <w:szCs w:val="20"/>
                <w:lang w:val="en-GB"/>
              </w:rPr>
              <w:t xml:space="preserve">Investigation </w:t>
            </w:r>
          </w:p>
          <w:p w:rsidR="00CA062B" w:rsidRPr="00CA062B" w:rsidRDefault="00CA062B">
            <w:pPr>
              <w:rPr>
                <w:rFonts w:ascii="Verdana" w:hAnsi="Verdana"/>
                <w:sz w:val="20"/>
                <w:szCs w:val="20"/>
                <w:lang w:val="en-GB"/>
              </w:rPr>
            </w:pPr>
            <w:r w:rsidRPr="00CA062B">
              <w:rPr>
                <w:rFonts w:ascii="Verdana" w:hAnsi="Verdana"/>
                <w:sz w:val="20"/>
                <w:szCs w:val="20"/>
                <w:lang w:val="en-GB"/>
              </w:rPr>
              <w:t xml:space="preserve">Artefact </w:t>
            </w:r>
          </w:p>
          <w:p w:rsidR="00CA062B" w:rsidRPr="00CA062B" w:rsidRDefault="00CA062B">
            <w:pPr>
              <w:rPr>
                <w:rFonts w:ascii="Verdana" w:hAnsi="Verdana"/>
                <w:sz w:val="20"/>
                <w:szCs w:val="20"/>
                <w:lang w:val="en-GB"/>
              </w:rPr>
            </w:pPr>
            <w:r w:rsidRPr="00CA062B">
              <w:rPr>
                <w:rFonts w:ascii="Verdana" w:hAnsi="Verdana"/>
                <w:sz w:val="20"/>
                <w:szCs w:val="20"/>
                <w:lang w:val="en-GB"/>
              </w:rPr>
              <w:t xml:space="preserve">Performance </w:t>
            </w:r>
          </w:p>
          <w:p w:rsidR="00CA062B" w:rsidRPr="00CA062B" w:rsidRDefault="00CA062B">
            <w:pPr>
              <w:rPr>
                <w:rFonts w:ascii="Verdana" w:hAnsi="Verdana"/>
                <w:sz w:val="20"/>
                <w:szCs w:val="20"/>
                <w:lang w:val="en-GB"/>
              </w:rPr>
            </w:pPr>
          </w:p>
          <w:p w:rsidR="00CA062B" w:rsidRPr="00CA062B" w:rsidRDefault="00CA062B">
            <w:pPr>
              <w:rPr>
                <w:rFonts w:ascii="Verdana" w:hAnsi="Verdana"/>
                <w:sz w:val="20"/>
                <w:szCs w:val="20"/>
                <w:lang w:val="en-GB"/>
              </w:rPr>
            </w:pPr>
            <w:r w:rsidRPr="00CA062B">
              <w:rPr>
                <w:rFonts w:ascii="Verdana" w:hAnsi="Verdana"/>
                <w:sz w:val="20"/>
                <w:szCs w:val="20"/>
                <w:lang w:val="en-GB"/>
              </w:rPr>
              <w:t>Individuals in the group can be doing different types of Projects and be at different stages with their Projects, it won’t affect their ability to engage with the exercise.</w:t>
            </w:r>
          </w:p>
        </w:tc>
      </w:tr>
      <w:tr w:rsidR="00CA062B" w:rsidRPr="00CA062B" w:rsidTr="00CB2C7E">
        <w:tc>
          <w:tcPr>
            <w:tcW w:w="2520" w:type="dxa"/>
          </w:tcPr>
          <w:p w:rsidR="00CA062B" w:rsidRPr="00CA062B" w:rsidRDefault="00CA062B">
            <w:pPr>
              <w:rPr>
                <w:rFonts w:ascii="Verdana" w:hAnsi="Verdana"/>
                <w:b/>
                <w:sz w:val="20"/>
                <w:szCs w:val="20"/>
                <w:lang w:val="en-GB"/>
              </w:rPr>
            </w:pPr>
            <w:r w:rsidRPr="00CA062B">
              <w:rPr>
                <w:rFonts w:ascii="Verdana" w:hAnsi="Verdana"/>
                <w:b/>
                <w:sz w:val="20"/>
                <w:szCs w:val="20"/>
                <w:lang w:val="en-GB"/>
              </w:rPr>
              <w:t>Links to other workshops</w:t>
            </w:r>
          </w:p>
        </w:tc>
        <w:tc>
          <w:tcPr>
            <w:tcW w:w="8253" w:type="dxa"/>
          </w:tcPr>
          <w:p w:rsidR="00CA062B" w:rsidRPr="00CA062B" w:rsidRDefault="00CA062B">
            <w:pPr>
              <w:rPr>
                <w:rFonts w:ascii="Verdana" w:hAnsi="Verdana"/>
                <w:sz w:val="20"/>
                <w:szCs w:val="20"/>
                <w:lang w:val="en-GB"/>
              </w:rPr>
            </w:pPr>
            <w:r w:rsidRPr="00CA062B">
              <w:rPr>
                <w:rFonts w:ascii="Verdana" w:hAnsi="Verdana"/>
                <w:sz w:val="20"/>
                <w:szCs w:val="20"/>
                <w:lang w:val="en-GB"/>
              </w:rPr>
              <w:t>Getting Started</w:t>
            </w:r>
          </w:p>
          <w:p w:rsidR="00CA062B" w:rsidRPr="00CA062B" w:rsidRDefault="00CA062B">
            <w:pPr>
              <w:rPr>
                <w:rFonts w:ascii="Verdana" w:hAnsi="Verdana"/>
                <w:sz w:val="20"/>
                <w:szCs w:val="20"/>
                <w:lang w:val="en-GB"/>
              </w:rPr>
            </w:pPr>
            <w:r w:rsidRPr="00CA062B">
              <w:rPr>
                <w:rFonts w:ascii="Verdana" w:hAnsi="Verdana"/>
                <w:sz w:val="20"/>
                <w:szCs w:val="20"/>
                <w:lang w:val="en-GB"/>
              </w:rPr>
              <w:t>Referencing, not Plagiarising</w:t>
            </w:r>
          </w:p>
          <w:p w:rsidR="00CA062B" w:rsidRPr="00CA062B" w:rsidRDefault="00CA062B">
            <w:pPr>
              <w:rPr>
                <w:rFonts w:ascii="Verdana" w:hAnsi="Verdana"/>
                <w:sz w:val="20"/>
                <w:szCs w:val="20"/>
                <w:lang w:val="en-GB"/>
              </w:rPr>
            </w:pPr>
            <w:r w:rsidRPr="00CA062B">
              <w:rPr>
                <w:rFonts w:ascii="Verdana" w:hAnsi="Verdana"/>
                <w:sz w:val="20"/>
                <w:szCs w:val="20"/>
                <w:lang w:val="en-GB"/>
              </w:rPr>
              <w:t>Report Writing</w:t>
            </w:r>
          </w:p>
          <w:p w:rsidR="00CA062B" w:rsidRPr="00CA062B" w:rsidRDefault="00CA062B">
            <w:pPr>
              <w:rPr>
                <w:rFonts w:ascii="Verdana" w:hAnsi="Verdana"/>
                <w:sz w:val="20"/>
                <w:szCs w:val="20"/>
                <w:lang w:val="en-GB"/>
              </w:rPr>
            </w:pPr>
          </w:p>
          <w:p w:rsidR="00CA062B" w:rsidRPr="00CA062B" w:rsidRDefault="00CA062B" w:rsidP="00CA062B">
            <w:pPr>
              <w:rPr>
                <w:rFonts w:ascii="Verdana" w:hAnsi="Verdana"/>
                <w:sz w:val="20"/>
                <w:szCs w:val="20"/>
                <w:lang w:val="en-GB"/>
              </w:rPr>
            </w:pPr>
            <w:r w:rsidRPr="00CA062B">
              <w:rPr>
                <w:rFonts w:ascii="Verdana" w:hAnsi="Verdana"/>
                <w:sz w:val="20"/>
                <w:szCs w:val="20"/>
                <w:lang w:val="en-GB"/>
              </w:rPr>
              <w:t>This session is also an excellent follow-up for groups who have attended the on-campus ‘Research Skills Workshop’ at The University of Manchester.</w:t>
            </w:r>
          </w:p>
        </w:tc>
      </w:tr>
    </w:tbl>
    <w:p w:rsidR="00CA062B" w:rsidRPr="002D7F26" w:rsidRDefault="00CA062B">
      <w:pPr>
        <w:rPr>
          <w:rFonts w:ascii="Verdana" w:hAnsi="Verdana"/>
          <w:sz w:val="20"/>
          <w:szCs w:val="20"/>
          <w:lang w:val="en-GB"/>
        </w:rPr>
      </w:pPr>
      <w:bookmarkStart w:id="0" w:name="_GoBack"/>
      <w:bookmarkEnd w:id="0"/>
    </w:p>
    <w:sectPr w:rsidR="00CA062B" w:rsidRPr="002D7F26" w:rsidSect="00CB2C7E">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A377A"/>
    <w:multiLevelType w:val="multilevel"/>
    <w:tmpl w:val="2B1C1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2751C51"/>
    <w:multiLevelType w:val="hybridMultilevel"/>
    <w:tmpl w:val="08945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D2D1335"/>
    <w:multiLevelType w:val="hybridMultilevel"/>
    <w:tmpl w:val="2B1C1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992"/>
    <w:rsid w:val="006E265E"/>
    <w:rsid w:val="00CA062B"/>
    <w:rsid w:val="00CB2C7E"/>
    <w:rsid w:val="00DA45C2"/>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C19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C19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Extended Project Qualification Online Workshops</vt:lpstr>
    </vt:vector>
  </TitlesOfParts>
  <Company>University of Manchester</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Project Qualification Online Workshops</dc:title>
  <dc:creator>mspsdmw2</dc:creator>
  <cp:lastModifiedBy>Rosalyn Webster</cp:lastModifiedBy>
  <cp:revision>3</cp:revision>
  <cp:lastPrinted>2010-10-21T15:43:00Z</cp:lastPrinted>
  <dcterms:created xsi:type="dcterms:W3CDTF">2017-01-12T10:55:00Z</dcterms:created>
  <dcterms:modified xsi:type="dcterms:W3CDTF">2017-01-12T10:56:00Z</dcterms:modified>
</cp:coreProperties>
</file>