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1E8" w:themeColor="background1"/>
  <w:body>
    <w:p w14:paraId="55BD39F3" w14:textId="1624CDC6" w:rsidR="007B0A43" w:rsidRDefault="00644DD2">
      <w:r>
        <w:rPr>
          <w:noProof/>
        </w:rPr>
        <w:drawing>
          <wp:anchor distT="0" distB="0" distL="114300" distR="114300" simplePos="0" relativeHeight="251658241" behindDoc="0" locked="0" layoutInCell="1" allowOverlap="1" wp14:anchorId="75BDDDA9" wp14:editId="197F2744">
            <wp:simplePos x="0" y="0"/>
            <wp:positionH relativeFrom="column">
              <wp:posOffset>3810</wp:posOffset>
            </wp:positionH>
            <wp:positionV relativeFrom="paragraph">
              <wp:posOffset>-353700</wp:posOffset>
            </wp:positionV>
            <wp:extent cx="1216660" cy="513715"/>
            <wp:effectExtent l="0" t="0" r="2540" b="0"/>
            <wp:wrapNone/>
            <wp:docPr id="1366025546" name="Picture 2" descr="The University of Mancheste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25546" name="Picture 2" descr="The University of Manchester logo "/>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6660" cy="5137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163C1DEA" wp14:editId="02055F46">
            <wp:simplePos x="0" y="0"/>
            <wp:positionH relativeFrom="column">
              <wp:posOffset>3896910</wp:posOffset>
            </wp:positionH>
            <wp:positionV relativeFrom="paragraph">
              <wp:posOffset>-810260</wp:posOffset>
            </wp:positionV>
            <wp:extent cx="3510280" cy="2706066"/>
            <wp:effectExtent l="0" t="0" r="0" b="0"/>
            <wp:wrapNone/>
            <wp:docPr id="199392672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26729" name="Picture 3">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27693" t="-2801" r="-6706" b="36978"/>
                    <a:stretch>
                      <a:fillRect/>
                    </a:stretch>
                  </pic:blipFill>
                  <pic:spPr bwMode="auto">
                    <a:xfrm rot="10800000">
                      <a:off x="0" y="0"/>
                      <a:ext cx="3510280" cy="27060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2BA6">
        <w:rPr>
          <w:noProof/>
        </w:rPr>
        <mc:AlternateContent>
          <mc:Choice Requires="wps">
            <w:drawing>
              <wp:anchor distT="0" distB="0" distL="114300" distR="114300" simplePos="0" relativeHeight="251658240" behindDoc="1" locked="0" layoutInCell="1" allowOverlap="1" wp14:anchorId="0F484DA3" wp14:editId="2566D2D8">
                <wp:simplePos x="0" y="0"/>
                <wp:positionH relativeFrom="column">
                  <wp:posOffset>-360045</wp:posOffset>
                </wp:positionH>
                <wp:positionV relativeFrom="paragraph">
                  <wp:posOffset>-810260</wp:posOffset>
                </wp:positionV>
                <wp:extent cx="7772400" cy="2273300"/>
                <wp:effectExtent l="0" t="0" r="0" b="0"/>
                <wp:wrapNone/>
                <wp:docPr id="139530561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273300"/>
                        </a:xfrm>
                        <a:prstGeom prst="rect">
                          <a:avLst/>
                        </a:prstGeom>
                        <a:solidFill>
                          <a:schemeClr val="tx1">
                            <a:lumMod val="90000"/>
                            <a:lumOff val="1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9BB045" id="Rectangle 1" o:spid="_x0000_s1026" alt="&quot;&quot;" style="position:absolute;margin-left:-28.35pt;margin-top:-63.8pt;width:612pt;height:17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blkgIAAJoFAAAOAAAAZHJzL2Uyb0RvYy54bWysVE1v2zAMvQ/YfxB0X+246bIGdYqgRYcB&#10;XRusHXpWZCk2IIuapMTJfv0oyXb6hR2G5eCIFPlIPpG8uNy3iuyEdQ3okk5OckqE5lA1elPSn483&#10;n75Q4jzTFVOgRUkPwtHLxccPF52ZiwJqUJWwBEG0m3empLX3Zp5ljteiZe4EjNB4KcG2zKNoN1ll&#10;WYforcqKPP+cdWArY4EL51B7nS7pIuJLKbi/l9IJT1RJMTcfvzZ+1+GbLS7YfGOZqRvep8H+IYuW&#10;NRqDjlDXzDOytc0bqLbhFhxIf8KhzUDKhotYA1YzyV9V81AzI2ItSI4zI03u/8Hyu92DWVmkoTNu&#10;7vAYqthL24Z/zI/sI1mHkSyx94SjcjabFdMcOeV4VxSz01MUECc7uhvr/FcBLQmHklp8jUgS2906&#10;n0wHkxDNgWqqm0apKIQOEFfKkh3Dt/P7SXRV2/Y7VEl3nuMvvSCq8Z2TejKoMZPYRwEl5vUigNIh&#10;jIYQMOUSNNmRhnjyByWCndI/hCRNhYUXMZEROQVlnAvtU46uZpXocznrU3yTSwQMyBLjj9g9wMva&#10;B+yUZW8fXEVs8NE5/1tiyXn0iJFB+9G5bTTY9wAUVtVHTvYDSYmawNIaqsPKEgtpvJzhNw2++C1z&#10;fsUszhN2Ce4If48fqaArKfQnSmqwv9/TB3tsc7ylpMP5LKn7tWVWUKK+aRyA88l0GgY6CtOzWYGC&#10;fX6zfn6jt+0VYBtNcBsZHo/B3qvhKC20T7hKliEqXjHNMXZJubeDcOXT3sBlxMVyGc1wiA3zt/rB&#10;8AAeWA0d/bh/Ytb0be9xYu5gmGU2f9X9yTZ4alhuPcgmjsaR155vXACxiftlFTbMczlaHVfq4g8A&#10;AAD//wMAUEsDBBQABgAIAAAAIQCRbObH4QAAAA0BAAAPAAAAZHJzL2Rvd25yZXYueG1sTI9BTsMw&#10;EEX3SNzBGiR2rZO0JFWIUwESbJCoCBzAjQc7EI+j2G0Np8ddwW5G8/Tn/WYb7ciOOPvBkYB8mQFD&#10;6p0aSAt4f3tcbID5IEnJ0REK+EYP2/byopG1cid6xWMXNEsh5GspwIQw1Zz73qCVfukmpHT7cLOV&#10;Ia2z5mqWpxRuR15kWcmtHCh9MHLCB4P9V3ewAjbrzrzshucY1acO9/5H26dZC3F9Fe9ugQWM4Q+G&#10;s35ShzY57d2BlGejgMVNWSU0DXlRlcDOSF5WK2B7AcUqWwNvG/6/RfsLAAD//wMAUEsBAi0AFAAG&#10;AAgAAAAhALaDOJL+AAAA4QEAABMAAAAAAAAAAAAAAAAAAAAAAFtDb250ZW50X1R5cGVzXS54bWxQ&#10;SwECLQAUAAYACAAAACEAOP0h/9YAAACUAQAACwAAAAAAAAAAAAAAAAAvAQAAX3JlbHMvLnJlbHNQ&#10;SwECLQAUAAYACAAAACEAGTHm5ZICAACaBQAADgAAAAAAAAAAAAAAAAAuAgAAZHJzL2Uyb0RvYy54&#10;bWxQSwECLQAUAAYACAAAACEAkWzmx+EAAAANAQAADwAAAAAAAAAAAAAAAADsBAAAZHJzL2Rvd25y&#10;ZXYueG1sUEsFBgAAAAAEAAQA8wAAAPoFAAAAAA==&#10;" fillcolor="#412e44 [2909]" stroked="f" strokeweight="1pt"/>
            </w:pict>
          </mc:Fallback>
        </mc:AlternateContent>
      </w:r>
    </w:p>
    <w:p w14:paraId="57B2E5B3" w14:textId="6D0403E3" w:rsidR="007B0A43" w:rsidRDefault="007B0A43"/>
    <w:p w14:paraId="263338FC" w14:textId="2FF0B67C" w:rsidR="007B0A43" w:rsidRDefault="007B0A43"/>
    <w:p w14:paraId="14C65AE0" w14:textId="184C22C5" w:rsidR="007B0A43" w:rsidRDefault="00D654EE">
      <w:r>
        <w:rPr>
          <w:noProof/>
        </w:rPr>
        <mc:AlternateContent>
          <mc:Choice Requires="wps">
            <w:drawing>
              <wp:inline distT="0" distB="0" distL="0" distR="0" wp14:anchorId="0E5BCF97" wp14:editId="2EF6447D">
                <wp:extent cx="7052310" cy="1126393"/>
                <wp:effectExtent l="0" t="0" r="0" b="4445"/>
                <wp:docPr id="851830970"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52310" cy="1126393"/>
                        </a:xfrm>
                        <a:prstGeom prst="round2SameRect">
                          <a:avLst>
                            <a:gd name="adj1" fmla="val 16743"/>
                            <a:gd name="adj2" fmla="val 0"/>
                          </a:avLst>
                        </a:prstGeom>
                        <a:solidFill>
                          <a:schemeClr val="bg2"/>
                        </a:solidFill>
                        <a:ln w="12700">
                          <a:noFill/>
                        </a:ln>
                      </wps:spPr>
                      <wps:txbx>
                        <w:txbxContent>
                          <w:p w14:paraId="3AF66AD5" w14:textId="5F21107D" w:rsidR="00D654EE" w:rsidRPr="00123CC8" w:rsidRDefault="002834E8" w:rsidP="00D654EE">
                            <w:pPr>
                              <w:pStyle w:val="1Jobtitle"/>
                            </w:pPr>
                            <w:r>
                              <w:t>Environmentally Responsible Use of Artificial Intelligence (AI)</w:t>
                            </w:r>
                          </w:p>
                          <w:p w14:paraId="6E3236ED" w14:textId="580AF57F" w:rsidR="00D654EE" w:rsidRDefault="00D654EE" w:rsidP="00D654EE">
                            <w:pPr>
                              <w:pStyle w:val="2Gradeanddepartment"/>
                            </w:pPr>
                          </w:p>
                        </w:txbxContent>
                      </wps:txbx>
                      <wps:bodyPr rot="0" spcFirstLastPara="0" vertOverflow="overflow" horzOverflow="overflow" vert="horz" wrap="square" lIns="90000" tIns="216000" rIns="91440" bIns="45720" numCol="1" spcCol="0" rtlCol="0" fromWordArt="0" anchor="ctr" anchorCtr="0" forceAA="0" compatLnSpc="1">
                        <a:prstTxWarp prst="textNoShape">
                          <a:avLst/>
                        </a:prstTxWarp>
                        <a:noAutofit/>
                      </wps:bodyPr>
                    </wps:wsp>
                  </a:graphicData>
                </a:graphic>
              </wp:inline>
            </w:drawing>
          </mc:Choice>
          <mc:Fallback>
            <w:pict>
              <v:shape w14:anchorId="0E5BCF97" id="Text Box 4" o:spid="_x0000_s1026" alt="&quot;&quot;" style="width:555.3pt;height:88.7pt;visibility:visible;mso-wrap-style:square;mso-left-percent:-10001;mso-top-percent:-10001;mso-position-horizontal:absolute;mso-position-horizontal-relative:char;mso-position-vertical:absolute;mso-position-vertical-relative:line;mso-left-percent:-10001;mso-top-percent:-10001;v-text-anchor:middle" coordsize="7052310,11263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wfXwIAALAEAAAOAAAAZHJzL2Uyb0RvYy54bWysVEtv2zAMvg/YfxB0X/xomqxBnSJr0WFA&#10;0BZLh54VWUo8SKImKbG7X19Kdh57nIbloJAi9ZH8SPr6ptOK7IXzDZiKFqOcEmE41I3ZVPTb8/2H&#10;j5T4wEzNFBhR0Vfh6c38/bvr1s5ECVtQtXAEQYyftbai2xDsLMs83wrN/AisMGiU4DQLqLpNVjvW&#10;IrpWWZnnk6wFV1sHXHiPt3e9kc4TvpSCh0cpvQhEVRRzC+l06VzHM5tfs9nGMbtt+JAG+4csNGsM&#10;Bj1C3bHAyM41f0DphjvwIMOIg85AyoaLVANWU+S/VbPaMitSLUiOt0ea/P+D5Q/7lX1yJHSfoMMG&#10;RkJa62ceL2M9nXQ6/mOmBO1I4euRNtEFwvFyml+WFwWaONqKopxcXF1EnOz03DofPgvQJAoVdbAz&#10;dbliWnzFDiXi2H7pQ2KwJgYNFWX194ISqRU2ZM8UKSbTccJFls98ynOf1FCMO6ChdIgcoT2opr5v&#10;lEpKHDFxqxxB8IquN+WQ8y9eypAWiyqneZ7SNBDf98UpgzWeyIpS6NbdwOAa6lck1kE/c97y+waL&#10;XzIfnpjDmpAwXJzwiIdUgFFgkCjZgvv5t/voj71HKyUtDm1F/Y8dc4IS9cXgVFzl+MMpT0pZTJLm&#10;elMxHqNpnZTx5bRExez0LWDtSDOml0S8dUEdROlAv+CCLWJYNDHDMXhFeXAH5Tb024QrysVikdxw&#10;tC0LS7OyPIJHtmMbnrsX5uwwAgGn5wEOEz50rOf15BtfGljsAsgmRGPkuCd2UHAt0qANKxz37lxP&#10;XqcPzfwNAAD//wMAUEsDBBQABgAIAAAAIQBc4Pb12gAAAAYBAAAPAAAAZHJzL2Rvd25yZXYueG1s&#10;TI9BT8MwDIXvSPyHyEjcWFI0tVNpOqEJkMaNMXH2GtNWNE6VpGv592Rc4GI961nvfa62ix3EmXzo&#10;HWvIVgoEceNMz62G4/vz3QZEiMgGB8ek4ZsCbOvrqwpL42Z+o/MhtiKFcChRQxfjWEoZmo4shpUb&#10;iZP36bzFmFbfSuNxTuF2kPdK5dJiz6mhw5F2HTVfh8lqeH3x00bNcj/mHwXvjkHtp/WT1rc3y+MD&#10;iEhL/DuGC35ChzoxndzEJohBQ3ok/s6Ll2UqB3FKqijWIOtK/sevfwAAAP//AwBQSwECLQAUAAYA&#10;CAAAACEAtoM4kv4AAADhAQAAEwAAAAAAAAAAAAAAAAAAAAAAW0NvbnRlbnRfVHlwZXNdLnhtbFBL&#10;AQItABQABgAIAAAAIQA4/SH/1gAAAJQBAAALAAAAAAAAAAAAAAAAAC8BAABfcmVscy8ucmVsc1BL&#10;AQItABQABgAIAAAAIQBzwNwfXwIAALAEAAAOAAAAAAAAAAAAAAAAAC4CAABkcnMvZTJvRG9jLnht&#10;bFBLAQItABQABgAIAAAAIQBc4Pb12gAAAAYBAAAPAAAAAAAAAAAAAAAAALkEAABkcnMvZG93bnJl&#10;di54bWxQSwUGAAAAAAQABADzAAAAwAUAAAAA&#10;" adj="-11796480,,5400" path="m188592,l6863718,v104156,,188592,84436,188592,188592l7052310,1126393r,l,1126393r,l,188592c,84436,84436,,188592,xe" fillcolor="white [3214]" stroked="f" strokeweight="1pt">
                <v:stroke joinstyle="miter"/>
                <v:formulas/>
                <v:path arrowok="t" o:connecttype="custom" o:connectlocs="188592,0;6863718,0;7052310,188592;7052310,1126393;7052310,1126393;0,1126393;0,1126393;0,188592;188592,0" o:connectangles="0,0,0,0,0,0,0,0,0" textboxrect="0,0,7052310,1126393"/>
                <v:textbox inset="2.5mm,6mm">
                  <w:txbxContent>
                    <w:p w14:paraId="3AF66AD5" w14:textId="5F21107D" w:rsidR="00D654EE" w:rsidRPr="00123CC8" w:rsidRDefault="002834E8" w:rsidP="00D654EE">
                      <w:pPr>
                        <w:pStyle w:val="1Jobtitle"/>
                      </w:pPr>
                      <w:r>
                        <w:t>Environmentally Responsible Use of Artificial Intelligence (AI)</w:t>
                      </w:r>
                    </w:p>
                    <w:p w14:paraId="6E3236ED" w14:textId="580AF57F" w:rsidR="00D654EE" w:rsidRDefault="00D654EE" w:rsidP="00D654EE">
                      <w:pPr>
                        <w:pStyle w:val="2Gradeanddepartment"/>
                      </w:pPr>
                    </w:p>
                  </w:txbxContent>
                </v:textbox>
                <w10:anchorlock/>
              </v:shape>
            </w:pict>
          </mc:Fallback>
        </mc:AlternateContent>
      </w:r>
    </w:p>
    <w:p w14:paraId="4A8EAEFF" w14:textId="77777777" w:rsidR="00842BA6" w:rsidRDefault="00842BA6" w:rsidP="00F92BE3"/>
    <w:tbl>
      <w:tblPr>
        <w:tblStyle w:val="TableGrid"/>
        <w:tblW w:w="11153" w:type="dxa"/>
        <w:tblInd w:w="-10" w:type="dxa"/>
        <w:tblBorders>
          <w:top w:val="single" w:sz="8" w:space="0" w:color="F3F1E8" w:themeColor="background1"/>
          <w:left w:val="single" w:sz="8" w:space="0" w:color="F3F1E8" w:themeColor="background1"/>
          <w:bottom w:val="single" w:sz="8" w:space="0" w:color="F3F1E8" w:themeColor="background1"/>
          <w:right w:val="single" w:sz="8" w:space="0" w:color="F3F1E8" w:themeColor="background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1153"/>
      </w:tblGrid>
      <w:tr w:rsidR="004A12F4" w14:paraId="7F8F20BA" w14:textId="77777777">
        <w:tc>
          <w:tcPr>
            <w:tcW w:w="11153" w:type="dxa"/>
            <w:shd w:val="clear" w:color="auto" w:fill="402D43"/>
          </w:tcPr>
          <w:p w14:paraId="51748E97" w14:textId="77777777" w:rsidR="004A12F4" w:rsidRDefault="0079293B">
            <w:pPr>
              <w:pStyle w:val="3Boxtitle"/>
            </w:pPr>
            <w:r>
              <w:rPr>
                <w:rFonts w:eastAsia="Arial"/>
                <w:color w:val="F3F1E8"/>
                <w:sz w:val="28"/>
              </w:rPr>
              <w:t>Document Details</w:t>
            </w:r>
          </w:p>
        </w:tc>
      </w:tr>
      <w:tr w:rsidR="004A12F4" w14:paraId="7F37514F" w14:textId="77777777">
        <w:tc>
          <w:tcPr>
            <w:tcW w:w="11153" w:type="dxa"/>
            <w:shd w:val="clear" w:color="auto" w:fill="FFFFFF"/>
          </w:tcPr>
          <w:p w14:paraId="30E772A9" w14:textId="77777777" w:rsidR="004A12F4" w:rsidRDefault="0079293B">
            <w:pPr>
              <w:pStyle w:val="4Text"/>
              <w:spacing w:after="80"/>
            </w:pPr>
            <w:r>
              <w:rPr>
                <w:rFonts w:eastAsia="Arial"/>
                <w:b/>
              </w:rPr>
              <w:t>The University of Manchester</w:t>
            </w:r>
          </w:p>
          <w:p w14:paraId="3A26973C" w14:textId="77777777" w:rsidR="004A12F4" w:rsidRDefault="0079293B">
            <w:pPr>
              <w:pStyle w:val="4Text"/>
              <w:spacing w:after="80"/>
            </w:pPr>
            <w:r>
              <w:rPr>
                <w:rFonts w:eastAsia="Arial"/>
                <w:b/>
              </w:rPr>
              <w:t>Policy Type:</w:t>
            </w:r>
            <w:r>
              <w:rPr>
                <w:rFonts w:eastAsia="Arial"/>
              </w:rPr>
              <w:t xml:space="preserve"> Institutional Guideline</w:t>
            </w:r>
          </w:p>
          <w:p w14:paraId="7584AA77" w14:textId="77777777" w:rsidR="004A12F4" w:rsidRDefault="0079293B">
            <w:pPr>
              <w:pStyle w:val="4Text"/>
              <w:spacing w:after="80"/>
            </w:pPr>
            <w:r>
              <w:rPr>
                <w:rFonts w:eastAsia="Arial"/>
                <w:b/>
              </w:rPr>
              <w:t>Document Owner:</w:t>
            </w:r>
            <w:r>
              <w:rPr>
                <w:rFonts w:eastAsia="Arial"/>
              </w:rPr>
              <w:t xml:space="preserve"> Environmental Sustainability AI working group</w:t>
            </w:r>
          </w:p>
          <w:p w14:paraId="7D8C96FB" w14:textId="77777777" w:rsidR="004A12F4" w:rsidRDefault="0079293B">
            <w:pPr>
              <w:pStyle w:val="4Text"/>
              <w:spacing w:after="80"/>
            </w:pPr>
            <w:r>
              <w:rPr>
                <w:rFonts w:eastAsia="Arial"/>
                <w:b/>
              </w:rPr>
              <w:t>Approval Body:</w:t>
            </w:r>
            <w:r>
              <w:rPr>
                <w:rFonts w:eastAsia="Arial"/>
              </w:rPr>
              <w:t xml:space="preserve"> Environmental Sustainability Committee</w:t>
            </w:r>
          </w:p>
          <w:p w14:paraId="15890FDA" w14:textId="77777777" w:rsidR="004A12F4" w:rsidRDefault="0079293B">
            <w:pPr>
              <w:pStyle w:val="4Text"/>
              <w:spacing w:after="80"/>
            </w:pPr>
            <w:r>
              <w:rPr>
                <w:rFonts w:eastAsia="Arial"/>
                <w:b/>
              </w:rPr>
              <w:t>Date of Approval:</w:t>
            </w:r>
            <w:r>
              <w:rPr>
                <w:rFonts w:eastAsia="Arial"/>
              </w:rPr>
              <w:t xml:space="preserve"> 18/05/2026</w:t>
            </w:r>
          </w:p>
          <w:p w14:paraId="4631CAA1" w14:textId="77777777" w:rsidR="004A12F4" w:rsidRDefault="0079293B">
            <w:pPr>
              <w:pStyle w:val="4Text"/>
              <w:spacing w:after="80"/>
            </w:pPr>
            <w:r>
              <w:rPr>
                <w:rFonts w:eastAsia="Arial"/>
                <w:b/>
              </w:rPr>
              <w:t>Effective From:</w:t>
            </w:r>
            <w:r>
              <w:rPr>
                <w:rFonts w:eastAsia="Arial"/>
              </w:rPr>
              <w:t xml:space="preserve"> 18/05/2026</w:t>
            </w:r>
          </w:p>
        </w:tc>
      </w:tr>
      <w:tr w:rsidR="004A12F4" w14:paraId="4BB340F9" w14:textId="77777777">
        <w:tc>
          <w:tcPr>
            <w:tcW w:w="11153" w:type="dxa"/>
            <w:shd w:val="clear" w:color="auto" w:fill="36639E"/>
          </w:tcPr>
          <w:p w14:paraId="08374734" w14:textId="77777777" w:rsidR="004A12F4" w:rsidRDefault="0079293B">
            <w:pPr>
              <w:pStyle w:val="5Subboxtitle"/>
            </w:pPr>
            <w:r>
              <w:rPr>
                <w:rFonts w:eastAsia="Arial"/>
                <w:color w:val="F3F1E8"/>
              </w:rPr>
              <w:t>Version Control</w:t>
            </w:r>
          </w:p>
        </w:tc>
      </w:tr>
      <w:tr w:rsidR="004A12F4" w14:paraId="2B5EA382" w14:textId="77777777">
        <w:tc>
          <w:tcPr>
            <w:tcW w:w="11153" w:type="dxa"/>
            <w:shd w:val="clear" w:color="auto" w:fill="FFFFFF"/>
          </w:tcPr>
          <w:p w14:paraId="36D07B4E" w14:textId="77777777" w:rsidR="004A12F4" w:rsidRDefault="0079293B">
            <w:pPr>
              <w:pStyle w:val="4Text"/>
              <w:spacing w:after="80"/>
            </w:pPr>
            <w:r>
              <w:rPr>
                <w:rFonts w:eastAsia="Arial"/>
                <w:b/>
              </w:rPr>
              <w:t xml:space="preserve">Version: </w:t>
            </w:r>
            <w:r>
              <w:rPr>
                <w:rFonts w:eastAsia="Arial"/>
              </w:rPr>
              <w:t>1.0</w:t>
            </w:r>
          </w:p>
          <w:p w14:paraId="771739EC" w14:textId="6A373529" w:rsidR="004A12F4" w:rsidRDefault="0079293B">
            <w:pPr>
              <w:pStyle w:val="4Text"/>
              <w:spacing w:after="80"/>
            </w:pPr>
            <w:r>
              <w:rPr>
                <w:rFonts w:eastAsia="Arial"/>
                <w:b/>
              </w:rPr>
              <w:t xml:space="preserve">Date: </w:t>
            </w:r>
            <w:r w:rsidR="002E3713">
              <w:rPr>
                <w:rFonts w:eastAsia="Arial"/>
              </w:rPr>
              <w:t>18/05/2026</w:t>
            </w:r>
          </w:p>
          <w:p w14:paraId="511603BA" w14:textId="77777777" w:rsidR="004A12F4" w:rsidRDefault="0079293B">
            <w:pPr>
              <w:pStyle w:val="4Text"/>
              <w:spacing w:after="80"/>
            </w:pPr>
            <w:r>
              <w:rPr>
                <w:rFonts w:eastAsia="Arial"/>
                <w:b/>
              </w:rPr>
              <w:t xml:space="preserve">Author: </w:t>
            </w:r>
            <w:r>
              <w:rPr>
                <w:rFonts w:eastAsia="Arial"/>
              </w:rPr>
              <w:t>Environmental Sustainability AI working group (contact: alejandro.gallegoschmid@manchester.ac.uk)</w:t>
            </w:r>
          </w:p>
          <w:p w14:paraId="5499CD1D" w14:textId="77777777" w:rsidR="004A12F4" w:rsidRDefault="0079293B">
            <w:pPr>
              <w:pStyle w:val="4Text"/>
              <w:spacing w:after="80"/>
            </w:pPr>
            <w:r>
              <w:rPr>
                <w:rFonts w:eastAsia="Arial"/>
                <w:b/>
              </w:rPr>
              <w:t xml:space="preserve">Summary of Changes: </w:t>
            </w:r>
            <w:r>
              <w:rPr>
                <w:rFonts w:eastAsia="Arial"/>
              </w:rPr>
              <w:t>Initial version</w:t>
            </w:r>
          </w:p>
        </w:tc>
      </w:tr>
    </w:tbl>
    <w:p w14:paraId="68B38120" w14:textId="77777777" w:rsidR="004A12F4" w:rsidRDefault="004A12F4">
      <w:pPr>
        <w:spacing w:after="160"/>
      </w:pPr>
    </w:p>
    <w:tbl>
      <w:tblPr>
        <w:tblStyle w:val="TableGrid"/>
        <w:tblW w:w="11153" w:type="dxa"/>
        <w:tblInd w:w="-10" w:type="dxa"/>
        <w:tblBorders>
          <w:top w:val="single" w:sz="8" w:space="0" w:color="F3F1E8" w:themeColor="background1"/>
          <w:left w:val="single" w:sz="8" w:space="0" w:color="F3F1E8" w:themeColor="background1"/>
          <w:bottom w:val="single" w:sz="8" w:space="0" w:color="F3F1E8" w:themeColor="background1"/>
          <w:right w:val="single" w:sz="8" w:space="0" w:color="F3F1E8" w:themeColor="background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1153"/>
      </w:tblGrid>
      <w:tr w:rsidR="004A12F4" w14:paraId="0ABCAF30" w14:textId="77777777">
        <w:tc>
          <w:tcPr>
            <w:tcW w:w="11153" w:type="dxa"/>
            <w:shd w:val="clear" w:color="auto" w:fill="402D43"/>
          </w:tcPr>
          <w:p w14:paraId="496D8CBB" w14:textId="77777777" w:rsidR="004A12F4" w:rsidRDefault="0079293B">
            <w:pPr>
              <w:pStyle w:val="3Boxtitle"/>
            </w:pPr>
            <w:r>
              <w:rPr>
                <w:rFonts w:eastAsia="Arial"/>
                <w:color w:val="F3F1E8"/>
                <w:sz w:val="28"/>
              </w:rPr>
              <w:t>Executive Summary</w:t>
            </w:r>
          </w:p>
        </w:tc>
      </w:tr>
      <w:tr w:rsidR="004A12F4" w14:paraId="5A15AD24" w14:textId="77777777">
        <w:tc>
          <w:tcPr>
            <w:tcW w:w="11153" w:type="dxa"/>
            <w:shd w:val="clear" w:color="auto" w:fill="FFFFFF"/>
          </w:tcPr>
          <w:p w14:paraId="03998255" w14:textId="62BA347D" w:rsidR="004A12F4" w:rsidRDefault="0079293B">
            <w:pPr>
              <w:pStyle w:val="4Text"/>
              <w:spacing w:after="80"/>
            </w:pPr>
            <w:r>
              <w:rPr>
                <w:rFonts w:eastAsia="Arial"/>
              </w:rPr>
              <w:t xml:space="preserve">This guideline sets out how </w:t>
            </w:r>
            <w:r w:rsidR="00057FE6">
              <w:rPr>
                <w:rFonts w:eastAsia="Arial"/>
              </w:rPr>
              <w:t>T</w:t>
            </w:r>
            <w:r>
              <w:rPr>
                <w:rFonts w:eastAsia="Arial"/>
              </w:rPr>
              <w:t>he University of Manchester will use Artificial Intelligence (AI), including Generative AI, in a way that supports our environmental sustainability commitments. It recognises that many AI systems can carry significant environmental costs across their lifecycle (energy, water, hardware and data storage) and therefore should not be treated as a default option. The guideline applies to AI use across research, teaching, professional services, governance and procurement, and to both in-house and externally sourced tools.</w:t>
            </w:r>
          </w:p>
          <w:p w14:paraId="3329ABB4" w14:textId="77777777" w:rsidR="004A12F4" w:rsidRDefault="0079293B">
            <w:pPr>
              <w:pStyle w:val="4Text"/>
              <w:spacing w:after="80"/>
              <w:ind w:left="360" w:hanging="259"/>
            </w:pPr>
            <w:r>
              <w:rPr>
                <w:rFonts w:eastAsia="Arial"/>
              </w:rPr>
              <w:t>•</w:t>
            </w:r>
            <w:r>
              <w:rPr>
                <w:rFonts w:eastAsia="Arial"/>
              </w:rPr>
              <w:tab/>
            </w:r>
            <w:r>
              <w:rPr>
                <w:rFonts w:eastAsia="Arial"/>
                <w:b/>
              </w:rPr>
              <w:t>Purpose (Section 1):</w:t>
            </w:r>
            <w:r>
              <w:rPr>
                <w:rFonts w:eastAsia="Arial"/>
              </w:rPr>
              <w:t xml:space="preserve"> Provide practical guidance to ensure AI innovation aligns with the University’s Environmental Sustainability ambitions and wider commitments to digital responsibility and social value.</w:t>
            </w:r>
          </w:p>
          <w:p w14:paraId="60ACF467" w14:textId="77777777" w:rsidR="004A12F4" w:rsidRDefault="0079293B">
            <w:pPr>
              <w:pStyle w:val="4Text"/>
              <w:spacing w:after="80"/>
              <w:ind w:left="360" w:hanging="259"/>
            </w:pPr>
            <w:r>
              <w:rPr>
                <w:rFonts w:eastAsia="Arial"/>
              </w:rPr>
              <w:t>•</w:t>
            </w:r>
            <w:r>
              <w:rPr>
                <w:rFonts w:eastAsia="Arial"/>
              </w:rPr>
              <w:tab/>
            </w:r>
            <w:r>
              <w:rPr>
                <w:rFonts w:eastAsia="Arial"/>
                <w:b/>
              </w:rPr>
              <w:t>Scope (Section 2):</w:t>
            </w:r>
            <w:r>
              <w:rPr>
                <w:rFonts w:eastAsia="Arial"/>
              </w:rPr>
              <w:t xml:space="preserve"> Applies to staff, students, researchers, contractors and partners using or developing AI on behalf of the University, covering research, teaching, administration, procurement and institutional strategy.</w:t>
            </w:r>
          </w:p>
          <w:p w14:paraId="6628EF5A" w14:textId="77777777" w:rsidR="004A12F4" w:rsidRDefault="0079293B">
            <w:pPr>
              <w:pStyle w:val="4Text"/>
              <w:spacing w:after="80"/>
              <w:ind w:left="360" w:hanging="259"/>
            </w:pPr>
            <w:r>
              <w:rPr>
                <w:rFonts w:eastAsia="Arial"/>
              </w:rPr>
              <w:t>•</w:t>
            </w:r>
            <w:r>
              <w:rPr>
                <w:rFonts w:eastAsia="Arial"/>
              </w:rPr>
              <w:tab/>
            </w:r>
            <w:r>
              <w:rPr>
                <w:rFonts w:eastAsia="Arial"/>
                <w:b/>
              </w:rPr>
              <w:t>Guiding principles (Section 3):</w:t>
            </w:r>
            <w:r>
              <w:rPr>
                <w:rFonts w:eastAsia="Arial"/>
              </w:rPr>
              <w:t xml:space="preserve"> Use AI only where it adds clear value (necessity), ensure environmental cost is proportionate to benefits (proportionality), choose the most resource-efficient approach (efficiency), document and validate use appropriately (transparency and accountability), support sustainable infrastructure and practice (sustainability), and consider impacts across the full system lifecycle (lifecycle responsibility).</w:t>
            </w:r>
          </w:p>
          <w:p w14:paraId="4B734B07" w14:textId="77777777" w:rsidR="004A12F4" w:rsidRDefault="0079293B">
            <w:pPr>
              <w:pStyle w:val="4Text"/>
              <w:spacing w:after="80"/>
              <w:ind w:left="360" w:hanging="259"/>
            </w:pPr>
            <w:r>
              <w:rPr>
                <w:rFonts w:eastAsia="Arial"/>
              </w:rPr>
              <w:t>•</w:t>
            </w:r>
            <w:r>
              <w:rPr>
                <w:rFonts w:eastAsia="Arial"/>
              </w:rPr>
              <w:tab/>
            </w:r>
            <w:r>
              <w:rPr>
                <w:rFonts w:eastAsia="Arial"/>
                <w:b/>
              </w:rPr>
              <w:t>Why this matters (Section 4):</w:t>
            </w:r>
            <w:r>
              <w:rPr>
                <w:rFonts w:eastAsia="Arial"/>
              </w:rPr>
              <w:t xml:space="preserve"> Summarises evidence that AI-driven growth in data centres is increasing electricity and water demand, and highlights the importance of lifecycle thinking when assessing impacts.</w:t>
            </w:r>
          </w:p>
          <w:p w14:paraId="211224A3" w14:textId="77777777" w:rsidR="004A12F4" w:rsidRDefault="0079293B">
            <w:pPr>
              <w:pStyle w:val="4Text"/>
              <w:spacing w:after="80"/>
              <w:ind w:left="360" w:hanging="259"/>
            </w:pPr>
            <w:r>
              <w:rPr>
                <w:rFonts w:eastAsia="Arial"/>
              </w:rPr>
              <w:t>•</w:t>
            </w:r>
            <w:r>
              <w:rPr>
                <w:rFonts w:eastAsia="Arial"/>
              </w:rPr>
              <w:tab/>
            </w:r>
            <w:r>
              <w:rPr>
                <w:rFonts w:eastAsia="Arial"/>
                <w:b/>
              </w:rPr>
              <w:t>Practical guidance (Section 5):</w:t>
            </w:r>
            <w:r>
              <w:rPr>
                <w:rFonts w:eastAsia="Arial"/>
              </w:rPr>
              <w:t xml:space="preserve"> Helps users decide whether AI is justified for a task, encourages lower-impact operational use (e.g., clearer prompts, appropriate response length, avoiding unnecessary re-generation), and sets expectations for responsible AI research, infrastructure decisions and procurement (including circular-economy considerations and supplier transparency).</w:t>
            </w:r>
          </w:p>
          <w:p w14:paraId="50143391" w14:textId="77777777" w:rsidR="004A12F4" w:rsidRDefault="0079293B">
            <w:pPr>
              <w:pStyle w:val="4Text"/>
              <w:spacing w:after="80"/>
              <w:ind w:left="360" w:hanging="259"/>
            </w:pPr>
            <w:r>
              <w:rPr>
                <w:rFonts w:eastAsia="Arial"/>
              </w:rPr>
              <w:lastRenderedPageBreak/>
              <w:t>•</w:t>
            </w:r>
            <w:r>
              <w:rPr>
                <w:rFonts w:eastAsia="Arial"/>
              </w:rPr>
              <w:tab/>
            </w:r>
            <w:r>
              <w:rPr>
                <w:rFonts w:eastAsia="Arial"/>
                <w:b/>
              </w:rPr>
              <w:t>Monitoring and governance (Section 6):</w:t>
            </w:r>
            <w:r>
              <w:rPr>
                <w:rFonts w:eastAsia="Arial"/>
              </w:rPr>
              <w:t xml:space="preserve"> Commits the University to embedding environmental considerations in AI-related approvals, exploring monitoring and reporting, and reviewing the guidelines as practice evolves.</w:t>
            </w:r>
          </w:p>
          <w:p w14:paraId="320B1DEA" w14:textId="77777777" w:rsidR="004A12F4" w:rsidRDefault="0079293B">
            <w:pPr>
              <w:pStyle w:val="4Text"/>
              <w:spacing w:after="80"/>
              <w:ind w:left="360" w:hanging="259"/>
            </w:pPr>
            <w:r>
              <w:rPr>
                <w:rFonts w:eastAsia="Arial"/>
              </w:rPr>
              <w:t>•</w:t>
            </w:r>
            <w:r>
              <w:rPr>
                <w:rFonts w:eastAsia="Arial"/>
              </w:rPr>
              <w:tab/>
            </w:r>
            <w:r>
              <w:rPr>
                <w:rFonts w:eastAsia="Arial"/>
                <w:b/>
              </w:rPr>
              <w:t>Education and capacity building (Section 7):</w:t>
            </w:r>
            <w:r>
              <w:rPr>
                <w:rFonts w:eastAsia="Arial"/>
              </w:rPr>
              <w:t xml:space="preserve"> Integrates sustainable and ethical AI into curricula, professional development and induction to build capability and shared understanding.</w:t>
            </w:r>
          </w:p>
          <w:p w14:paraId="6F87647C" w14:textId="77777777" w:rsidR="004A12F4" w:rsidRDefault="0079293B">
            <w:pPr>
              <w:pStyle w:val="4Text"/>
              <w:spacing w:after="80"/>
              <w:ind w:left="360" w:hanging="259"/>
            </w:pPr>
            <w:r>
              <w:rPr>
                <w:rFonts w:eastAsia="Arial"/>
              </w:rPr>
              <w:t>•</w:t>
            </w:r>
            <w:r>
              <w:rPr>
                <w:rFonts w:eastAsia="Arial"/>
              </w:rPr>
              <w:tab/>
            </w:r>
            <w:r>
              <w:rPr>
                <w:rFonts w:eastAsia="Arial"/>
                <w:b/>
              </w:rPr>
              <w:t>Academic freedom (Section 8):</w:t>
            </w:r>
            <w:r>
              <w:rPr>
                <w:rFonts w:eastAsia="Arial"/>
              </w:rPr>
              <w:t xml:space="preserve"> Confirms the guideline does not restrict legitimate academic inquiry, while reinforcing responsibility to mitigate environmental impacts proportionate to project scale.</w:t>
            </w:r>
          </w:p>
          <w:p w14:paraId="3826D804" w14:textId="77777777" w:rsidR="004A12F4" w:rsidRDefault="0079293B">
            <w:pPr>
              <w:pStyle w:val="4Text"/>
              <w:spacing w:after="80"/>
              <w:ind w:left="360" w:hanging="259"/>
            </w:pPr>
            <w:r>
              <w:rPr>
                <w:rFonts w:eastAsia="Arial"/>
              </w:rPr>
              <w:t>•</w:t>
            </w:r>
            <w:r>
              <w:rPr>
                <w:rFonts w:eastAsia="Arial"/>
              </w:rPr>
              <w:tab/>
            </w:r>
            <w:r>
              <w:rPr>
                <w:rFonts w:eastAsia="Arial"/>
                <w:b/>
              </w:rPr>
              <w:t>Review (Section 9):</w:t>
            </w:r>
            <w:r>
              <w:rPr>
                <w:rFonts w:eastAsia="Arial"/>
              </w:rPr>
              <w:t xml:space="preserve"> Sets an expectation for periodic review so the guidance remains current with technological, regulatory and strategic change.</w:t>
            </w:r>
          </w:p>
          <w:p w14:paraId="4539EBBE" w14:textId="77777777" w:rsidR="004A12F4" w:rsidRDefault="0079293B">
            <w:pPr>
              <w:pStyle w:val="4Text"/>
              <w:spacing w:after="80"/>
              <w:ind w:left="360" w:hanging="259"/>
            </w:pPr>
            <w:r>
              <w:rPr>
                <w:rFonts w:eastAsia="Arial"/>
              </w:rPr>
              <w:t>•</w:t>
            </w:r>
            <w:r>
              <w:rPr>
                <w:rFonts w:eastAsia="Arial"/>
              </w:rPr>
              <w:tab/>
              <w:t>Appendix A. Questions before using AI and cases where AI use may not be justified.</w:t>
            </w:r>
          </w:p>
        </w:tc>
      </w:tr>
    </w:tbl>
    <w:p w14:paraId="0CA0251C" w14:textId="77777777" w:rsidR="004A12F4" w:rsidRDefault="004A12F4">
      <w:pPr>
        <w:spacing w:after="160"/>
      </w:pPr>
    </w:p>
    <w:tbl>
      <w:tblPr>
        <w:tblStyle w:val="TableGrid"/>
        <w:tblW w:w="11153" w:type="dxa"/>
        <w:tblInd w:w="-10" w:type="dxa"/>
        <w:tblBorders>
          <w:top w:val="single" w:sz="8" w:space="0" w:color="F3F1E8" w:themeColor="background1"/>
          <w:left w:val="single" w:sz="8" w:space="0" w:color="F3F1E8" w:themeColor="background1"/>
          <w:bottom w:val="single" w:sz="8" w:space="0" w:color="F3F1E8" w:themeColor="background1"/>
          <w:right w:val="single" w:sz="8" w:space="0" w:color="F3F1E8" w:themeColor="background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1153"/>
      </w:tblGrid>
      <w:tr w:rsidR="004A12F4" w14:paraId="30EDA025" w14:textId="77777777">
        <w:tc>
          <w:tcPr>
            <w:tcW w:w="11153" w:type="dxa"/>
            <w:shd w:val="clear" w:color="auto" w:fill="402D43"/>
          </w:tcPr>
          <w:p w14:paraId="76BC4D47" w14:textId="77777777" w:rsidR="004A12F4" w:rsidRDefault="0079293B">
            <w:pPr>
              <w:pStyle w:val="3Boxtitle"/>
            </w:pPr>
            <w:r>
              <w:rPr>
                <w:rFonts w:eastAsia="Arial"/>
                <w:color w:val="F3F1E8"/>
                <w:sz w:val="28"/>
              </w:rPr>
              <w:t>1. Purpose</w:t>
            </w:r>
          </w:p>
        </w:tc>
      </w:tr>
      <w:tr w:rsidR="004A12F4" w14:paraId="5307DE3F" w14:textId="77777777">
        <w:tc>
          <w:tcPr>
            <w:tcW w:w="11153" w:type="dxa"/>
            <w:shd w:val="clear" w:color="auto" w:fill="FFFFFF"/>
          </w:tcPr>
          <w:p w14:paraId="27256EF4" w14:textId="77777777" w:rsidR="004A12F4" w:rsidRDefault="0079293B">
            <w:pPr>
              <w:pStyle w:val="4Text"/>
              <w:spacing w:after="80"/>
            </w:pPr>
            <w:r>
              <w:rPr>
                <w:rFonts w:eastAsia="Arial"/>
              </w:rPr>
              <w:t>This document outlines the University’s guidelines for the environmentally responsible use of Artificial Intelligence (AI), including Generative AI (GenAI), across research, teaching, operations and procurement.</w:t>
            </w:r>
          </w:p>
          <w:p w14:paraId="621E535E" w14:textId="77777777" w:rsidR="004A12F4" w:rsidRDefault="0079293B">
            <w:pPr>
              <w:pStyle w:val="4Text"/>
              <w:spacing w:after="80"/>
            </w:pPr>
            <w:r>
              <w:rPr>
                <w:rFonts w:eastAsia="Arial"/>
              </w:rPr>
              <w:t>This document supports the University’s commitments to environmental sustainability, digital responsibility, and social value, ensuring that innovation in AI aligns with our institution’s climate and sustainability objectives.</w:t>
            </w:r>
          </w:p>
          <w:p w14:paraId="407116FD" w14:textId="77777777" w:rsidR="004A12F4" w:rsidRDefault="0079293B">
            <w:pPr>
              <w:pStyle w:val="4Text"/>
              <w:spacing w:after="80"/>
            </w:pPr>
            <w:r>
              <w:rPr>
                <w:rFonts w:eastAsia="Arial"/>
              </w:rPr>
              <w:t>The authors of this guideline recognise that many AI systems, particularly large-scale generative systems, require substantial computational power, electricity, water, data storage and hardware resources across their lifecycle. Use of such tools should therefore not be treated as a default option. Its use should be justified in relation to need, expected benefit, quality, accountability, and environmental impact.</w:t>
            </w:r>
          </w:p>
          <w:p w14:paraId="4D8BB995" w14:textId="77777777" w:rsidR="004A12F4" w:rsidRDefault="0079293B">
            <w:pPr>
              <w:pStyle w:val="4Text"/>
              <w:spacing w:after="80"/>
            </w:pPr>
            <w:r>
              <w:rPr>
                <w:rFonts w:eastAsia="Arial"/>
              </w:rPr>
              <w:t>It is also acknowledged that the University is adopting Generative AI tools as part of its overall strategy, and such institutional adoption acts as a multiplier of environmental impacts across thousands of users. For this reason, the University commits to working with the providers of these tools to measure, monitor and mitigate the environmental impact of these tools.</w:t>
            </w:r>
          </w:p>
          <w:p w14:paraId="045B6286" w14:textId="77777777" w:rsidR="004A12F4" w:rsidRDefault="0079293B">
            <w:pPr>
              <w:pStyle w:val="4Text"/>
              <w:spacing w:after="80"/>
            </w:pPr>
            <w:r>
              <w:rPr>
                <w:rFonts w:eastAsia="Arial"/>
              </w:rPr>
              <w:t>This guideline adopts the OECD definition of AI: an AI system is a machine-based system that, for explicit or implicit objectives, infers from input data how to generate outputs such as predictions, content, recommendations or decisions that influence physical or virtual environments.</w:t>
            </w:r>
          </w:p>
          <w:p w14:paraId="40DF568B" w14:textId="77777777" w:rsidR="004A12F4" w:rsidRDefault="0079293B">
            <w:pPr>
              <w:pStyle w:val="4Text"/>
              <w:spacing w:after="80"/>
            </w:pPr>
            <w:r>
              <w:rPr>
                <w:rFonts w:eastAsia="Arial"/>
              </w:rPr>
              <w:t>This guideline is intended to align with the University’s Net Zero commitments and carbon reduction strategy, including Scope 2 and Scope 3 emissions associated with digital infrastructure and AI services.</w:t>
            </w:r>
          </w:p>
        </w:tc>
      </w:tr>
    </w:tbl>
    <w:p w14:paraId="6FE6093A" w14:textId="77777777" w:rsidR="004A12F4" w:rsidRDefault="004A12F4">
      <w:pPr>
        <w:spacing w:after="160"/>
      </w:pPr>
    </w:p>
    <w:tbl>
      <w:tblPr>
        <w:tblStyle w:val="TableGrid"/>
        <w:tblW w:w="11153" w:type="dxa"/>
        <w:tblInd w:w="-10" w:type="dxa"/>
        <w:tblBorders>
          <w:top w:val="single" w:sz="8" w:space="0" w:color="F3F1E8" w:themeColor="background1"/>
          <w:left w:val="single" w:sz="8" w:space="0" w:color="F3F1E8" w:themeColor="background1"/>
          <w:bottom w:val="single" w:sz="8" w:space="0" w:color="F3F1E8" w:themeColor="background1"/>
          <w:right w:val="single" w:sz="8" w:space="0" w:color="F3F1E8" w:themeColor="background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1153"/>
      </w:tblGrid>
      <w:tr w:rsidR="004A12F4" w14:paraId="0CCF233D" w14:textId="77777777">
        <w:tc>
          <w:tcPr>
            <w:tcW w:w="11153" w:type="dxa"/>
            <w:shd w:val="clear" w:color="auto" w:fill="402D43"/>
          </w:tcPr>
          <w:p w14:paraId="66FCD6F3" w14:textId="77777777" w:rsidR="004A12F4" w:rsidRDefault="0079293B">
            <w:pPr>
              <w:pStyle w:val="3Boxtitle"/>
            </w:pPr>
            <w:r>
              <w:rPr>
                <w:rFonts w:eastAsia="Arial"/>
                <w:color w:val="F3F1E8"/>
                <w:sz w:val="28"/>
              </w:rPr>
              <w:t>2. Scope</w:t>
            </w:r>
          </w:p>
        </w:tc>
      </w:tr>
      <w:tr w:rsidR="004A12F4" w14:paraId="793E4D47" w14:textId="77777777">
        <w:tc>
          <w:tcPr>
            <w:tcW w:w="11153" w:type="dxa"/>
            <w:shd w:val="clear" w:color="auto" w:fill="FFFFFF"/>
          </w:tcPr>
          <w:p w14:paraId="0187916A" w14:textId="77777777" w:rsidR="004A12F4" w:rsidRDefault="0079293B">
            <w:pPr>
              <w:pStyle w:val="4Text"/>
              <w:spacing w:after="80"/>
            </w:pPr>
            <w:r>
              <w:rPr>
                <w:rFonts w:eastAsia="Arial"/>
              </w:rPr>
              <w:t>This guideline applies to all staff, students, researchers, contractors and partners engaging in AI-related activities on behalf of the University. It applies to both internally developed AI systems and externally procured AI services, including predictive modelling, image recognition, speech and sound recognition, natural language processing, and generative tools.</w:t>
            </w:r>
          </w:p>
          <w:p w14:paraId="48E2301A" w14:textId="77777777" w:rsidR="004A12F4" w:rsidRDefault="0079293B">
            <w:pPr>
              <w:pStyle w:val="4Text"/>
              <w:spacing w:after="80"/>
            </w:pPr>
            <w:r>
              <w:rPr>
                <w:rFonts w:eastAsia="Arial"/>
              </w:rPr>
              <w:t>It covers AI use in:</w:t>
            </w:r>
          </w:p>
          <w:p w14:paraId="285C2FD0" w14:textId="77777777" w:rsidR="004A12F4" w:rsidRDefault="0079293B">
            <w:pPr>
              <w:pStyle w:val="4Text"/>
              <w:spacing w:after="80"/>
              <w:ind w:left="360" w:hanging="259"/>
            </w:pPr>
            <w:r>
              <w:rPr>
                <w:rFonts w:eastAsia="Arial"/>
              </w:rPr>
              <w:t>•</w:t>
            </w:r>
            <w:r>
              <w:rPr>
                <w:rFonts w:eastAsia="Arial"/>
              </w:rPr>
              <w:tab/>
              <w:t>Research and innovation</w:t>
            </w:r>
          </w:p>
          <w:p w14:paraId="73A2FFBF" w14:textId="77777777" w:rsidR="004A12F4" w:rsidRDefault="0079293B">
            <w:pPr>
              <w:pStyle w:val="4Text"/>
              <w:spacing w:after="80"/>
              <w:ind w:left="360" w:hanging="259"/>
            </w:pPr>
            <w:r>
              <w:rPr>
                <w:rFonts w:eastAsia="Arial"/>
              </w:rPr>
              <w:t>•</w:t>
            </w:r>
            <w:r>
              <w:rPr>
                <w:rFonts w:eastAsia="Arial"/>
              </w:rPr>
              <w:tab/>
              <w:t>Teaching, learning and scholarship</w:t>
            </w:r>
          </w:p>
          <w:p w14:paraId="4F3A43A3" w14:textId="77777777" w:rsidR="004A12F4" w:rsidRDefault="0079293B">
            <w:pPr>
              <w:pStyle w:val="4Text"/>
              <w:spacing w:after="80"/>
              <w:ind w:left="360" w:hanging="259"/>
            </w:pPr>
            <w:r>
              <w:rPr>
                <w:rFonts w:eastAsia="Arial"/>
              </w:rPr>
              <w:t>•</w:t>
            </w:r>
            <w:r>
              <w:rPr>
                <w:rFonts w:eastAsia="Arial"/>
              </w:rPr>
              <w:tab/>
              <w:t>Professional services and administration</w:t>
            </w:r>
          </w:p>
          <w:p w14:paraId="0941AACC" w14:textId="77777777" w:rsidR="004A12F4" w:rsidRDefault="0079293B">
            <w:pPr>
              <w:pStyle w:val="4Text"/>
              <w:spacing w:after="80"/>
              <w:ind w:left="360" w:hanging="259"/>
            </w:pPr>
            <w:r>
              <w:rPr>
                <w:rFonts w:eastAsia="Arial"/>
              </w:rPr>
              <w:t>•</w:t>
            </w:r>
            <w:r>
              <w:rPr>
                <w:rFonts w:eastAsia="Arial"/>
              </w:rPr>
              <w:tab/>
              <w:t>Procurement and digital infrastructure</w:t>
            </w:r>
          </w:p>
          <w:p w14:paraId="3741FAC6" w14:textId="77777777" w:rsidR="004A12F4" w:rsidRDefault="0079293B">
            <w:pPr>
              <w:pStyle w:val="4Text"/>
              <w:spacing w:after="80"/>
              <w:ind w:left="360" w:hanging="259"/>
            </w:pPr>
            <w:r>
              <w:rPr>
                <w:rFonts w:eastAsia="Arial"/>
              </w:rPr>
              <w:t>•</w:t>
            </w:r>
            <w:r>
              <w:rPr>
                <w:rFonts w:eastAsia="Arial"/>
              </w:rPr>
              <w:tab/>
              <w:t>Institutional governance and strategy</w:t>
            </w:r>
          </w:p>
        </w:tc>
      </w:tr>
    </w:tbl>
    <w:p w14:paraId="66278458" w14:textId="77777777" w:rsidR="004A12F4" w:rsidRDefault="004A12F4">
      <w:pPr>
        <w:spacing w:after="160"/>
      </w:pPr>
    </w:p>
    <w:tbl>
      <w:tblPr>
        <w:tblStyle w:val="TableGrid"/>
        <w:tblW w:w="11153" w:type="dxa"/>
        <w:tblInd w:w="-10" w:type="dxa"/>
        <w:tblBorders>
          <w:top w:val="single" w:sz="8" w:space="0" w:color="F3F1E8" w:themeColor="background1"/>
          <w:left w:val="single" w:sz="8" w:space="0" w:color="F3F1E8" w:themeColor="background1"/>
          <w:bottom w:val="single" w:sz="8" w:space="0" w:color="F3F1E8" w:themeColor="background1"/>
          <w:right w:val="single" w:sz="8" w:space="0" w:color="F3F1E8" w:themeColor="background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1153"/>
      </w:tblGrid>
      <w:tr w:rsidR="004A12F4" w14:paraId="2E9FBDCE" w14:textId="77777777">
        <w:tc>
          <w:tcPr>
            <w:tcW w:w="11153" w:type="dxa"/>
            <w:shd w:val="clear" w:color="auto" w:fill="402D43"/>
          </w:tcPr>
          <w:p w14:paraId="150CFF02" w14:textId="77777777" w:rsidR="004A12F4" w:rsidRDefault="0079293B">
            <w:pPr>
              <w:pStyle w:val="3Boxtitle"/>
            </w:pPr>
            <w:r>
              <w:rPr>
                <w:rFonts w:eastAsia="Arial"/>
                <w:color w:val="F3F1E8"/>
                <w:sz w:val="28"/>
              </w:rPr>
              <w:t>3. Guiding Principles</w:t>
            </w:r>
          </w:p>
        </w:tc>
      </w:tr>
      <w:tr w:rsidR="004A12F4" w14:paraId="033CF281" w14:textId="77777777">
        <w:tc>
          <w:tcPr>
            <w:tcW w:w="11153" w:type="dxa"/>
            <w:shd w:val="clear" w:color="auto" w:fill="FFFFFF"/>
          </w:tcPr>
          <w:p w14:paraId="414145A7" w14:textId="77777777" w:rsidR="004A12F4" w:rsidRDefault="0079293B">
            <w:pPr>
              <w:pStyle w:val="4Text"/>
              <w:spacing w:after="80"/>
            </w:pPr>
            <w:r>
              <w:rPr>
                <w:rFonts w:eastAsia="Arial"/>
              </w:rPr>
              <w:lastRenderedPageBreak/>
              <w:t>All AI use at the University shall be guided by the following principles:</w:t>
            </w:r>
          </w:p>
          <w:p w14:paraId="0019EBE4" w14:textId="77777777" w:rsidR="004A12F4" w:rsidRDefault="0079293B">
            <w:pPr>
              <w:pStyle w:val="4Text"/>
              <w:spacing w:after="80"/>
              <w:ind w:left="360" w:hanging="259"/>
            </w:pPr>
            <w:r>
              <w:rPr>
                <w:rFonts w:eastAsia="Arial"/>
              </w:rPr>
              <w:t>•</w:t>
            </w:r>
            <w:r>
              <w:rPr>
                <w:rFonts w:eastAsia="Arial"/>
              </w:rPr>
              <w:tab/>
            </w:r>
            <w:r>
              <w:rPr>
                <w:rFonts w:eastAsia="Arial"/>
                <w:b/>
              </w:rPr>
              <w:t>Necessity.</w:t>
            </w:r>
            <w:r>
              <w:rPr>
                <w:rFonts w:eastAsia="Arial"/>
              </w:rPr>
              <w:t xml:space="preserve"> AI should only be used where it adds clear and demonstrable value.</w:t>
            </w:r>
          </w:p>
          <w:p w14:paraId="7CDD2024" w14:textId="77777777" w:rsidR="004A12F4" w:rsidRDefault="0079293B">
            <w:pPr>
              <w:pStyle w:val="4Text"/>
              <w:spacing w:after="80"/>
              <w:ind w:left="360" w:hanging="259"/>
            </w:pPr>
            <w:r>
              <w:rPr>
                <w:rFonts w:eastAsia="Arial"/>
              </w:rPr>
              <w:t>•</w:t>
            </w:r>
            <w:r>
              <w:rPr>
                <w:rFonts w:eastAsia="Arial"/>
              </w:rPr>
              <w:tab/>
            </w:r>
            <w:r>
              <w:rPr>
                <w:rFonts w:eastAsia="Arial"/>
                <w:b/>
              </w:rPr>
              <w:t>Proportionality.</w:t>
            </w:r>
            <w:r>
              <w:rPr>
                <w:rFonts w:eastAsia="Arial"/>
              </w:rPr>
              <w:t xml:space="preserve"> The estimated environmental cost should be proportionate to the expected benefit. Rebound effects should also be considered: increased efficiency due to the use of AI may lead to increased use, and subsequent amplified environmental impact.</w:t>
            </w:r>
          </w:p>
          <w:p w14:paraId="4A2711B8" w14:textId="77777777" w:rsidR="004A12F4" w:rsidRDefault="0079293B">
            <w:pPr>
              <w:pStyle w:val="4Text"/>
              <w:spacing w:after="80"/>
              <w:ind w:left="360" w:hanging="259"/>
            </w:pPr>
            <w:r>
              <w:rPr>
                <w:rFonts w:eastAsia="Arial"/>
              </w:rPr>
              <w:t>•</w:t>
            </w:r>
            <w:r>
              <w:rPr>
                <w:rFonts w:eastAsia="Arial"/>
              </w:rPr>
              <w:tab/>
            </w:r>
            <w:r>
              <w:rPr>
                <w:rFonts w:eastAsia="Arial"/>
                <w:b/>
              </w:rPr>
              <w:t>Efficiency.</w:t>
            </w:r>
            <w:r>
              <w:rPr>
                <w:rFonts w:eastAsia="Arial"/>
              </w:rPr>
              <w:t xml:space="preserve"> The most resource-efficient method capable of achieving the required outcome should be selected.</w:t>
            </w:r>
          </w:p>
          <w:p w14:paraId="57DF976F" w14:textId="77777777" w:rsidR="004A12F4" w:rsidRDefault="0079293B">
            <w:pPr>
              <w:pStyle w:val="4Text"/>
              <w:spacing w:after="80"/>
              <w:ind w:left="360" w:hanging="259"/>
            </w:pPr>
            <w:r>
              <w:rPr>
                <w:rFonts w:eastAsia="Arial"/>
              </w:rPr>
              <w:t>•</w:t>
            </w:r>
            <w:r>
              <w:rPr>
                <w:rFonts w:eastAsia="Arial"/>
              </w:rPr>
              <w:tab/>
            </w:r>
            <w:r>
              <w:rPr>
                <w:rFonts w:eastAsia="Arial"/>
                <w:b/>
              </w:rPr>
              <w:t>Shared responsibility.</w:t>
            </w:r>
            <w:r>
              <w:rPr>
                <w:rFonts w:eastAsia="Arial"/>
              </w:rPr>
              <w:t xml:space="preserve"> Environmental responsibility for AI is a joint commitment. The University of Manchester will minimise environmental impacts at a strategic level through governance, procurement and infrastructure choices, and will support academics, professional services and students to understand and adopt low-impact ways of working in day-to-day AI use.</w:t>
            </w:r>
          </w:p>
          <w:p w14:paraId="37C16420" w14:textId="77777777" w:rsidR="004A12F4" w:rsidRDefault="0079293B">
            <w:pPr>
              <w:pStyle w:val="4Text"/>
              <w:spacing w:after="80"/>
              <w:ind w:left="360" w:hanging="259"/>
            </w:pPr>
            <w:r>
              <w:rPr>
                <w:rFonts w:eastAsia="Arial"/>
              </w:rPr>
              <w:t>•</w:t>
            </w:r>
            <w:r>
              <w:rPr>
                <w:rFonts w:eastAsia="Arial"/>
              </w:rPr>
              <w:tab/>
            </w:r>
            <w:r>
              <w:rPr>
                <w:rFonts w:eastAsia="Arial"/>
                <w:b/>
              </w:rPr>
              <w:t>Transparency and accountability.</w:t>
            </w:r>
            <w:r>
              <w:rPr>
                <w:rFonts w:eastAsia="Arial"/>
              </w:rPr>
              <w:t xml:space="preserve"> AI use should be documented to a level proportionate to the task and risk, to allow for potential a-posteriori estimation of the environmental costs. Where relevant, this should include the system or tool used, the purpose of use, material prompts or instructions, data sources invoked, human oversight applied, and how outputs were checked or validated.</w:t>
            </w:r>
          </w:p>
          <w:p w14:paraId="112B018F" w14:textId="77777777" w:rsidR="004A12F4" w:rsidRDefault="0079293B">
            <w:pPr>
              <w:pStyle w:val="4Text"/>
              <w:spacing w:after="80"/>
              <w:ind w:left="360" w:hanging="259"/>
            </w:pPr>
            <w:r>
              <w:rPr>
                <w:rFonts w:eastAsia="Arial"/>
              </w:rPr>
              <w:t>•</w:t>
            </w:r>
            <w:r>
              <w:rPr>
                <w:rFonts w:eastAsia="Arial"/>
              </w:rPr>
              <w:tab/>
            </w:r>
            <w:r>
              <w:rPr>
                <w:rFonts w:eastAsia="Arial"/>
                <w:b/>
              </w:rPr>
              <w:t>Sustainability.</w:t>
            </w:r>
            <w:r>
              <w:rPr>
                <w:rFonts w:eastAsia="Arial"/>
              </w:rPr>
              <w:t xml:space="preserve"> AI infrastructure, hardware and software, including that used by tools employed by the University, should support sustainable use, including reuse, sharing, repurposing and, where appropriate, circular economy principles, subject to legal, ethical and data-governance requirements.</w:t>
            </w:r>
          </w:p>
          <w:p w14:paraId="39E78DF0" w14:textId="77777777" w:rsidR="004A12F4" w:rsidRDefault="0079293B">
            <w:pPr>
              <w:pStyle w:val="4Text"/>
              <w:spacing w:after="80"/>
              <w:ind w:left="360" w:hanging="259"/>
            </w:pPr>
            <w:r>
              <w:rPr>
                <w:rFonts w:eastAsia="Arial"/>
              </w:rPr>
              <w:t>•</w:t>
            </w:r>
            <w:r>
              <w:rPr>
                <w:rFonts w:eastAsia="Arial"/>
              </w:rPr>
              <w:tab/>
            </w:r>
            <w:r>
              <w:rPr>
                <w:rFonts w:eastAsia="Arial"/>
                <w:b/>
              </w:rPr>
              <w:t>Lifecycle responsibility.</w:t>
            </w:r>
            <w:r>
              <w:rPr>
                <w:rFonts w:eastAsia="Arial"/>
              </w:rPr>
              <w:t xml:space="preserve"> AI systems should be considered across their full lifecycle, including hardware manufacture, model training, inference (operation), and end-of-life management.</w:t>
            </w:r>
          </w:p>
        </w:tc>
      </w:tr>
    </w:tbl>
    <w:p w14:paraId="542FE8D2" w14:textId="77777777" w:rsidR="004A12F4" w:rsidRDefault="004A12F4">
      <w:pPr>
        <w:spacing w:after="160"/>
      </w:pPr>
    </w:p>
    <w:tbl>
      <w:tblPr>
        <w:tblStyle w:val="TableGrid"/>
        <w:tblW w:w="11153" w:type="dxa"/>
        <w:tblInd w:w="-10" w:type="dxa"/>
        <w:tblBorders>
          <w:top w:val="single" w:sz="8" w:space="0" w:color="F3F1E8" w:themeColor="background1"/>
          <w:left w:val="single" w:sz="8" w:space="0" w:color="F3F1E8" w:themeColor="background1"/>
          <w:bottom w:val="single" w:sz="8" w:space="0" w:color="F3F1E8" w:themeColor="background1"/>
          <w:right w:val="single" w:sz="8" w:space="0" w:color="F3F1E8" w:themeColor="background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1153"/>
      </w:tblGrid>
      <w:tr w:rsidR="004A12F4" w14:paraId="225E9D13" w14:textId="77777777">
        <w:tc>
          <w:tcPr>
            <w:tcW w:w="11153" w:type="dxa"/>
            <w:shd w:val="clear" w:color="auto" w:fill="402D43"/>
          </w:tcPr>
          <w:p w14:paraId="4D03B5B4" w14:textId="77777777" w:rsidR="004A12F4" w:rsidRDefault="0079293B">
            <w:pPr>
              <w:pStyle w:val="3Boxtitle"/>
            </w:pPr>
            <w:r>
              <w:rPr>
                <w:rFonts w:eastAsia="Arial"/>
                <w:color w:val="F3F1E8"/>
                <w:sz w:val="28"/>
              </w:rPr>
              <w:t>4. Broad motivation for these guidelines: the environmental cost of AI tools</w:t>
            </w:r>
          </w:p>
        </w:tc>
      </w:tr>
      <w:tr w:rsidR="004A12F4" w14:paraId="78325567" w14:textId="77777777">
        <w:tc>
          <w:tcPr>
            <w:tcW w:w="11153" w:type="dxa"/>
            <w:shd w:val="clear" w:color="auto" w:fill="FFFFFF"/>
          </w:tcPr>
          <w:p w14:paraId="22BC9DD9" w14:textId="77777777" w:rsidR="004A12F4" w:rsidRDefault="0079293B">
            <w:pPr>
              <w:pStyle w:val="4Text"/>
              <w:spacing w:after="80"/>
            </w:pPr>
            <w:r>
              <w:rPr>
                <w:rFonts w:eastAsia="Arial"/>
              </w:rPr>
              <w:t>The International Energy Agency projects that electricity demand from data centres worldwide will more than double to around 945 TWh by 2030, with AI the most significant driver of this increase; electricity demand from specifically AI-optimised data centres is projected to more than quadruple by 2030 (https://www.iea.org/reports/energy-and-ai/executive-summary).</w:t>
            </w:r>
          </w:p>
          <w:p w14:paraId="39004D4C" w14:textId="77777777" w:rsidR="004A12F4" w:rsidRDefault="0079293B">
            <w:pPr>
              <w:pStyle w:val="4Text"/>
              <w:spacing w:after="80"/>
            </w:pPr>
            <w:r>
              <w:rPr>
                <w:rFonts w:eastAsia="Arial"/>
              </w:rPr>
              <w:t>Environmental impacts are not limited to electricity demand. For example, a study by the International Energy Agency estimates, for illustration, that a 100 MW data centre in the United States may consume roughly the same amount of water as 2,600 households, accounting only for direct water consumption and averaged across the various cooling (https://iea.blob.core.windows.net/assets/34eac603-ecf1-464f-b813-2ecceb8f81c2/EnergyandAI.pdf)</w:t>
            </w:r>
          </w:p>
          <w:p w14:paraId="5BA230AD" w14:textId="77777777" w:rsidR="004A12F4" w:rsidRDefault="0079293B">
            <w:pPr>
              <w:pStyle w:val="4Text"/>
              <w:spacing w:after="80"/>
            </w:pPr>
            <w:r>
              <w:rPr>
                <w:rFonts w:eastAsia="Arial"/>
              </w:rPr>
              <w:t>Further reviews underscore the importance of considering the entire lifecycle assessment for data centres, including the production, transport and disposal of their hardware, to obtain a comprehensive estimate of the environmental impact of Generative AI tools. (https://www.nature.com/articles/s41893-025-01681-y, https://www.frontiersin.org/journals/sustainability/articles/10.3389/frsus.2026.1726832/full).</w:t>
            </w:r>
          </w:p>
        </w:tc>
      </w:tr>
    </w:tbl>
    <w:p w14:paraId="3E035A96" w14:textId="77777777" w:rsidR="004A12F4" w:rsidRDefault="004A12F4">
      <w:pPr>
        <w:spacing w:after="160"/>
      </w:pPr>
    </w:p>
    <w:tbl>
      <w:tblPr>
        <w:tblStyle w:val="TableGrid"/>
        <w:tblW w:w="11153" w:type="dxa"/>
        <w:tblInd w:w="-10" w:type="dxa"/>
        <w:tblBorders>
          <w:top w:val="single" w:sz="8" w:space="0" w:color="F3F1E8" w:themeColor="background1"/>
          <w:left w:val="single" w:sz="8" w:space="0" w:color="F3F1E8" w:themeColor="background1"/>
          <w:bottom w:val="single" w:sz="8" w:space="0" w:color="F3F1E8" w:themeColor="background1"/>
          <w:right w:val="single" w:sz="8" w:space="0" w:color="F3F1E8" w:themeColor="background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1153"/>
      </w:tblGrid>
      <w:tr w:rsidR="004A12F4" w14:paraId="052A402D" w14:textId="77777777">
        <w:tc>
          <w:tcPr>
            <w:tcW w:w="11153" w:type="dxa"/>
            <w:shd w:val="clear" w:color="auto" w:fill="402D43"/>
          </w:tcPr>
          <w:p w14:paraId="21B7043C" w14:textId="77777777" w:rsidR="004A12F4" w:rsidRDefault="0079293B">
            <w:pPr>
              <w:pStyle w:val="3Boxtitle"/>
            </w:pPr>
            <w:r>
              <w:rPr>
                <w:rFonts w:eastAsia="Arial"/>
                <w:color w:val="F3F1E8"/>
                <w:sz w:val="28"/>
              </w:rPr>
              <w:t>5. Rationale and further details on the guiding principles</w:t>
            </w:r>
          </w:p>
        </w:tc>
      </w:tr>
      <w:tr w:rsidR="004A12F4" w14:paraId="5368FD95" w14:textId="77777777">
        <w:tc>
          <w:tcPr>
            <w:tcW w:w="11153" w:type="dxa"/>
            <w:shd w:val="clear" w:color="auto" w:fill="36639E"/>
          </w:tcPr>
          <w:p w14:paraId="40ECB1AC" w14:textId="77777777" w:rsidR="004A12F4" w:rsidRDefault="0079293B">
            <w:pPr>
              <w:pStyle w:val="5Subboxtitle"/>
            </w:pPr>
            <w:r>
              <w:rPr>
                <w:rFonts w:eastAsia="Arial"/>
                <w:color w:val="F3F1E8"/>
              </w:rPr>
              <w:t>5.1 Infrastructure and Data Centres</w:t>
            </w:r>
          </w:p>
        </w:tc>
      </w:tr>
      <w:tr w:rsidR="004A12F4" w14:paraId="35F4F737" w14:textId="77777777">
        <w:tc>
          <w:tcPr>
            <w:tcW w:w="11153" w:type="dxa"/>
            <w:shd w:val="clear" w:color="auto" w:fill="FFFFFF"/>
          </w:tcPr>
          <w:p w14:paraId="7DD51EC2" w14:textId="77777777" w:rsidR="004A12F4" w:rsidRDefault="0079293B">
            <w:pPr>
              <w:pStyle w:val="4Text"/>
              <w:spacing w:after="80"/>
            </w:pPr>
            <w:r>
              <w:rPr>
                <w:rFonts w:eastAsia="Arial"/>
              </w:rPr>
              <w:t>When procuring or partnering for AI services, environmental considerations should be an explicit part of tender requirements/assessment criteria and include:</w:t>
            </w:r>
          </w:p>
          <w:p w14:paraId="7409EC50" w14:textId="77777777" w:rsidR="004A12F4" w:rsidRDefault="0079293B">
            <w:pPr>
              <w:pStyle w:val="4Text"/>
              <w:spacing w:after="80"/>
              <w:ind w:left="360" w:hanging="259"/>
            </w:pPr>
            <w:r>
              <w:rPr>
                <w:rFonts w:eastAsia="Arial"/>
              </w:rPr>
              <w:t>•</w:t>
            </w:r>
            <w:r>
              <w:rPr>
                <w:rFonts w:eastAsia="Arial"/>
              </w:rPr>
              <w:tab/>
              <w:t>Low-carbon electricity supply.</w:t>
            </w:r>
          </w:p>
          <w:p w14:paraId="3BBBB25F" w14:textId="77777777" w:rsidR="004A12F4" w:rsidRDefault="0079293B">
            <w:pPr>
              <w:pStyle w:val="4Text"/>
              <w:spacing w:after="80"/>
              <w:ind w:left="360" w:hanging="259"/>
            </w:pPr>
            <w:r>
              <w:rPr>
                <w:rFonts w:eastAsia="Arial"/>
              </w:rPr>
              <w:t>•</w:t>
            </w:r>
            <w:r>
              <w:rPr>
                <w:rFonts w:eastAsia="Arial"/>
              </w:rPr>
              <w:tab/>
              <w:t>Low-carbon embodied emissions (e.g. data centres constructed without concrete)</w:t>
            </w:r>
          </w:p>
          <w:p w14:paraId="2AB6C359" w14:textId="77777777" w:rsidR="004A12F4" w:rsidRDefault="0079293B">
            <w:pPr>
              <w:pStyle w:val="4Text"/>
              <w:spacing w:after="80"/>
              <w:ind w:left="360" w:hanging="259"/>
            </w:pPr>
            <w:r>
              <w:rPr>
                <w:rFonts w:eastAsia="Arial"/>
              </w:rPr>
              <w:t>•</w:t>
            </w:r>
            <w:r>
              <w:rPr>
                <w:rFonts w:eastAsia="Arial"/>
              </w:rPr>
              <w:tab/>
              <w:t>High energy efficiency (e.g., low Power Usage Effectiveness).</w:t>
            </w:r>
          </w:p>
          <w:p w14:paraId="40710932" w14:textId="77777777" w:rsidR="004A12F4" w:rsidRDefault="0079293B">
            <w:pPr>
              <w:pStyle w:val="4Text"/>
              <w:spacing w:after="80"/>
              <w:ind w:left="360" w:hanging="259"/>
            </w:pPr>
            <w:r>
              <w:rPr>
                <w:rFonts w:eastAsia="Arial"/>
              </w:rPr>
              <w:t>•</w:t>
            </w:r>
            <w:r>
              <w:rPr>
                <w:rFonts w:eastAsia="Arial"/>
              </w:rPr>
              <w:tab/>
              <w:t>Importance of the localisation of data centre (e.g. cold climate locations reduce the need for cooling) and integration with other facilities (e.g. to provide heat to neighbours)</w:t>
            </w:r>
          </w:p>
          <w:p w14:paraId="4B7A912A" w14:textId="77777777" w:rsidR="004A12F4" w:rsidRDefault="0079293B">
            <w:pPr>
              <w:pStyle w:val="4Text"/>
              <w:spacing w:after="80"/>
              <w:ind w:left="360" w:hanging="259"/>
            </w:pPr>
            <w:r>
              <w:rPr>
                <w:rFonts w:eastAsia="Arial"/>
              </w:rPr>
              <w:t>•</w:t>
            </w:r>
            <w:r>
              <w:rPr>
                <w:rFonts w:eastAsia="Arial"/>
              </w:rPr>
              <w:tab/>
              <w:t>Water-efficient cooling systems (e.g. closed loop water, grey water cooling, data centres in cold parts of the world)</w:t>
            </w:r>
          </w:p>
          <w:p w14:paraId="381FD578" w14:textId="77777777" w:rsidR="004A12F4" w:rsidRDefault="0079293B">
            <w:pPr>
              <w:pStyle w:val="4Text"/>
              <w:spacing w:after="80"/>
              <w:ind w:left="360" w:hanging="259"/>
            </w:pPr>
            <w:r>
              <w:rPr>
                <w:rFonts w:eastAsia="Arial"/>
              </w:rPr>
              <w:t>•</w:t>
            </w:r>
            <w:r>
              <w:rPr>
                <w:rFonts w:eastAsia="Arial"/>
              </w:rPr>
              <w:tab/>
              <w:t>Plans for sustainable decommissioning in accordance with the waste hierarchy.</w:t>
            </w:r>
          </w:p>
          <w:p w14:paraId="384D34EF" w14:textId="77777777" w:rsidR="004A12F4" w:rsidRDefault="0079293B">
            <w:pPr>
              <w:pStyle w:val="4Text"/>
              <w:spacing w:after="80"/>
              <w:ind w:left="360" w:hanging="259"/>
            </w:pPr>
            <w:r>
              <w:rPr>
                <w:rFonts w:eastAsia="Arial"/>
              </w:rPr>
              <w:lastRenderedPageBreak/>
              <w:t>•</w:t>
            </w:r>
            <w:r>
              <w:rPr>
                <w:rFonts w:eastAsia="Arial"/>
              </w:rPr>
              <w:tab/>
              <w:t>Investigate environmental certifications such as ISO 14001 or BREEAM</w:t>
            </w:r>
          </w:p>
          <w:p w14:paraId="04F49496" w14:textId="77777777" w:rsidR="004A12F4" w:rsidRDefault="0079293B">
            <w:pPr>
              <w:pStyle w:val="4Text"/>
              <w:spacing w:after="80"/>
              <w:ind w:left="360" w:hanging="259"/>
            </w:pPr>
            <w:r>
              <w:rPr>
                <w:rFonts w:eastAsia="Arial"/>
              </w:rPr>
              <w:t>•</w:t>
            </w:r>
            <w:r>
              <w:rPr>
                <w:rFonts w:eastAsia="Arial"/>
              </w:rPr>
              <w:tab/>
              <w:t>Durable, energy-efficient, modular, repurposeable and recyclable hardware.</w:t>
            </w:r>
          </w:p>
        </w:tc>
      </w:tr>
      <w:tr w:rsidR="004A12F4" w14:paraId="111394F1" w14:textId="77777777">
        <w:tc>
          <w:tcPr>
            <w:tcW w:w="11153" w:type="dxa"/>
            <w:shd w:val="clear" w:color="auto" w:fill="36639E"/>
          </w:tcPr>
          <w:p w14:paraId="11BCBFB7" w14:textId="77777777" w:rsidR="004A12F4" w:rsidRDefault="0079293B">
            <w:pPr>
              <w:pStyle w:val="5Subboxtitle"/>
            </w:pPr>
            <w:r>
              <w:rPr>
                <w:rFonts w:eastAsia="Arial"/>
                <w:color w:val="F3F1E8"/>
              </w:rPr>
              <w:lastRenderedPageBreak/>
              <w:t>5.2 Determining Whether AI Is Required</w:t>
            </w:r>
          </w:p>
        </w:tc>
      </w:tr>
      <w:tr w:rsidR="004A12F4" w14:paraId="139EF5EC" w14:textId="77777777">
        <w:tc>
          <w:tcPr>
            <w:tcW w:w="11153" w:type="dxa"/>
            <w:shd w:val="clear" w:color="auto" w:fill="FFFFFF"/>
          </w:tcPr>
          <w:p w14:paraId="3745A3A3" w14:textId="77777777" w:rsidR="004A12F4" w:rsidRDefault="0079293B">
            <w:pPr>
              <w:pStyle w:val="4Text"/>
              <w:spacing w:after="80"/>
            </w:pPr>
            <w:r>
              <w:rPr>
                <w:rFonts w:eastAsia="Arial"/>
              </w:rPr>
              <w:t>Before using AI tools, individuals should consider whether AI is justified for the task in question. This is important because, as detailed in Section 4, AI use can be environmentally demanding, particularly where large generative models are used for routine or low-value tasks. Benchmarking research found that image generation uses, on average, over 60 times more energy than text generation (https://arxiv.org/pdf/2311.16863).   For this reason, AI should be used selectively and only where its expected benefits are clear and proportionate to its energy costs.</w:t>
            </w:r>
          </w:p>
          <w:p w14:paraId="05A38600" w14:textId="77777777" w:rsidR="004A12F4" w:rsidRDefault="0079293B">
            <w:pPr>
              <w:pStyle w:val="4Text"/>
              <w:spacing w:after="80"/>
            </w:pPr>
            <w:r>
              <w:rPr>
                <w:rFonts w:eastAsia="Arial"/>
              </w:rPr>
              <w:t>Key questions include:</w:t>
            </w:r>
          </w:p>
          <w:p w14:paraId="6D58630C" w14:textId="77777777" w:rsidR="004A12F4" w:rsidRDefault="0079293B">
            <w:pPr>
              <w:pStyle w:val="4Text"/>
              <w:spacing w:after="80"/>
              <w:ind w:left="360" w:hanging="259"/>
            </w:pPr>
            <w:r>
              <w:rPr>
                <w:rFonts w:eastAsia="Arial"/>
              </w:rPr>
              <w:t>•</w:t>
            </w:r>
            <w:r>
              <w:rPr>
                <w:rFonts w:eastAsia="Arial"/>
              </w:rPr>
              <w:tab/>
              <w:t>Can the task be completed satisfactorily without AI?</w:t>
            </w:r>
          </w:p>
          <w:p w14:paraId="72DCB446" w14:textId="77777777" w:rsidR="004A12F4" w:rsidRDefault="0079293B">
            <w:pPr>
              <w:pStyle w:val="4Text"/>
              <w:spacing w:after="80"/>
              <w:ind w:left="360" w:hanging="259"/>
            </w:pPr>
            <w:r>
              <w:rPr>
                <w:rFonts w:eastAsia="Arial"/>
              </w:rPr>
              <w:t>•</w:t>
            </w:r>
            <w:r>
              <w:rPr>
                <w:rFonts w:eastAsia="Arial"/>
              </w:rPr>
              <w:tab/>
              <w:t>Would a less resource-intensive digital or non-digital method achieve the same outcome?</w:t>
            </w:r>
          </w:p>
          <w:p w14:paraId="17FCD772" w14:textId="77777777" w:rsidR="004A12F4" w:rsidRDefault="0079293B">
            <w:pPr>
              <w:pStyle w:val="4Text"/>
              <w:spacing w:after="80"/>
              <w:ind w:left="360" w:hanging="259"/>
            </w:pPr>
            <w:r>
              <w:rPr>
                <w:rFonts w:eastAsia="Arial"/>
              </w:rPr>
              <w:t>•</w:t>
            </w:r>
            <w:r>
              <w:rPr>
                <w:rFonts w:eastAsia="Arial"/>
              </w:rPr>
              <w:tab/>
              <w:t>What specific benefits are expected from using AI in this task, and are those benefits likely to be significant?</w:t>
            </w:r>
          </w:p>
          <w:p w14:paraId="59E1E72F" w14:textId="77777777" w:rsidR="004A12F4" w:rsidRDefault="0079293B">
            <w:pPr>
              <w:pStyle w:val="4Text"/>
              <w:spacing w:after="80"/>
              <w:ind w:left="360" w:hanging="259"/>
            </w:pPr>
            <w:r>
              <w:rPr>
                <w:rFonts w:eastAsia="Arial"/>
              </w:rPr>
              <w:t>•</w:t>
            </w:r>
            <w:r>
              <w:rPr>
                <w:rFonts w:eastAsia="Arial"/>
              </w:rPr>
              <w:tab/>
              <w:t>Can a high-quality existing resource be found, adapted or repurposed instead of generating new content or analysis?</w:t>
            </w:r>
          </w:p>
          <w:p w14:paraId="4A6EEDCF" w14:textId="77777777" w:rsidR="004A12F4" w:rsidRDefault="0079293B">
            <w:pPr>
              <w:pStyle w:val="4Text"/>
              <w:spacing w:after="80"/>
              <w:ind w:left="360" w:hanging="259"/>
            </w:pPr>
            <w:r>
              <w:rPr>
                <w:rFonts w:eastAsia="Arial"/>
              </w:rPr>
              <w:t>•</w:t>
            </w:r>
            <w:r>
              <w:rPr>
                <w:rFonts w:eastAsia="Arial"/>
              </w:rPr>
              <w:tab/>
              <w:t>Are the likely costs in terms of environmental impact, accuracy, quality, explainability, learning value and accountability acceptable?</w:t>
            </w:r>
          </w:p>
          <w:p w14:paraId="1CA60215" w14:textId="77777777" w:rsidR="004A12F4" w:rsidRDefault="0079293B">
            <w:pPr>
              <w:pStyle w:val="4Text"/>
              <w:spacing w:after="80"/>
              <w:ind w:left="360" w:hanging="259"/>
            </w:pPr>
            <w:r>
              <w:rPr>
                <w:rFonts w:eastAsia="Arial"/>
              </w:rPr>
              <w:t>•</w:t>
            </w:r>
            <w:r>
              <w:rPr>
                <w:rFonts w:eastAsia="Arial"/>
              </w:rPr>
              <w:tab/>
              <w:t>Is the task sufficiently important or of high value to justify AI use?</w:t>
            </w:r>
          </w:p>
          <w:p w14:paraId="27AA97FA" w14:textId="77777777" w:rsidR="004A12F4" w:rsidRDefault="0079293B">
            <w:pPr>
              <w:pStyle w:val="4Text"/>
              <w:spacing w:after="80"/>
            </w:pPr>
            <w:r>
              <w:rPr>
                <w:rFonts w:eastAsia="Arial"/>
              </w:rPr>
              <w:t>AI should not be used for trivial or low-value tasks where conventional tools are sufficient. Examples may include:</w:t>
            </w:r>
          </w:p>
          <w:p w14:paraId="56951C13" w14:textId="77777777" w:rsidR="004A12F4" w:rsidRDefault="0079293B">
            <w:pPr>
              <w:pStyle w:val="4Text"/>
              <w:spacing w:after="80"/>
              <w:ind w:left="360" w:hanging="259"/>
            </w:pPr>
            <w:r>
              <w:rPr>
                <w:rFonts w:eastAsia="Arial"/>
              </w:rPr>
              <w:t>•</w:t>
            </w:r>
            <w:r>
              <w:rPr>
                <w:rFonts w:eastAsia="Arial"/>
              </w:rPr>
              <w:tab/>
              <w:t>generating images simply to decorate presentations where no important technical or educational value is added, particularly where suitable stock images or existing University resources are already available;</w:t>
            </w:r>
          </w:p>
          <w:p w14:paraId="3162DEF8" w14:textId="77777777" w:rsidR="004A12F4" w:rsidRDefault="0079293B">
            <w:pPr>
              <w:pStyle w:val="4Text"/>
              <w:spacing w:after="80"/>
              <w:ind w:left="360" w:hanging="259"/>
            </w:pPr>
            <w:r>
              <w:rPr>
                <w:rFonts w:eastAsia="Arial"/>
              </w:rPr>
              <w:t>•</w:t>
            </w:r>
            <w:r>
              <w:rPr>
                <w:rFonts w:eastAsia="Arial"/>
              </w:rPr>
              <w:tab/>
              <w:t>using generative AI for basic information retrieval where conventional search tools would achieve the same result;</w:t>
            </w:r>
          </w:p>
          <w:p w14:paraId="3910904F" w14:textId="77777777" w:rsidR="004A12F4" w:rsidRDefault="0079293B">
            <w:pPr>
              <w:pStyle w:val="4Text"/>
              <w:spacing w:after="80"/>
              <w:ind w:left="360" w:hanging="259"/>
            </w:pPr>
            <w:r>
              <w:rPr>
                <w:rFonts w:eastAsia="Arial"/>
              </w:rPr>
              <w:t>•</w:t>
            </w:r>
            <w:r>
              <w:rPr>
                <w:rFonts w:eastAsia="Arial"/>
              </w:rPr>
              <w:tab/>
              <w:t>drafting or summarising short routine emails where the likely gains are limited and may be offset by the need for checking, correction or reworking.</w:t>
            </w:r>
          </w:p>
          <w:p w14:paraId="4B7CF3BA" w14:textId="77777777" w:rsidR="004A12F4" w:rsidRDefault="0079293B">
            <w:pPr>
              <w:pStyle w:val="4Text"/>
              <w:spacing w:after="80"/>
            </w:pPr>
            <w:r>
              <w:rPr>
                <w:rFonts w:eastAsia="Arial"/>
              </w:rPr>
              <w:t>Guidance, training and decision-support tools (see below) should be developed to help staff and students determine when AI use is justified for a particular task. Raising awareness of the environmental impacts of AI use should form an important part of this support.</w:t>
            </w:r>
          </w:p>
        </w:tc>
      </w:tr>
      <w:tr w:rsidR="004A12F4" w14:paraId="2DCE7BA0" w14:textId="77777777">
        <w:tc>
          <w:tcPr>
            <w:tcW w:w="11153" w:type="dxa"/>
            <w:shd w:val="clear" w:color="auto" w:fill="36639E"/>
          </w:tcPr>
          <w:p w14:paraId="544D1FEC" w14:textId="77777777" w:rsidR="004A12F4" w:rsidRDefault="0079293B">
            <w:pPr>
              <w:pStyle w:val="5Subboxtitle"/>
            </w:pPr>
            <w:r>
              <w:rPr>
                <w:rFonts w:eastAsia="Arial"/>
                <w:color w:val="F3F1E8"/>
              </w:rPr>
              <w:t>5.3 Responsible Operational Use</w:t>
            </w:r>
          </w:p>
        </w:tc>
      </w:tr>
      <w:tr w:rsidR="004A12F4" w14:paraId="68601418" w14:textId="77777777">
        <w:tc>
          <w:tcPr>
            <w:tcW w:w="11153" w:type="dxa"/>
            <w:shd w:val="clear" w:color="auto" w:fill="FFFFFF"/>
          </w:tcPr>
          <w:p w14:paraId="65696943" w14:textId="77777777" w:rsidR="004A12F4" w:rsidRDefault="0079293B">
            <w:pPr>
              <w:pStyle w:val="4Text"/>
              <w:spacing w:after="80"/>
            </w:pPr>
            <w:r>
              <w:rPr>
                <w:rFonts w:eastAsia="Arial"/>
              </w:rPr>
              <w:t>Where AI use is justified - for example, where no suitable existing resource can be found and repurposed, the expected benefits are clear, and the trade-offs in accuracy, quality, accountability and learning are acceptable - users should strive to:</w:t>
            </w:r>
          </w:p>
          <w:p w14:paraId="17F81BC4" w14:textId="77777777" w:rsidR="004A12F4" w:rsidRDefault="0079293B">
            <w:pPr>
              <w:pStyle w:val="4Text"/>
              <w:spacing w:after="80"/>
              <w:ind w:left="360" w:hanging="259"/>
            </w:pPr>
            <w:r>
              <w:rPr>
                <w:rFonts w:eastAsia="Arial"/>
              </w:rPr>
              <w:t>•</w:t>
            </w:r>
            <w:r>
              <w:rPr>
                <w:rFonts w:eastAsia="Arial"/>
              </w:rPr>
              <w:tab/>
              <w:t>Prefer smaller or task-specific models where suitable (e.g. simple tasks).</w:t>
            </w:r>
          </w:p>
          <w:p w14:paraId="244DDB50" w14:textId="77777777" w:rsidR="004A12F4" w:rsidRDefault="0079293B">
            <w:pPr>
              <w:pStyle w:val="4Text"/>
              <w:spacing w:after="80"/>
              <w:ind w:left="360" w:hanging="259"/>
            </w:pPr>
            <w:r>
              <w:rPr>
                <w:rFonts w:eastAsia="Arial"/>
              </w:rPr>
              <w:t>•</w:t>
            </w:r>
            <w:r>
              <w:rPr>
                <w:rFonts w:eastAsia="Arial"/>
              </w:rPr>
              <w:tab/>
              <w:t>Avoid unnecessary use of large-scale models or multimodal models where simpler tools would suffice.</w:t>
            </w:r>
          </w:p>
          <w:p w14:paraId="59E34CE0" w14:textId="77777777" w:rsidR="004A12F4" w:rsidRDefault="0079293B">
            <w:pPr>
              <w:pStyle w:val="4Text"/>
              <w:spacing w:after="80"/>
              <w:ind w:left="360" w:hanging="259"/>
            </w:pPr>
            <w:r>
              <w:rPr>
                <w:rFonts w:eastAsia="Arial"/>
              </w:rPr>
              <w:t>•</w:t>
            </w:r>
            <w:r>
              <w:rPr>
                <w:rFonts w:eastAsia="Arial"/>
              </w:rPr>
              <w:tab/>
              <w:t>Combine queries into clear, structured prompts.</w:t>
            </w:r>
          </w:p>
          <w:p w14:paraId="00090BCA" w14:textId="77777777" w:rsidR="004A12F4" w:rsidRDefault="0079293B">
            <w:pPr>
              <w:pStyle w:val="4Text"/>
              <w:spacing w:after="80"/>
              <w:ind w:left="360" w:hanging="259"/>
            </w:pPr>
            <w:r>
              <w:rPr>
                <w:rFonts w:eastAsia="Arial"/>
              </w:rPr>
              <w:t>•</w:t>
            </w:r>
            <w:r>
              <w:rPr>
                <w:rFonts w:eastAsia="Arial"/>
              </w:rPr>
              <w:tab/>
              <w:t>Set response length limits where appropriate. You can, for example, limit responses to 150 words for tasks where concise answers are sufficient</w:t>
            </w:r>
          </w:p>
          <w:p w14:paraId="7615F2C3" w14:textId="77777777" w:rsidR="004A12F4" w:rsidRDefault="0079293B">
            <w:pPr>
              <w:pStyle w:val="4Text"/>
              <w:spacing w:after="80"/>
              <w:ind w:left="360" w:hanging="259"/>
            </w:pPr>
            <w:r>
              <w:rPr>
                <w:rFonts w:eastAsia="Arial"/>
              </w:rPr>
              <w:t>•</w:t>
            </w:r>
            <w:r>
              <w:rPr>
                <w:rFonts w:eastAsia="Arial"/>
              </w:rPr>
              <w:tab/>
              <w:t>When you have several questions at once, or some tasks that are not immediately necessary, consider grouping (‘batching’) your prompts</w:t>
            </w:r>
          </w:p>
          <w:p w14:paraId="430F0D64" w14:textId="77777777" w:rsidR="004A12F4" w:rsidRDefault="0079293B">
            <w:pPr>
              <w:pStyle w:val="4Text"/>
              <w:spacing w:after="80"/>
              <w:ind w:left="360" w:hanging="259"/>
            </w:pPr>
            <w:r>
              <w:rPr>
                <w:rFonts w:eastAsia="Arial"/>
              </w:rPr>
              <w:t>•</w:t>
            </w:r>
            <w:r>
              <w:rPr>
                <w:rFonts w:eastAsia="Arial"/>
              </w:rPr>
              <w:tab/>
              <w:t>Avoid unnecessary regeneration of similar outputs. Many tools can save responses. When you have a similar question, refer back to past responses to avoid recomputation.</w:t>
            </w:r>
          </w:p>
          <w:p w14:paraId="338181D5" w14:textId="77777777" w:rsidR="004A12F4" w:rsidRDefault="0079293B">
            <w:pPr>
              <w:pStyle w:val="4Text"/>
              <w:spacing w:after="80"/>
              <w:ind w:left="360" w:hanging="259"/>
            </w:pPr>
            <w:r>
              <w:rPr>
                <w:rFonts w:eastAsia="Arial"/>
              </w:rPr>
              <w:t>•</w:t>
            </w:r>
            <w:r>
              <w:rPr>
                <w:rFonts w:eastAsia="Arial"/>
              </w:rPr>
              <w:tab/>
              <w:t>Clearly acknowledge AI-generated materials where required by policy.</w:t>
            </w:r>
          </w:p>
          <w:p w14:paraId="0A5E8D51" w14:textId="77777777" w:rsidR="004A12F4" w:rsidRDefault="0079293B">
            <w:pPr>
              <w:pStyle w:val="4Text"/>
              <w:spacing w:after="80"/>
              <w:ind w:left="360" w:hanging="259"/>
            </w:pPr>
            <w:r>
              <w:rPr>
                <w:rFonts w:eastAsia="Arial"/>
              </w:rPr>
              <w:t>•</w:t>
            </w:r>
            <w:r>
              <w:rPr>
                <w:rFonts w:eastAsia="Arial"/>
              </w:rPr>
              <w:tab/>
              <w:t>Monitor high-volume or rapidly growing AI usage to assess environmental impact periodically.</w:t>
            </w:r>
          </w:p>
        </w:tc>
      </w:tr>
      <w:tr w:rsidR="004A12F4" w14:paraId="34BEBE20" w14:textId="77777777">
        <w:tc>
          <w:tcPr>
            <w:tcW w:w="11153" w:type="dxa"/>
            <w:shd w:val="clear" w:color="auto" w:fill="36639E"/>
          </w:tcPr>
          <w:p w14:paraId="48EFDB59" w14:textId="77777777" w:rsidR="004A12F4" w:rsidRDefault="0079293B">
            <w:pPr>
              <w:pStyle w:val="5Subboxtitle"/>
            </w:pPr>
            <w:r>
              <w:rPr>
                <w:rFonts w:eastAsia="Arial"/>
                <w:color w:val="F3F1E8"/>
              </w:rPr>
              <w:t>5.4. Responsible Practice in AI-Related Research and Development</w:t>
            </w:r>
          </w:p>
        </w:tc>
      </w:tr>
      <w:tr w:rsidR="004A12F4" w14:paraId="3AF1A927" w14:textId="77777777">
        <w:tc>
          <w:tcPr>
            <w:tcW w:w="11153" w:type="dxa"/>
            <w:shd w:val="clear" w:color="auto" w:fill="FFFFFF"/>
          </w:tcPr>
          <w:p w14:paraId="14908E78" w14:textId="77777777" w:rsidR="004A12F4" w:rsidRDefault="0079293B">
            <w:pPr>
              <w:pStyle w:val="4Text"/>
              <w:spacing w:after="80"/>
            </w:pPr>
            <w:r>
              <w:rPr>
                <w:rFonts w:eastAsia="Arial"/>
              </w:rPr>
              <w:t>Researchers undertaking AI-related projects should:</w:t>
            </w:r>
          </w:p>
          <w:p w14:paraId="08B657F5" w14:textId="77777777" w:rsidR="004A12F4" w:rsidRDefault="0079293B">
            <w:pPr>
              <w:pStyle w:val="4Text"/>
              <w:spacing w:after="80"/>
              <w:ind w:left="360" w:hanging="259"/>
            </w:pPr>
            <w:r>
              <w:rPr>
                <w:rFonts w:eastAsia="Arial"/>
              </w:rPr>
              <w:t>•</w:t>
            </w:r>
            <w:r>
              <w:rPr>
                <w:rFonts w:eastAsia="Arial"/>
              </w:rPr>
              <w:tab/>
              <w:t>Consider lower-computation alternatives (e.g. standard machine learning) where appropriate.</w:t>
            </w:r>
          </w:p>
          <w:p w14:paraId="5658F49F" w14:textId="77777777" w:rsidR="004A12F4" w:rsidRDefault="0079293B">
            <w:pPr>
              <w:pStyle w:val="4Text"/>
              <w:spacing w:after="80"/>
              <w:ind w:left="360" w:hanging="259"/>
            </w:pPr>
            <w:r>
              <w:rPr>
                <w:rFonts w:eastAsia="Arial"/>
              </w:rPr>
              <w:lastRenderedPageBreak/>
              <w:t>•</w:t>
            </w:r>
            <w:r>
              <w:rPr>
                <w:rFonts w:eastAsia="Arial"/>
              </w:rPr>
              <w:tab/>
              <w:t>Reuse or fine-tune existing models instead of training from scratch where feasible.</w:t>
            </w:r>
          </w:p>
          <w:p w14:paraId="2DAD4E75" w14:textId="77777777" w:rsidR="004A12F4" w:rsidRDefault="0079293B">
            <w:pPr>
              <w:pStyle w:val="4Text"/>
              <w:spacing w:after="80"/>
              <w:ind w:left="360" w:hanging="259"/>
            </w:pPr>
            <w:r>
              <w:rPr>
                <w:rFonts w:eastAsia="Arial"/>
              </w:rPr>
              <w:t>•</w:t>
            </w:r>
            <w:r>
              <w:rPr>
                <w:rFonts w:eastAsia="Arial"/>
              </w:rPr>
              <w:tab/>
              <w:t>Assess expected energy use and carbon emissions where appropriate (e.g. large-scale projects). Use recognised tools such as Green Algorithms (https://www.green-algorithms.org), CodeCarbon (https://codecarbon.io) or equivalent emissions calculators.</w:t>
            </w:r>
          </w:p>
          <w:p w14:paraId="6CA7980C" w14:textId="77777777" w:rsidR="004A12F4" w:rsidRDefault="0079293B">
            <w:pPr>
              <w:pStyle w:val="4Text"/>
              <w:spacing w:after="80"/>
              <w:ind w:left="360" w:hanging="259"/>
            </w:pPr>
            <w:r>
              <w:rPr>
                <w:rFonts w:eastAsia="Arial"/>
              </w:rPr>
              <w:t>•</w:t>
            </w:r>
            <w:r>
              <w:rPr>
                <w:rFonts w:eastAsia="Arial"/>
              </w:rPr>
              <w:tab/>
              <w:t>When developing an in-house AI, produce efficient code following the Green Algorithm’s guidelines.</w:t>
            </w:r>
          </w:p>
          <w:p w14:paraId="7480F161" w14:textId="77777777" w:rsidR="004A12F4" w:rsidRDefault="0079293B">
            <w:pPr>
              <w:pStyle w:val="4Text"/>
              <w:spacing w:after="80"/>
              <w:ind w:left="360" w:hanging="259"/>
            </w:pPr>
            <w:r>
              <w:rPr>
                <w:rFonts w:eastAsia="Arial"/>
              </w:rPr>
              <w:t>•</w:t>
            </w:r>
            <w:r>
              <w:rPr>
                <w:rFonts w:eastAsia="Arial"/>
              </w:rPr>
              <w:tab/>
              <w:t>Treat computational efficiency as a research quality metric alongside performance.</w:t>
            </w:r>
          </w:p>
          <w:p w14:paraId="11B8FB2B" w14:textId="77777777" w:rsidR="004A12F4" w:rsidRDefault="0079293B">
            <w:pPr>
              <w:pStyle w:val="4Text"/>
              <w:spacing w:after="80"/>
              <w:ind w:left="360" w:hanging="259"/>
            </w:pPr>
            <w:r>
              <w:rPr>
                <w:rFonts w:eastAsia="Arial"/>
              </w:rPr>
              <w:t>•</w:t>
            </w:r>
            <w:r>
              <w:rPr>
                <w:rFonts w:eastAsia="Arial"/>
              </w:rPr>
              <w:tab/>
              <w:t>Prefer single-modality models where possible rather than multimodal systems.</w:t>
            </w:r>
          </w:p>
          <w:p w14:paraId="00886DE0" w14:textId="77777777" w:rsidR="004A12F4" w:rsidRDefault="0079293B">
            <w:pPr>
              <w:pStyle w:val="4Text"/>
              <w:spacing w:after="80"/>
              <w:ind w:left="360" w:hanging="259"/>
            </w:pPr>
            <w:r>
              <w:rPr>
                <w:rFonts w:eastAsia="Arial"/>
              </w:rPr>
              <w:t>•</w:t>
            </w:r>
            <w:r>
              <w:rPr>
                <w:rFonts w:eastAsia="Arial"/>
              </w:rPr>
              <w:tab/>
              <w:t>Reuse or fine-tune pre-trained models instead of training from scratch, where feasible.</w:t>
            </w:r>
          </w:p>
          <w:p w14:paraId="0CEBE845" w14:textId="77777777" w:rsidR="004A12F4" w:rsidRDefault="0079293B">
            <w:pPr>
              <w:pStyle w:val="4Text"/>
              <w:spacing w:after="80"/>
              <w:ind w:left="360" w:hanging="259"/>
            </w:pPr>
            <w:r>
              <w:rPr>
                <w:rFonts w:eastAsia="Arial"/>
              </w:rPr>
              <w:t>•</w:t>
            </w:r>
            <w:r>
              <w:rPr>
                <w:rFonts w:eastAsia="Arial"/>
              </w:rPr>
              <w:tab/>
              <w:t>Train models at off-peak times where appropriate to reduce grid impact.</w:t>
            </w:r>
          </w:p>
          <w:p w14:paraId="513A53E4" w14:textId="77777777" w:rsidR="004A12F4" w:rsidRDefault="0079293B">
            <w:pPr>
              <w:pStyle w:val="4Text"/>
              <w:spacing w:after="80"/>
              <w:ind w:left="360" w:hanging="259"/>
            </w:pPr>
            <w:r>
              <w:rPr>
                <w:rFonts w:eastAsia="Arial"/>
              </w:rPr>
              <w:t>•</w:t>
            </w:r>
            <w:r>
              <w:rPr>
                <w:rFonts w:eastAsia="Arial"/>
              </w:rPr>
              <w:tab/>
              <w:t>Avoid unnecessary data collection; regularly delete redundant data and archive infrequently used data.</w:t>
            </w:r>
          </w:p>
          <w:p w14:paraId="45B13957" w14:textId="77777777" w:rsidR="004A12F4" w:rsidRDefault="0079293B">
            <w:pPr>
              <w:pStyle w:val="4Text"/>
              <w:spacing w:after="80"/>
              <w:ind w:left="360" w:hanging="259"/>
            </w:pPr>
            <w:r>
              <w:rPr>
                <w:rFonts w:eastAsia="Arial"/>
              </w:rPr>
              <w:t>•</w:t>
            </w:r>
            <w:r>
              <w:rPr>
                <w:rFonts w:eastAsia="Arial"/>
              </w:rPr>
              <w:tab/>
              <w:t>Refine, compress or quantise datasets to reduce computational footprint</w:t>
            </w:r>
          </w:p>
        </w:tc>
      </w:tr>
      <w:tr w:rsidR="004A12F4" w14:paraId="0175A601" w14:textId="77777777">
        <w:tc>
          <w:tcPr>
            <w:tcW w:w="11153" w:type="dxa"/>
            <w:shd w:val="clear" w:color="auto" w:fill="36639E"/>
          </w:tcPr>
          <w:p w14:paraId="63F3223F" w14:textId="77777777" w:rsidR="004A12F4" w:rsidRDefault="0079293B">
            <w:pPr>
              <w:pStyle w:val="5Subboxtitle"/>
            </w:pPr>
            <w:r>
              <w:rPr>
                <w:rFonts w:eastAsia="Arial"/>
                <w:color w:val="F3F1E8"/>
              </w:rPr>
              <w:lastRenderedPageBreak/>
              <w:t>5.5 Procurement and Circular Economy</w:t>
            </w:r>
          </w:p>
        </w:tc>
      </w:tr>
      <w:tr w:rsidR="004A12F4" w14:paraId="7D02BB2C" w14:textId="77777777">
        <w:tc>
          <w:tcPr>
            <w:tcW w:w="11153" w:type="dxa"/>
            <w:shd w:val="clear" w:color="auto" w:fill="FFFFFF"/>
          </w:tcPr>
          <w:p w14:paraId="196E230C" w14:textId="77777777" w:rsidR="004A12F4" w:rsidRDefault="0079293B">
            <w:pPr>
              <w:pStyle w:val="4Text"/>
              <w:spacing w:after="80"/>
            </w:pPr>
            <w:r>
              <w:rPr>
                <w:rFonts w:eastAsia="Arial"/>
              </w:rPr>
              <w:t>AI-related ICT procurement should:</w:t>
            </w:r>
          </w:p>
          <w:p w14:paraId="31433D0E" w14:textId="77777777" w:rsidR="004A12F4" w:rsidRDefault="0079293B">
            <w:pPr>
              <w:pStyle w:val="4Text"/>
              <w:spacing w:after="80"/>
              <w:ind w:left="360" w:hanging="259"/>
            </w:pPr>
            <w:r>
              <w:rPr>
                <w:rFonts w:eastAsia="Arial"/>
              </w:rPr>
              <w:t>•</w:t>
            </w:r>
            <w:r>
              <w:rPr>
                <w:rFonts w:eastAsia="Arial"/>
              </w:rPr>
              <w:tab/>
              <w:t>Extend hardware lifespans through refurbishing and modular upgrades.</w:t>
            </w:r>
          </w:p>
          <w:p w14:paraId="7B8A222E" w14:textId="77777777" w:rsidR="004A12F4" w:rsidRDefault="0079293B">
            <w:pPr>
              <w:pStyle w:val="4Text"/>
              <w:spacing w:after="80"/>
              <w:ind w:left="360" w:hanging="259"/>
            </w:pPr>
            <w:r>
              <w:rPr>
                <w:rFonts w:eastAsia="Arial"/>
              </w:rPr>
              <w:t>•</w:t>
            </w:r>
            <w:r>
              <w:rPr>
                <w:rFonts w:eastAsia="Arial"/>
              </w:rPr>
              <w:tab/>
              <w:t>Avoid unnecessary replacement cycles.</w:t>
            </w:r>
          </w:p>
          <w:p w14:paraId="7D4E29F8" w14:textId="77777777" w:rsidR="004A12F4" w:rsidRDefault="0079293B">
            <w:pPr>
              <w:pStyle w:val="4Text"/>
              <w:spacing w:after="80"/>
              <w:ind w:left="360" w:hanging="259"/>
            </w:pPr>
            <w:r>
              <w:rPr>
                <w:rFonts w:eastAsia="Arial"/>
              </w:rPr>
              <w:t>•</w:t>
            </w:r>
            <w:r>
              <w:rPr>
                <w:rFonts w:eastAsia="Arial"/>
              </w:rPr>
              <w:tab/>
              <w:t>Prioritise energy-efficient and task-appropriate equipment.</w:t>
            </w:r>
          </w:p>
          <w:p w14:paraId="3AACFCDD" w14:textId="77777777" w:rsidR="004A12F4" w:rsidRDefault="0079293B">
            <w:pPr>
              <w:pStyle w:val="4Text"/>
              <w:spacing w:after="80"/>
              <w:ind w:left="360" w:hanging="259"/>
            </w:pPr>
            <w:r>
              <w:rPr>
                <w:rFonts w:eastAsia="Arial"/>
              </w:rPr>
              <w:t>•</w:t>
            </w:r>
            <w:r>
              <w:rPr>
                <w:rFonts w:eastAsia="Arial"/>
              </w:rPr>
              <w:tab/>
              <w:t>Ensure responsible end-of-life e-waste management.</w:t>
            </w:r>
          </w:p>
          <w:p w14:paraId="196D882C" w14:textId="77777777" w:rsidR="004A12F4" w:rsidRDefault="0079293B">
            <w:pPr>
              <w:pStyle w:val="4Text"/>
              <w:spacing w:after="80"/>
              <w:ind w:left="360" w:hanging="259"/>
            </w:pPr>
            <w:r>
              <w:rPr>
                <w:rFonts w:eastAsia="Arial"/>
              </w:rPr>
              <w:t>•</w:t>
            </w:r>
            <w:r>
              <w:rPr>
                <w:rFonts w:eastAsia="Arial"/>
              </w:rPr>
              <w:tab/>
              <w:t>Investigate labour practices and modern slavery statements in AI supply chains, considering responsible initiatives for the extraction of minerals.</w:t>
            </w:r>
          </w:p>
          <w:p w14:paraId="1A0DCA51" w14:textId="77777777" w:rsidR="004A12F4" w:rsidRDefault="0079293B">
            <w:pPr>
              <w:pStyle w:val="4Text"/>
              <w:spacing w:after="80"/>
              <w:ind w:left="360" w:hanging="259"/>
            </w:pPr>
            <w:r>
              <w:rPr>
                <w:rFonts w:eastAsia="Arial"/>
              </w:rPr>
              <w:t>•</w:t>
            </w:r>
            <w:r>
              <w:rPr>
                <w:rFonts w:eastAsia="Arial"/>
              </w:rPr>
              <w:tab/>
              <w:t>Require suppliers, where feasible, to provide transparent reporting on energy use, emissions intensity, water usage and embodied carbon of AI services.</w:t>
            </w:r>
          </w:p>
          <w:p w14:paraId="1E174019" w14:textId="77777777" w:rsidR="004A12F4" w:rsidRDefault="0079293B">
            <w:pPr>
              <w:pStyle w:val="4Text"/>
              <w:spacing w:after="80"/>
              <w:ind w:left="360" w:hanging="259"/>
            </w:pPr>
            <w:r>
              <w:rPr>
                <w:rFonts w:eastAsia="Arial"/>
              </w:rPr>
              <w:t>•</w:t>
            </w:r>
            <w:r>
              <w:rPr>
                <w:rFonts w:eastAsia="Arial"/>
              </w:rPr>
              <w:tab/>
              <w:t>Consider supplier commitments to social value, apprenticeships, equality and environmental stewardship.</w:t>
            </w:r>
          </w:p>
        </w:tc>
      </w:tr>
    </w:tbl>
    <w:p w14:paraId="6CD37ABF" w14:textId="77777777" w:rsidR="004A12F4" w:rsidRDefault="004A12F4">
      <w:pPr>
        <w:spacing w:after="160"/>
      </w:pPr>
    </w:p>
    <w:tbl>
      <w:tblPr>
        <w:tblStyle w:val="TableGrid"/>
        <w:tblW w:w="11153" w:type="dxa"/>
        <w:tblInd w:w="-10" w:type="dxa"/>
        <w:tblBorders>
          <w:top w:val="single" w:sz="8" w:space="0" w:color="F3F1E8" w:themeColor="background1"/>
          <w:left w:val="single" w:sz="8" w:space="0" w:color="F3F1E8" w:themeColor="background1"/>
          <w:bottom w:val="single" w:sz="8" w:space="0" w:color="F3F1E8" w:themeColor="background1"/>
          <w:right w:val="single" w:sz="8" w:space="0" w:color="F3F1E8" w:themeColor="background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1153"/>
      </w:tblGrid>
      <w:tr w:rsidR="004A12F4" w14:paraId="3DE257A8" w14:textId="77777777">
        <w:tc>
          <w:tcPr>
            <w:tcW w:w="11153" w:type="dxa"/>
            <w:shd w:val="clear" w:color="auto" w:fill="402D43"/>
          </w:tcPr>
          <w:p w14:paraId="0818E3A8" w14:textId="77777777" w:rsidR="004A12F4" w:rsidRDefault="0079293B">
            <w:pPr>
              <w:pStyle w:val="3Boxtitle"/>
            </w:pPr>
            <w:r>
              <w:rPr>
                <w:rFonts w:eastAsia="Arial"/>
                <w:color w:val="F3F1E8"/>
                <w:sz w:val="28"/>
              </w:rPr>
              <w:t>6. Monitoring and Governance</w:t>
            </w:r>
          </w:p>
        </w:tc>
      </w:tr>
      <w:tr w:rsidR="004A12F4" w14:paraId="55AC4225" w14:textId="77777777">
        <w:tc>
          <w:tcPr>
            <w:tcW w:w="11153" w:type="dxa"/>
            <w:shd w:val="clear" w:color="auto" w:fill="FFFFFF"/>
          </w:tcPr>
          <w:p w14:paraId="2F49A7A4" w14:textId="77777777" w:rsidR="004A12F4" w:rsidRDefault="0079293B">
            <w:pPr>
              <w:pStyle w:val="4Text"/>
              <w:spacing w:after="80"/>
            </w:pPr>
            <w:r>
              <w:rPr>
                <w:rFonts w:eastAsia="Arial"/>
              </w:rPr>
              <w:t>The University will:</w:t>
            </w:r>
          </w:p>
          <w:p w14:paraId="37B10FBA" w14:textId="77777777" w:rsidR="004A12F4" w:rsidRDefault="0079293B">
            <w:pPr>
              <w:pStyle w:val="4Text"/>
              <w:spacing w:after="80"/>
              <w:ind w:left="360" w:hanging="259"/>
            </w:pPr>
            <w:r>
              <w:rPr>
                <w:rFonts w:eastAsia="Arial"/>
              </w:rPr>
              <w:t>•</w:t>
            </w:r>
            <w:r>
              <w:rPr>
                <w:rFonts w:eastAsia="Arial"/>
              </w:rPr>
              <w:tab/>
              <w:t>Embed environmental considerations in major AI-related project approvals.</w:t>
            </w:r>
          </w:p>
          <w:p w14:paraId="1EB5218C" w14:textId="77777777" w:rsidR="004A12F4" w:rsidRDefault="0079293B">
            <w:pPr>
              <w:pStyle w:val="4Text"/>
              <w:spacing w:after="80"/>
              <w:ind w:left="360" w:hanging="259"/>
            </w:pPr>
            <w:r>
              <w:rPr>
                <w:rFonts w:eastAsia="Arial"/>
              </w:rPr>
              <w:t>•</w:t>
            </w:r>
            <w:r>
              <w:rPr>
                <w:rFonts w:eastAsia="Arial"/>
              </w:rPr>
              <w:tab/>
              <w:t>Explore carbon and other environmental monitoring and reporting mechanisms.</w:t>
            </w:r>
          </w:p>
          <w:p w14:paraId="25D4BC92" w14:textId="77777777" w:rsidR="004A12F4" w:rsidRDefault="0079293B">
            <w:pPr>
              <w:pStyle w:val="4Text"/>
              <w:spacing w:after="80"/>
              <w:ind w:left="360" w:hanging="259"/>
            </w:pPr>
            <w:r>
              <w:rPr>
                <w:rFonts w:eastAsia="Arial"/>
              </w:rPr>
              <w:t>•</w:t>
            </w:r>
            <w:r>
              <w:rPr>
                <w:rFonts w:eastAsia="Arial"/>
              </w:rPr>
              <w:tab/>
              <w:t>Review this guideline annually to reflect evolving best practice and sector standards.</w:t>
            </w:r>
          </w:p>
          <w:p w14:paraId="6D52F62B" w14:textId="77777777" w:rsidR="004A12F4" w:rsidRDefault="0079293B">
            <w:pPr>
              <w:pStyle w:val="4Text"/>
              <w:spacing w:after="80"/>
              <w:ind w:left="360" w:hanging="259"/>
            </w:pPr>
            <w:r>
              <w:rPr>
                <w:rFonts w:eastAsia="Arial"/>
              </w:rPr>
              <w:t>•</w:t>
            </w:r>
            <w:r>
              <w:rPr>
                <w:rFonts w:eastAsia="Arial"/>
              </w:rPr>
              <w:tab/>
              <w:t>Track and publish aggregate AI-related emissions at the institutional level where feasible.</w:t>
            </w:r>
          </w:p>
          <w:p w14:paraId="22BAB440" w14:textId="77777777" w:rsidR="004A12F4" w:rsidRDefault="0079293B">
            <w:pPr>
              <w:pStyle w:val="4Text"/>
              <w:spacing w:after="80"/>
              <w:ind w:left="360" w:hanging="259"/>
            </w:pPr>
            <w:r>
              <w:rPr>
                <w:rFonts w:eastAsia="Arial"/>
              </w:rPr>
              <w:t>•</w:t>
            </w:r>
            <w:r>
              <w:rPr>
                <w:rFonts w:eastAsia="Arial"/>
              </w:rPr>
              <w:tab/>
              <w:t>Ensure AI is applied to support institutional Environmental Sustainability targets and digital sustainability objectives.</w:t>
            </w:r>
          </w:p>
          <w:p w14:paraId="6FA1D2FD" w14:textId="77777777" w:rsidR="004A12F4" w:rsidRDefault="0079293B">
            <w:pPr>
              <w:pStyle w:val="4Text"/>
              <w:spacing w:after="80"/>
              <w:ind w:left="360" w:hanging="259"/>
            </w:pPr>
            <w:r>
              <w:rPr>
                <w:rFonts w:eastAsia="Arial"/>
              </w:rPr>
              <w:t>•</w:t>
            </w:r>
            <w:r>
              <w:rPr>
                <w:rFonts w:eastAsia="Arial"/>
              </w:rPr>
              <w:tab/>
              <w:t>Communicate our impacts transparently</w:t>
            </w:r>
          </w:p>
          <w:p w14:paraId="2E2828A6" w14:textId="77777777" w:rsidR="004A12F4" w:rsidRDefault="0079293B">
            <w:pPr>
              <w:pStyle w:val="4Text"/>
              <w:spacing w:after="80"/>
              <w:ind w:left="360" w:hanging="259"/>
            </w:pPr>
            <w:r>
              <w:rPr>
                <w:rFonts w:eastAsia="Arial"/>
              </w:rPr>
              <w:t>•</w:t>
            </w:r>
            <w:r>
              <w:rPr>
                <w:rFonts w:eastAsia="Arial"/>
              </w:rPr>
              <w:tab/>
              <w:t>Reference these guidelines in relevant plans and embed them across policies, processes and practices.</w:t>
            </w:r>
          </w:p>
        </w:tc>
      </w:tr>
    </w:tbl>
    <w:p w14:paraId="4C72571D" w14:textId="77777777" w:rsidR="004A12F4" w:rsidRDefault="004A12F4">
      <w:pPr>
        <w:spacing w:after="160"/>
      </w:pPr>
    </w:p>
    <w:tbl>
      <w:tblPr>
        <w:tblStyle w:val="TableGrid"/>
        <w:tblW w:w="11153" w:type="dxa"/>
        <w:tblInd w:w="-10" w:type="dxa"/>
        <w:tblBorders>
          <w:top w:val="single" w:sz="8" w:space="0" w:color="F3F1E8" w:themeColor="background1"/>
          <w:left w:val="single" w:sz="8" w:space="0" w:color="F3F1E8" w:themeColor="background1"/>
          <w:bottom w:val="single" w:sz="8" w:space="0" w:color="F3F1E8" w:themeColor="background1"/>
          <w:right w:val="single" w:sz="8" w:space="0" w:color="F3F1E8" w:themeColor="background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1153"/>
      </w:tblGrid>
      <w:tr w:rsidR="004A12F4" w14:paraId="56B66E52" w14:textId="77777777">
        <w:tc>
          <w:tcPr>
            <w:tcW w:w="11153" w:type="dxa"/>
            <w:shd w:val="clear" w:color="auto" w:fill="402D43"/>
          </w:tcPr>
          <w:p w14:paraId="5984CCEC" w14:textId="77777777" w:rsidR="004A12F4" w:rsidRDefault="0079293B">
            <w:pPr>
              <w:pStyle w:val="3Boxtitle"/>
            </w:pPr>
            <w:r>
              <w:rPr>
                <w:rFonts w:eastAsia="Arial"/>
                <w:color w:val="F3F1E8"/>
                <w:sz w:val="28"/>
              </w:rPr>
              <w:t>7. Education and Capacity Building</w:t>
            </w:r>
          </w:p>
        </w:tc>
      </w:tr>
      <w:tr w:rsidR="004A12F4" w14:paraId="21E0D1C7" w14:textId="77777777">
        <w:tc>
          <w:tcPr>
            <w:tcW w:w="11153" w:type="dxa"/>
            <w:shd w:val="clear" w:color="auto" w:fill="FFFFFF"/>
          </w:tcPr>
          <w:p w14:paraId="2FB331E8" w14:textId="77777777" w:rsidR="004A12F4" w:rsidRDefault="0079293B">
            <w:pPr>
              <w:pStyle w:val="4Text"/>
              <w:spacing w:after="80"/>
            </w:pPr>
            <w:r>
              <w:rPr>
                <w:rFonts w:eastAsia="Arial"/>
              </w:rPr>
              <w:t>Sustainable and ethical AI, digital responsibility and relevant social responsibility commitments will be integrated into:</w:t>
            </w:r>
          </w:p>
          <w:p w14:paraId="088E5D43" w14:textId="77777777" w:rsidR="004A12F4" w:rsidRDefault="0079293B">
            <w:pPr>
              <w:pStyle w:val="4Text"/>
              <w:spacing w:after="80"/>
              <w:ind w:left="360" w:hanging="259"/>
            </w:pPr>
            <w:r>
              <w:rPr>
                <w:rFonts w:eastAsia="Arial"/>
              </w:rPr>
              <w:t>•</w:t>
            </w:r>
            <w:r>
              <w:rPr>
                <w:rFonts w:eastAsia="Arial"/>
              </w:rPr>
              <w:tab/>
              <w:t>Academic curricula where appropriate.</w:t>
            </w:r>
          </w:p>
          <w:p w14:paraId="589C8DDC" w14:textId="77777777" w:rsidR="004A12F4" w:rsidRDefault="0079293B">
            <w:pPr>
              <w:pStyle w:val="4Text"/>
              <w:spacing w:after="80"/>
              <w:ind w:left="360" w:hanging="259"/>
            </w:pPr>
            <w:r>
              <w:rPr>
                <w:rFonts w:eastAsia="Arial"/>
              </w:rPr>
              <w:t>•</w:t>
            </w:r>
            <w:r>
              <w:rPr>
                <w:rFonts w:eastAsia="Arial"/>
              </w:rPr>
              <w:tab/>
              <w:t>Curriculum, design processes and related professional development.</w:t>
            </w:r>
          </w:p>
          <w:p w14:paraId="08FB0572" w14:textId="77777777" w:rsidR="004A12F4" w:rsidRDefault="0079293B">
            <w:pPr>
              <w:pStyle w:val="4Text"/>
              <w:spacing w:after="80"/>
              <w:ind w:left="360" w:hanging="259"/>
            </w:pPr>
            <w:r>
              <w:rPr>
                <w:rFonts w:eastAsia="Arial"/>
              </w:rPr>
              <w:t>•</w:t>
            </w:r>
            <w:r>
              <w:rPr>
                <w:rFonts w:eastAsia="Arial"/>
              </w:rPr>
              <w:tab/>
              <w:t>Research training and doctoral development.</w:t>
            </w:r>
          </w:p>
          <w:p w14:paraId="210C95B2" w14:textId="77777777" w:rsidR="004A12F4" w:rsidRDefault="0079293B">
            <w:pPr>
              <w:pStyle w:val="4Text"/>
              <w:spacing w:after="80"/>
              <w:ind w:left="360" w:hanging="259"/>
            </w:pPr>
            <w:r>
              <w:rPr>
                <w:rFonts w:eastAsia="Arial"/>
              </w:rPr>
              <w:lastRenderedPageBreak/>
              <w:t>•</w:t>
            </w:r>
            <w:r>
              <w:rPr>
                <w:rFonts w:eastAsia="Arial"/>
              </w:rPr>
              <w:tab/>
              <w:t>Professional services development programmes.</w:t>
            </w:r>
          </w:p>
          <w:p w14:paraId="7AD798BD" w14:textId="77777777" w:rsidR="004A12F4" w:rsidRDefault="0079293B">
            <w:pPr>
              <w:pStyle w:val="4Text"/>
              <w:spacing w:after="80"/>
              <w:ind w:left="360" w:hanging="259"/>
            </w:pPr>
            <w:r>
              <w:rPr>
                <w:rFonts w:eastAsia="Arial"/>
              </w:rPr>
              <w:t>•</w:t>
            </w:r>
            <w:r>
              <w:rPr>
                <w:rFonts w:eastAsia="Arial"/>
              </w:rPr>
              <w:tab/>
              <w:t>Relevant staff and student induction and training, including programme-level social responsibility content where appropriate</w:t>
            </w:r>
          </w:p>
          <w:p w14:paraId="3C0B8B03" w14:textId="77777777" w:rsidR="004A12F4" w:rsidRDefault="0079293B">
            <w:pPr>
              <w:pStyle w:val="4Text"/>
              <w:spacing w:after="80"/>
            </w:pPr>
            <w:r>
              <w:rPr>
                <w:rFonts w:eastAsia="Arial"/>
              </w:rPr>
              <w:t>This helps ensure that sustainability, ethics and digital responsibility are embedded by design within digital practice.</w:t>
            </w:r>
          </w:p>
        </w:tc>
      </w:tr>
    </w:tbl>
    <w:p w14:paraId="48DC710C" w14:textId="77777777" w:rsidR="004A12F4" w:rsidRDefault="004A12F4">
      <w:pPr>
        <w:spacing w:after="160"/>
      </w:pPr>
    </w:p>
    <w:tbl>
      <w:tblPr>
        <w:tblStyle w:val="TableGrid"/>
        <w:tblW w:w="11153" w:type="dxa"/>
        <w:tblInd w:w="-10" w:type="dxa"/>
        <w:tblBorders>
          <w:top w:val="single" w:sz="8" w:space="0" w:color="F3F1E8" w:themeColor="background1"/>
          <w:left w:val="single" w:sz="8" w:space="0" w:color="F3F1E8" w:themeColor="background1"/>
          <w:bottom w:val="single" w:sz="8" w:space="0" w:color="F3F1E8" w:themeColor="background1"/>
          <w:right w:val="single" w:sz="8" w:space="0" w:color="F3F1E8" w:themeColor="background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1153"/>
      </w:tblGrid>
      <w:tr w:rsidR="004A12F4" w14:paraId="5D4D9710" w14:textId="77777777">
        <w:tc>
          <w:tcPr>
            <w:tcW w:w="11153" w:type="dxa"/>
            <w:shd w:val="clear" w:color="auto" w:fill="402D43"/>
          </w:tcPr>
          <w:p w14:paraId="4BE9A436" w14:textId="77777777" w:rsidR="004A12F4" w:rsidRDefault="0079293B">
            <w:pPr>
              <w:pStyle w:val="3Boxtitle"/>
            </w:pPr>
            <w:r>
              <w:rPr>
                <w:rFonts w:eastAsia="Arial"/>
                <w:color w:val="F3F1E8"/>
                <w:sz w:val="28"/>
              </w:rPr>
              <w:t>8. Academic Freedom and Responsibility</w:t>
            </w:r>
          </w:p>
        </w:tc>
      </w:tr>
      <w:tr w:rsidR="004A12F4" w14:paraId="6927EB0A" w14:textId="77777777">
        <w:tc>
          <w:tcPr>
            <w:tcW w:w="11153" w:type="dxa"/>
            <w:shd w:val="clear" w:color="auto" w:fill="FFFFFF"/>
          </w:tcPr>
          <w:p w14:paraId="04A92CCA" w14:textId="77777777" w:rsidR="004A12F4" w:rsidRDefault="0079293B">
            <w:pPr>
              <w:pStyle w:val="4Text"/>
              <w:spacing w:after="80"/>
            </w:pPr>
            <w:r>
              <w:rPr>
                <w:rFonts w:eastAsia="Arial"/>
              </w:rPr>
              <w:t>Nothing in this guideline restricts legitimate academic inquiry. Researchers remain responsible for considering and mitigating environmental impacts proportionate to the scale of their work.</w:t>
            </w:r>
          </w:p>
        </w:tc>
      </w:tr>
    </w:tbl>
    <w:p w14:paraId="3B70DE89" w14:textId="77777777" w:rsidR="004A12F4" w:rsidRDefault="004A12F4">
      <w:pPr>
        <w:spacing w:after="160"/>
      </w:pPr>
    </w:p>
    <w:tbl>
      <w:tblPr>
        <w:tblStyle w:val="TableGrid"/>
        <w:tblW w:w="11153" w:type="dxa"/>
        <w:tblInd w:w="-10" w:type="dxa"/>
        <w:tblBorders>
          <w:top w:val="single" w:sz="8" w:space="0" w:color="F3F1E8" w:themeColor="background1"/>
          <w:left w:val="single" w:sz="8" w:space="0" w:color="F3F1E8" w:themeColor="background1"/>
          <w:bottom w:val="single" w:sz="8" w:space="0" w:color="F3F1E8" w:themeColor="background1"/>
          <w:right w:val="single" w:sz="8" w:space="0" w:color="F3F1E8" w:themeColor="background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1153"/>
      </w:tblGrid>
      <w:tr w:rsidR="004A12F4" w14:paraId="0C87D957" w14:textId="77777777">
        <w:tc>
          <w:tcPr>
            <w:tcW w:w="11153" w:type="dxa"/>
            <w:shd w:val="clear" w:color="auto" w:fill="402D43"/>
          </w:tcPr>
          <w:p w14:paraId="741609EE" w14:textId="77777777" w:rsidR="004A12F4" w:rsidRDefault="0079293B">
            <w:pPr>
              <w:pStyle w:val="3Boxtitle"/>
            </w:pPr>
            <w:r>
              <w:rPr>
                <w:rFonts w:eastAsia="Arial"/>
                <w:color w:val="F3F1E8"/>
                <w:sz w:val="28"/>
              </w:rPr>
              <w:t>9. Review</w:t>
            </w:r>
          </w:p>
        </w:tc>
      </w:tr>
      <w:tr w:rsidR="004A12F4" w14:paraId="4C61D7CE" w14:textId="77777777">
        <w:tc>
          <w:tcPr>
            <w:tcW w:w="11153" w:type="dxa"/>
            <w:shd w:val="clear" w:color="auto" w:fill="FFFFFF"/>
          </w:tcPr>
          <w:p w14:paraId="52A9850B" w14:textId="77777777" w:rsidR="004A12F4" w:rsidRDefault="0079293B">
            <w:pPr>
              <w:pStyle w:val="4Text"/>
              <w:spacing w:after="80"/>
            </w:pPr>
            <w:r>
              <w:rPr>
                <w:rFonts w:eastAsia="Arial"/>
              </w:rPr>
              <w:t>This guideline will be reviewed annually, or sooner if required due to regulatory, technological or strategic developments.</w:t>
            </w:r>
          </w:p>
        </w:tc>
      </w:tr>
    </w:tbl>
    <w:p w14:paraId="60A0C763" w14:textId="77777777" w:rsidR="004A12F4" w:rsidRDefault="004A12F4">
      <w:pPr>
        <w:spacing w:after="160"/>
      </w:pPr>
    </w:p>
    <w:tbl>
      <w:tblPr>
        <w:tblStyle w:val="TableGrid"/>
        <w:tblW w:w="11153" w:type="dxa"/>
        <w:tblInd w:w="-10" w:type="dxa"/>
        <w:tblBorders>
          <w:top w:val="single" w:sz="8" w:space="0" w:color="F3F1E8" w:themeColor="background1"/>
          <w:left w:val="single" w:sz="8" w:space="0" w:color="F3F1E8" w:themeColor="background1"/>
          <w:bottom w:val="single" w:sz="8" w:space="0" w:color="F3F1E8" w:themeColor="background1"/>
          <w:right w:val="single" w:sz="8" w:space="0" w:color="F3F1E8" w:themeColor="background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1153"/>
      </w:tblGrid>
      <w:tr w:rsidR="004A12F4" w14:paraId="1A58A2A4" w14:textId="77777777">
        <w:tc>
          <w:tcPr>
            <w:tcW w:w="11153" w:type="dxa"/>
            <w:shd w:val="clear" w:color="auto" w:fill="402D43"/>
          </w:tcPr>
          <w:p w14:paraId="130DFABB" w14:textId="77777777" w:rsidR="004A12F4" w:rsidRDefault="0079293B">
            <w:pPr>
              <w:pStyle w:val="3Boxtitle"/>
            </w:pPr>
            <w:r>
              <w:rPr>
                <w:rFonts w:eastAsia="Arial"/>
                <w:color w:val="F3F1E8"/>
                <w:sz w:val="28"/>
              </w:rPr>
              <w:t>Appendix A. Questions before using AI and cases where AI use may not be justified</w:t>
            </w:r>
          </w:p>
        </w:tc>
      </w:tr>
      <w:tr w:rsidR="004A12F4" w14:paraId="0859E024" w14:textId="77777777">
        <w:tc>
          <w:tcPr>
            <w:tcW w:w="11153" w:type="dxa"/>
            <w:shd w:val="clear" w:color="auto" w:fill="FFFFFF"/>
          </w:tcPr>
          <w:p w14:paraId="556424B9" w14:textId="77777777" w:rsidR="004A12F4" w:rsidRDefault="0079293B">
            <w:pPr>
              <w:pStyle w:val="4Text"/>
              <w:spacing w:after="80"/>
            </w:pPr>
            <w:r>
              <w:rPr>
                <w:rFonts w:eastAsia="Arial"/>
              </w:rPr>
              <w:t>Before using AI for routine tasks, users could ask:</w:t>
            </w:r>
          </w:p>
          <w:p w14:paraId="7DE1C16B" w14:textId="77777777" w:rsidR="004A12F4" w:rsidRDefault="0079293B">
            <w:pPr>
              <w:pStyle w:val="4Text"/>
              <w:spacing w:after="80"/>
              <w:ind w:left="360" w:hanging="259"/>
            </w:pPr>
            <w:r>
              <w:rPr>
                <w:rFonts w:eastAsia="Arial"/>
              </w:rPr>
              <w:t>•</w:t>
            </w:r>
            <w:r>
              <w:rPr>
                <w:rFonts w:eastAsia="Arial"/>
              </w:rPr>
              <w:tab/>
              <w:t>Can an existing University resource, published source or non-AI digital tool meet the need?</w:t>
            </w:r>
          </w:p>
          <w:p w14:paraId="58C61B82" w14:textId="77777777" w:rsidR="004A12F4" w:rsidRDefault="0079293B">
            <w:pPr>
              <w:pStyle w:val="4Text"/>
              <w:spacing w:after="80"/>
              <w:ind w:left="360" w:hanging="259"/>
            </w:pPr>
            <w:r>
              <w:rPr>
                <w:rFonts w:eastAsia="Arial"/>
              </w:rPr>
              <w:t>•</w:t>
            </w:r>
            <w:r>
              <w:rPr>
                <w:rFonts w:eastAsia="Arial"/>
              </w:rPr>
              <w:tab/>
              <w:t>Is a new generation necessary, or can existing material be reused, adapted or cited directly?</w:t>
            </w:r>
          </w:p>
          <w:p w14:paraId="431A2AF6" w14:textId="77777777" w:rsidR="004A12F4" w:rsidRDefault="0079293B">
            <w:pPr>
              <w:pStyle w:val="4Text"/>
              <w:spacing w:after="80"/>
              <w:ind w:left="360" w:hanging="259"/>
            </w:pPr>
            <w:r>
              <w:rPr>
                <w:rFonts w:eastAsia="Arial"/>
              </w:rPr>
              <w:t>•</w:t>
            </w:r>
            <w:r>
              <w:rPr>
                <w:rFonts w:eastAsia="Arial"/>
              </w:rPr>
              <w:tab/>
              <w:t>Will the use of AI produce a material benefit that justifies the additional environmental cost and any trade-offs in accountability, quality or learning?</w:t>
            </w:r>
          </w:p>
          <w:p w14:paraId="5DEEE5F3" w14:textId="77777777" w:rsidR="004A12F4" w:rsidRDefault="0079293B">
            <w:pPr>
              <w:pStyle w:val="4Text"/>
              <w:spacing w:after="80"/>
            </w:pPr>
            <w:r>
              <w:rPr>
                <w:rFonts w:eastAsia="Arial"/>
              </w:rPr>
              <w:t>Illustrative cases where AI use may not be justified include:</w:t>
            </w:r>
          </w:p>
          <w:p w14:paraId="30F8792A" w14:textId="77777777" w:rsidR="004A12F4" w:rsidRDefault="0079293B">
            <w:pPr>
              <w:pStyle w:val="4Text"/>
              <w:spacing w:after="80"/>
              <w:ind w:left="360" w:hanging="259"/>
            </w:pPr>
            <w:r>
              <w:rPr>
                <w:rFonts w:eastAsia="Arial"/>
              </w:rPr>
              <w:t>•</w:t>
            </w:r>
            <w:r>
              <w:rPr>
                <w:rFonts w:eastAsia="Arial"/>
              </w:rPr>
              <w:tab/>
              <w:t>Generating decorative images for presentations where stock images or existing visuals are sufficient.</w:t>
            </w:r>
          </w:p>
          <w:p w14:paraId="474D0A96" w14:textId="77777777" w:rsidR="004A12F4" w:rsidRDefault="0079293B">
            <w:pPr>
              <w:pStyle w:val="4Text"/>
              <w:spacing w:after="80"/>
              <w:ind w:left="360" w:hanging="259"/>
            </w:pPr>
            <w:r>
              <w:rPr>
                <w:rFonts w:eastAsia="Arial"/>
              </w:rPr>
              <w:t>•</w:t>
            </w:r>
            <w:r>
              <w:rPr>
                <w:rFonts w:eastAsia="Arial"/>
              </w:rPr>
              <w:tab/>
              <w:t>Using generative AI for simple information retrieval where conventional search, library discovery tools, or existing research summaries can achieve the same end.</w:t>
            </w:r>
          </w:p>
          <w:p w14:paraId="719BFD86" w14:textId="77777777" w:rsidR="004A12F4" w:rsidRDefault="0079293B">
            <w:pPr>
              <w:pStyle w:val="4Text"/>
              <w:spacing w:after="80"/>
              <w:ind w:left="360" w:hanging="259"/>
            </w:pPr>
            <w:r>
              <w:rPr>
                <w:rFonts w:eastAsia="Arial"/>
              </w:rPr>
              <w:t>•</w:t>
            </w:r>
            <w:r>
              <w:rPr>
                <w:rFonts w:eastAsia="Arial"/>
              </w:rPr>
              <w:tab/>
              <w:t>Drafting or summarising short routine emails where proofreading, verification and editing remove any net benefit.</w:t>
            </w:r>
          </w:p>
        </w:tc>
      </w:tr>
    </w:tbl>
    <w:p w14:paraId="6AB9EA8C" w14:textId="77777777" w:rsidR="0079293B" w:rsidRDefault="0079293B"/>
    <w:sectPr w:rsidR="0079293B" w:rsidSect="00AC0ACD">
      <w:headerReference w:type="even" r:id="rId13"/>
      <w:headerReference w:type="default" r:id="rId14"/>
      <w:footerReference w:type="even" r:id="rId15"/>
      <w:footerReference w:type="default" r:id="rId16"/>
      <w:headerReference w:type="first" r:id="rId17"/>
      <w:footerReference w:type="first" r:id="rId18"/>
      <w:pgSz w:w="12240" w:h="15840"/>
      <w:pgMar w:top="833" w:right="567" w:bottom="567" w:left="567" w:header="499" w:footer="49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C319" w14:textId="77777777" w:rsidR="00AE3C75" w:rsidRDefault="00AE3C75">
      <w:r>
        <w:separator/>
      </w:r>
    </w:p>
  </w:endnote>
  <w:endnote w:type="continuationSeparator" w:id="0">
    <w:p w14:paraId="08FC6D9B" w14:textId="77777777" w:rsidR="00AE3C75" w:rsidRDefault="00AE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4545040"/>
      <w:docPartObj>
        <w:docPartGallery w:val="Page Numbers (Bottom of Page)"/>
        <w:docPartUnique/>
      </w:docPartObj>
    </w:sdtPr>
    <w:sdtContent>
      <w:p w14:paraId="0C597D9C" w14:textId="6EA22A9B" w:rsidR="00AC0ACD" w:rsidRDefault="00AC0ACD" w:rsidP="006A505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67C0BB" w14:textId="77777777" w:rsidR="00AC0ACD" w:rsidRDefault="00AC0ACD" w:rsidP="00AC0AC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3C26" w14:textId="77777777" w:rsidR="00AC0ACD" w:rsidRPr="00EC7E87" w:rsidRDefault="00AC0ACD" w:rsidP="00AC0ACD">
    <w:pPr>
      <w:pStyle w:val="Footer"/>
      <w:ind w:firstLine="360"/>
      <w:rPr>
        <w:color w:val="281C2A"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998C" w14:textId="77777777" w:rsidR="00810845" w:rsidRDefault="00810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1666" w14:textId="77777777" w:rsidR="00AE3C75" w:rsidRDefault="00AE3C75">
      <w:r>
        <w:separator/>
      </w:r>
    </w:p>
  </w:footnote>
  <w:footnote w:type="continuationSeparator" w:id="0">
    <w:p w14:paraId="14654345" w14:textId="77777777" w:rsidR="00AE3C75" w:rsidRDefault="00AE3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0A1F" w14:textId="77777777" w:rsidR="00810845" w:rsidRDefault="00810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D94D" w14:textId="66820ABB" w:rsidR="005E2CD5" w:rsidRDefault="005E2CD5" w:rsidP="000322B5">
    <w:pPr>
      <w:tabs>
        <w:tab w:val="left" w:pos="43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486B" w14:textId="77777777" w:rsidR="00810845" w:rsidRDefault="00810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78B2"/>
    <w:multiLevelType w:val="multilevel"/>
    <w:tmpl w:val="CB4CD4DA"/>
    <w:lvl w:ilvl="0">
      <w:start w:val="1"/>
      <w:numFmt w:val="bullet"/>
      <w:pStyle w:val="4Text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8799377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D5"/>
    <w:rsid w:val="000124EE"/>
    <w:rsid w:val="000157C2"/>
    <w:rsid w:val="000218F7"/>
    <w:rsid w:val="000322B5"/>
    <w:rsid w:val="000377EB"/>
    <w:rsid w:val="0004108E"/>
    <w:rsid w:val="000422FC"/>
    <w:rsid w:val="00046BD8"/>
    <w:rsid w:val="00052E98"/>
    <w:rsid w:val="0005730C"/>
    <w:rsid w:val="00057FE6"/>
    <w:rsid w:val="0006490A"/>
    <w:rsid w:val="00074B42"/>
    <w:rsid w:val="00084C81"/>
    <w:rsid w:val="0009081C"/>
    <w:rsid w:val="000947A8"/>
    <w:rsid w:val="000957A6"/>
    <w:rsid w:val="000A5865"/>
    <w:rsid w:val="000A7FD3"/>
    <w:rsid w:val="000B7DB7"/>
    <w:rsid w:val="000E194F"/>
    <w:rsid w:val="000E7699"/>
    <w:rsid w:val="000F6B88"/>
    <w:rsid w:val="001047E7"/>
    <w:rsid w:val="00115BFC"/>
    <w:rsid w:val="00123CC8"/>
    <w:rsid w:val="00126BED"/>
    <w:rsid w:val="00132B36"/>
    <w:rsid w:val="001425BA"/>
    <w:rsid w:val="00152E86"/>
    <w:rsid w:val="00174B37"/>
    <w:rsid w:val="00187063"/>
    <w:rsid w:val="001A644D"/>
    <w:rsid w:val="001D53E5"/>
    <w:rsid w:val="001D5768"/>
    <w:rsid w:val="001D7870"/>
    <w:rsid w:val="001E2DAE"/>
    <w:rsid w:val="001E45F8"/>
    <w:rsid w:val="002110B5"/>
    <w:rsid w:val="0022011B"/>
    <w:rsid w:val="00235949"/>
    <w:rsid w:val="00243EBD"/>
    <w:rsid w:val="00245ACD"/>
    <w:rsid w:val="00252639"/>
    <w:rsid w:val="00253672"/>
    <w:rsid w:val="00265614"/>
    <w:rsid w:val="002834E8"/>
    <w:rsid w:val="0028435C"/>
    <w:rsid w:val="002875B6"/>
    <w:rsid w:val="002914A0"/>
    <w:rsid w:val="00292B3C"/>
    <w:rsid w:val="002A7E5D"/>
    <w:rsid w:val="002B7520"/>
    <w:rsid w:val="002B7AD8"/>
    <w:rsid w:val="002C1B1F"/>
    <w:rsid w:val="002C3EA5"/>
    <w:rsid w:val="002E30AA"/>
    <w:rsid w:val="002E3713"/>
    <w:rsid w:val="002E3BDA"/>
    <w:rsid w:val="002E48B1"/>
    <w:rsid w:val="002E6142"/>
    <w:rsid w:val="00314439"/>
    <w:rsid w:val="003273F0"/>
    <w:rsid w:val="00355534"/>
    <w:rsid w:val="00371F53"/>
    <w:rsid w:val="003739E7"/>
    <w:rsid w:val="00387CAC"/>
    <w:rsid w:val="00392CDE"/>
    <w:rsid w:val="003932CF"/>
    <w:rsid w:val="003A07AA"/>
    <w:rsid w:val="003B6F02"/>
    <w:rsid w:val="003D2BF6"/>
    <w:rsid w:val="003E3070"/>
    <w:rsid w:val="003E6E86"/>
    <w:rsid w:val="003F6F32"/>
    <w:rsid w:val="003F7D24"/>
    <w:rsid w:val="004034F6"/>
    <w:rsid w:val="00403D68"/>
    <w:rsid w:val="0041544C"/>
    <w:rsid w:val="00450B69"/>
    <w:rsid w:val="004521AB"/>
    <w:rsid w:val="00455A41"/>
    <w:rsid w:val="004670CD"/>
    <w:rsid w:val="00485D91"/>
    <w:rsid w:val="004967A4"/>
    <w:rsid w:val="004A12F4"/>
    <w:rsid w:val="004A6493"/>
    <w:rsid w:val="004B50EE"/>
    <w:rsid w:val="004C76C1"/>
    <w:rsid w:val="004D37FE"/>
    <w:rsid w:val="004F3670"/>
    <w:rsid w:val="00514704"/>
    <w:rsid w:val="00514CD0"/>
    <w:rsid w:val="00522AA3"/>
    <w:rsid w:val="00536BAB"/>
    <w:rsid w:val="005402E9"/>
    <w:rsid w:val="00570692"/>
    <w:rsid w:val="00581709"/>
    <w:rsid w:val="00587E8A"/>
    <w:rsid w:val="005B630B"/>
    <w:rsid w:val="005C22A4"/>
    <w:rsid w:val="005C4936"/>
    <w:rsid w:val="005D13B8"/>
    <w:rsid w:val="005D2EA0"/>
    <w:rsid w:val="005D5A2E"/>
    <w:rsid w:val="005E2CD5"/>
    <w:rsid w:val="005E4622"/>
    <w:rsid w:val="00607638"/>
    <w:rsid w:val="00610004"/>
    <w:rsid w:val="00613324"/>
    <w:rsid w:val="006136A9"/>
    <w:rsid w:val="00626745"/>
    <w:rsid w:val="00632634"/>
    <w:rsid w:val="00634893"/>
    <w:rsid w:val="006376A7"/>
    <w:rsid w:val="00644DD2"/>
    <w:rsid w:val="0066770C"/>
    <w:rsid w:val="00684670"/>
    <w:rsid w:val="006955B0"/>
    <w:rsid w:val="006A505C"/>
    <w:rsid w:val="006A5912"/>
    <w:rsid w:val="006D3DA2"/>
    <w:rsid w:val="006D7861"/>
    <w:rsid w:val="006E27BA"/>
    <w:rsid w:val="00707393"/>
    <w:rsid w:val="00707480"/>
    <w:rsid w:val="007101B1"/>
    <w:rsid w:val="00735129"/>
    <w:rsid w:val="00746B75"/>
    <w:rsid w:val="00751172"/>
    <w:rsid w:val="0075437C"/>
    <w:rsid w:val="00757E17"/>
    <w:rsid w:val="00765E0C"/>
    <w:rsid w:val="007823DC"/>
    <w:rsid w:val="00785101"/>
    <w:rsid w:val="007903A6"/>
    <w:rsid w:val="00790C4B"/>
    <w:rsid w:val="007927A1"/>
    <w:rsid w:val="0079293B"/>
    <w:rsid w:val="007B0A43"/>
    <w:rsid w:val="007B7BD1"/>
    <w:rsid w:val="007C0D3A"/>
    <w:rsid w:val="007C6F4E"/>
    <w:rsid w:val="00810845"/>
    <w:rsid w:val="00834A14"/>
    <w:rsid w:val="00841585"/>
    <w:rsid w:val="00842BA6"/>
    <w:rsid w:val="00843B60"/>
    <w:rsid w:val="0085378C"/>
    <w:rsid w:val="00875F4F"/>
    <w:rsid w:val="00875F79"/>
    <w:rsid w:val="00876C3E"/>
    <w:rsid w:val="0088225D"/>
    <w:rsid w:val="00885340"/>
    <w:rsid w:val="008927D9"/>
    <w:rsid w:val="008A0DA2"/>
    <w:rsid w:val="008A146D"/>
    <w:rsid w:val="008C074F"/>
    <w:rsid w:val="008C6CB4"/>
    <w:rsid w:val="008D15A4"/>
    <w:rsid w:val="008E2866"/>
    <w:rsid w:val="008E781A"/>
    <w:rsid w:val="008F21C1"/>
    <w:rsid w:val="008F3EDE"/>
    <w:rsid w:val="00905399"/>
    <w:rsid w:val="009105D6"/>
    <w:rsid w:val="00914419"/>
    <w:rsid w:val="00914B17"/>
    <w:rsid w:val="00920ACB"/>
    <w:rsid w:val="00920CD1"/>
    <w:rsid w:val="00923F0F"/>
    <w:rsid w:val="0092433A"/>
    <w:rsid w:val="00925C71"/>
    <w:rsid w:val="00941825"/>
    <w:rsid w:val="00957278"/>
    <w:rsid w:val="00957965"/>
    <w:rsid w:val="009802F6"/>
    <w:rsid w:val="00984CAC"/>
    <w:rsid w:val="00986644"/>
    <w:rsid w:val="009A14CE"/>
    <w:rsid w:val="009A6C19"/>
    <w:rsid w:val="009B11E4"/>
    <w:rsid w:val="009C0017"/>
    <w:rsid w:val="009D55FF"/>
    <w:rsid w:val="009F48A8"/>
    <w:rsid w:val="00A02950"/>
    <w:rsid w:val="00A31ECB"/>
    <w:rsid w:val="00A32715"/>
    <w:rsid w:val="00A33806"/>
    <w:rsid w:val="00A36707"/>
    <w:rsid w:val="00A4669F"/>
    <w:rsid w:val="00A556BA"/>
    <w:rsid w:val="00A618B6"/>
    <w:rsid w:val="00A74B01"/>
    <w:rsid w:val="00A849D4"/>
    <w:rsid w:val="00A87E44"/>
    <w:rsid w:val="00AA0F9B"/>
    <w:rsid w:val="00AA5B89"/>
    <w:rsid w:val="00AA70FA"/>
    <w:rsid w:val="00AB508B"/>
    <w:rsid w:val="00AC0ACD"/>
    <w:rsid w:val="00AC52E1"/>
    <w:rsid w:val="00AC7E95"/>
    <w:rsid w:val="00AD6AA3"/>
    <w:rsid w:val="00AE3C75"/>
    <w:rsid w:val="00B02473"/>
    <w:rsid w:val="00B04638"/>
    <w:rsid w:val="00B172BA"/>
    <w:rsid w:val="00B31145"/>
    <w:rsid w:val="00B37857"/>
    <w:rsid w:val="00B37A9E"/>
    <w:rsid w:val="00B37D51"/>
    <w:rsid w:val="00B4031A"/>
    <w:rsid w:val="00B46E8A"/>
    <w:rsid w:val="00B55C0B"/>
    <w:rsid w:val="00B6781D"/>
    <w:rsid w:val="00B7354E"/>
    <w:rsid w:val="00B73CEA"/>
    <w:rsid w:val="00BA03EF"/>
    <w:rsid w:val="00BA34AB"/>
    <w:rsid w:val="00BA6E8E"/>
    <w:rsid w:val="00BE4CC1"/>
    <w:rsid w:val="00BE7DAB"/>
    <w:rsid w:val="00BF45E3"/>
    <w:rsid w:val="00BF462A"/>
    <w:rsid w:val="00C064EB"/>
    <w:rsid w:val="00C146F0"/>
    <w:rsid w:val="00C1717C"/>
    <w:rsid w:val="00C23F8B"/>
    <w:rsid w:val="00C63475"/>
    <w:rsid w:val="00C728C0"/>
    <w:rsid w:val="00C7579A"/>
    <w:rsid w:val="00C934B1"/>
    <w:rsid w:val="00CA209A"/>
    <w:rsid w:val="00CA5F53"/>
    <w:rsid w:val="00CB73B1"/>
    <w:rsid w:val="00CC4DCE"/>
    <w:rsid w:val="00CC6A1F"/>
    <w:rsid w:val="00CD49BA"/>
    <w:rsid w:val="00CF26B2"/>
    <w:rsid w:val="00D038CB"/>
    <w:rsid w:val="00D161AA"/>
    <w:rsid w:val="00D22FED"/>
    <w:rsid w:val="00D35672"/>
    <w:rsid w:val="00D44885"/>
    <w:rsid w:val="00D45B0C"/>
    <w:rsid w:val="00D56C4D"/>
    <w:rsid w:val="00D573CC"/>
    <w:rsid w:val="00D654EE"/>
    <w:rsid w:val="00D84B48"/>
    <w:rsid w:val="00D91C46"/>
    <w:rsid w:val="00DA0B72"/>
    <w:rsid w:val="00DA14D4"/>
    <w:rsid w:val="00DA7DB1"/>
    <w:rsid w:val="00DD4749"/>
    <w:rsid w:val="00DE3161"/>
    <w:rsid w:val="00DE521A"/>
    <w:rsid w:val="00DE637B"/>
    <w:rsid w:val="00E004E2"/>
    <w:rsid w:val="00E14654"/>
    <w:rsid w:val="00E22CB5"/>
    <w:rsid w:val="00E25EF0"/>
    <w:rsid w:val="00E3505B"/>
    <w:rsid w:val="00E3707A"/>
    <w:rsid w:val="00E469B3"/>
    <w:rsid w:val="00E56A2F"/>
    <w:rsid w:val="00E604E0"/>
    <w:rsid w:val="00E74EFB"/>
    <w:rsid w:val="00E936C4"/>
    <w:rsid w:val="00EB3BCC"/>
    <w:rsid w:val="00EB4B65"/>
    <w:rsid w:val="00EB6A83"/>
    <w:rsid w:val="00EC3D84"/>
    <w:rsid w:val="00EC64FE"/>
    <w:rsid w:val="00EC7E87"/>
    <w:rsid w:val="00EE1AB3"/>
    <w:rsid w:val="00EE2196"/>
    <w:rsid w:val="00F1322E"/>
    <w:rsid w:val="00F220D0"/>
    <w:rsid w:val="00F37EAB"/>
    <w:rsid w:val="00F45447"/>
    <w:rsid w:val="00F52BF7"/>
    <w:rsid w:val="00F53D0F"/>
    <w:rsid w:val="00F53F9C"/>
    <w:rsid w:val="00F62A7B"/>
    <w:rsid w:val="00F7612A"/>
    <w:rsid w:val="00F84546"/>
    <w:rsid w:val="00F867B2"/>
    <w:rsid w:val="00F87C40"/>
    <w:rsid w:val="00F92BE3"/>
    <w:rsid w:val="00F97DA8"/>
    <w:rsid w:val="00FA35D4"/>
    <w:rsid w:val="00FC60F9"/>
    <w:rsid w:val="00FE7A41"/>
    <w:rsid w:val="00FE7B08"/>
    <w:rsid w:val="00FF151D"/>
    <w:rsid w:val="00FF209D"/>
    <w:rsid w:val="00FF36AD"/>
    <w:rsid w:val="00FF5FBF"/>
    <w:rsid w:val="220056EF"/>
    <w:rsid w:val="746C5AFB"/>
    <w:rsid w:val="79707FAA"/>
    <w:rsid w:val="7AE62B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D902"/>
  <w15:docId w15:val="{9BB65CF6-EA8B-4C0A-8457-FFF6599D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CC8"/>
    <w:pPr>
      <w:suppressAutoHyphens w:val="0"/>
    </w:pPr>
    <w:rPr>
      <w:rFonts w:ascii="Arial" w:eastAsia="Times New Roman" w:hAnsi="Arial" w:cs="Times New Roman"/>
      <w:color w:val="281C2A"/>
      <w:sz w:val="18"/>
      <w:szCs w:val="24"/>
    </w:rPr>
  </w:style>
  <w:style w:type="paragraph" w:styleId="Heading1">
    <w:name w:val="heading 1"/>
    <w:basedOn w:val="Normal"/>
    <w:uiPriority w:val="9"/>
    <w:qFormat/>
    <w:rsid w:val="00F867B2"/>
    <w:pPr>
      <w:keepNext/>
      <w:keepLines/>
      <w:spacing w:before="480"/>
      <w:outlineLvl w:val="0"/>
    </w:pPr>
    <w:rPr>
      <w:rFonts w:ascii="Liberation Sans" w:eastAsia="DejaVu Sans" w:hAnsi="Liberation Sans" w:cs="Noto Sans Devanagari"/>
      <w:b/>
      <w:sz w:val="48"/>
      <w:szCs w:val="48"/>
    </w:rPr>
  </w:style>
  <w:style w:type="paragraph" w:styleId="Heading2">
    <w:name w:val="heading 2"/>
    <w:basedOn w:val="Normal"/>
    <w:uiPriority w:val="9"/>
    <w:semiHidden/>
    <w:unhideWhenUsed/>
    <w:qFormat/>
    <w:rsid w:val="00F867B2"/>
    <w:pPr>
      <w:keepNext/>
      <w:keepLines/>
      <w:spacing w:before="360" w:after="80"/>
      <w:outlineLvl w:val="1"/>
    </w:pPr>
    <w:rPr>
      <w:rFonts w:ascii="Liberation Sans" w:eastAsia="DejaVu Sans" w:hAnsi="Liberation Sans" w:cs="Noto Sans Devanagari"/>
      <w:b/>
      <w:sz w:val="36"/>
      <w:szCs w:val="36"/>
    </w:rPr>
  </w:style>
  <w:style w:type="paragraph" w:styleId="Heading3">
    <w:name w:val="heading 3"/>
    <w:basedOn w:val="Normal"/>
    <w:uiPriority w:val="9"/>
    <w:semiHidden/>
    <w:unhideWhenUsed/>
    <w:qFormat/>
    <w:rsid w:val="00F867B2"/>
    <w:pPr>
      <w:keepLines/>
      <w:spacing w:before="280" w:after="80"/>
      <w:outlineLvl w:val="2"/>
    </w:pPr>
    <w:rPr>
      <w:b/>
    </w:rPr>
  </w:style>
  <w:style w:type="paragraph" w:styleId="Heading4">
    <w:name w:val="heading 4"/>
    <w:basedOn w:val="Normal"/>
    <w:uiPriority w:val="9"/>
    <w:semiHidden/>
    <w:unhideWhenUsed/>
    <w:qFormat/>
    <w:rsid w:val="00F867B2"/>
    <w:pPr>
      <w:keepLines/>
      <w:spacing w:after="40"/>
      <w:outlineLvl w:val="3"/>
    </w:pPr>
    <w:rPr>
      <w:b/>
    </w:rPr>
  </w:style>
  <w:style w:type="paragraph" w:styleId="Heading5">
    <w:name w:val="heading 5"/>
    <w:basedOn w:val="Normal"/>
    <w:uiPriority w:val="9"/>
    <w:semiHidden/>
    <w:unhideWhenUsed/>
    <w:qFormat/>
    <w:rsid w:val="00F867B2"/>
    <w:pPr>
      <w:keepLines/>
      <w:spacing w:before="220" w:after="40"/>
      <w:outlineLvl w:val="4"/>
    </w:pPr>
    <w:rPr>
      <w:b/>
    </w:rPr>
  </w:style>
  <w:style w:type="paragraph" w:styleId="Heading6">
    <w:name w:val="heading 6"/>
    <w:basedOn w:val="Normal"/>
    <w:uiPriority w:val="9"/>
    <w:semiHidden/>
    <w:unhideWhenUsed/>
    <w:qFormat/>
    <w:rsid w:val="00F867B2"/>
    <w:pPr>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rsid w:val="00914419"/>
    <w:pPr>
      <w:ind w:left="720"/>
      <w:contextualSpacing/>
    </w:pPr>
  </w:style>
  <w:style w:type="character" w:styleId="CommentReference">
    <w:name w:val="annotation reference"/>
    <w:basedOn w:val="DefaultParagraphFont"/>
    <w:uiPriority w:val="99"/>
    <w:semiHidden/>
    <w:unhideWhenUsed/>
    <w:rsid w:val="00B7354E"/>
    <w:rPr>
      <w:sz w:val="16"/>
      <w:szCs w:val="16"/>
    </w:rPr>
  </w:style>
  <w:style w:type="paragraph" w:styleId="CommentText">
    <w:name w:val="annotation text"/>
    <w:basedOn w:val="Normal"/>
    <w:link w:val="CommentTextChar"/>
    <w:uiPriority w:val="99"/>
    <w:unhideWhenUsed/>
    <w:rsid w:val="00B7354E"/>
    <w:rPr>
      <w:sz w:val="20"/>
      <w:szCs w:val="20"/>
    </w:rPr>
  </w:style>
  <w:style w:type="character" w:customStyle="1" w:styleId="CommentTextChar">
    <w:name w:val="Comment Text Char"/>
    <w:basedOn w:val="DefaultParagraphFont"/>
    <w:link w:val="CommentText"/>
    <w:uiPriority w:val="99"/>
    <w:rsid w:val="00B7354E"/>
    <w:rPr>
      <w:sz w:val="20"/>
      <w:szCs w:val="20"/>
    </w:rPr>
  </w:style>
  <w:style w:type="paragraph" w:styleId="CommentSubject">
    <w:name w:val="annotation subject"/>
    <w:basedOn w:val="CommentText"/>
    <w:next w:val="CommentText"/>
    <w:link w:val="CommentSubjectChar"/>
    <w:uiPriority w:val="99"/>
    <w:semiHidden/>
    <w:unhideWhenUsed/>
    <w:rsid w:val="00B7354E"/>
    <w:rPr>
      <w:b/>
      <w:bCs/>
    </w:rPr>
  </w:style>
  <w:style w:type="character" w:customStyle="1" w:styleId="CommentSubjectChar">
    <w:name w:val="Comment Subject Char"/>
    <w:basedOn w:val="CommentTextChar"/>
    <w:link w:val="CommentSubject"/>
    <w:uiPriority w:val="99"/>
    <w:semiHidden/>
    <w:rsid w:val="00B7354E"/>
    <w:rPr>
      <w:b/>
      <w:bCs/>
      <w:sz w:val="20"/>
      <w:szCs w:val="20"/>
    </w:rPr>
  </w:style>
  <w:style w:type="paragraph" w:styleId="Revision">
    <w:name w:val="Revision"/>
    <w:hidden/>
    <w:uiPriority w:val="99"/>
    <w:semiHidden/>
    <w:rsid w:val="00843B60"/>
    <w:pPr>
      <w:suppressAutoHyphens w:val="0"/>
    </w:pPr>
  </w:style>
  <w:style w:type="table" w:styleId="TableGrid">
    <w:name w:val="Table Grid"/>
    <w:basedOn w:val="TableNormal"/>
    <w:uiPriority w:val="39"/>
    <w:rsid w:val="007B0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obtitle">
    <w:name w:val="1 Job title"/>
    <w:basedOn w:val="Normal"/>
    <w:qFormat/>
    <w:rsid w:val="00123CC8"/>
    <w:pPr>
      <w:jc w:val="center"/>
    </w:pPr>
    <w:rPr>
      <w:rFonts w:cs="Arial"/>
      <w:b/>
      <w:bCs/>
      <w:sz w:val="28"/>
      <w:szCs w:val="28"/>
    </w:rPr>
  </w:style>
  <w:style w:type="paragraph" w:customStyle="1" w:styleId="2Gradeanddepartment">
    <w:name w:val="2 Grade and department"/>
    <w:basedOn w:val="Normal"/>
    <w:qFormat/>
    <w:rsid w:val="00123CC8"/>
    <w:pPr>
      <w:jc w:val="center"/>
    </w:pPr>
    <w:rPr>
      <w:rFonts w:cs="Arial"/>
    </w:rPr>
  </w:style>
  <w:style w:type="paragraph" w:customStyle="1" w:styleId="3Boxtitle">
    <w:name w:val="3 Box title"/>
    <w:basedOn w:val="Normal"/>
    <w:qFormat/>
    <w:rsid w:val="00123CC8"/>
    <w:rPr>
      <w:rFonts w:cs="Arial"/>
      <w:b/>
      <w:color w:val="F3F1E8" w:themeColor="background1"/>
    </w:rPr>
  </w:style>
  <w:style w:type="paragraph" w:customStyle="1" w:styleId="4Text">
    <w:name w:val="4 Text"/>
    <w:basedOn w:val="Normal"/>
    <w:qFormat/>
    <w:rsid w:val="00123CC8"/>
    <w:pPr>
      <w:spacing w:after="120" w:line="276" w:lineRule="auto"/>
    </w:pPr>
    <w:rPr>
      <w:rFonts w:cs="Arial"/>
      <w:szCs w:val="18"/>
      <w:shd w:val="clear" w:color="auto" w:fill="FFFFFF"/>
    </w:rPr>
  </w:style>
  <w:style w:type="paragraph" w:customStyle="1" w:styleId="4Textbullet">
    <w:name w:val="4 Text bullet"/>
    <w:basedOn w:val="Normal"/>
    <w:qFormat/>
    <w:rsid w:val="00123CC8"/>
    <w:pPr>
      <w:numPr>
        <w:numId w:val="1"/>
      </w:numPr>
      <w:spacing w:line="276" w:lineRule="auto"/>
    </w:pPr>
    <w:rPr>
      <w:rFonts w:cs="Arial"/>
      <w:szCs w:val="18"/>
    </w:rPr>
  </w:style>
  <w:style w:type="paragraph" w:customStyle="1" w:styleId="5Subboxtitle">
    <w:name w:val="5 Sub box title"/>
    <w:basedOn w:val="Normal"/>
    <w:qFormat/>
    <w:rsid w:val="00123CC8"/>
    <w:rPr>
      <w:rFonts w:cs="Arial"/>
      <w:b/>
      <w:color w:val="F3F1E8" w:themeColor="background1"/>
      <w:sz w:val="20"/>
      <w:szCs w:val="20"/>
    </w:rPr>
  </w:style>
  <w:style w:type="paragraph" w:customStyle="1" w:styleId="Default">
    <w:name w:val="Default"/>
    <w:rsid w:val="000157C2"/>
    <w:pPr>
      <w:suppressAutoHyphens w:val="0"/>
      <w:autoSpaceDE w:val="0"/>
      <w:autoSpaceDN w:val="0"/>
      <w:adjustRightInd w:val="0"/>
    </w:pPr>
    <w:rPr>
      <w:rFonts w:ascii="Aptos" w:hAnsi="Aptos" w:cs="Aptos"/>
      <w:color w:val="000000"/>
      <w:sz w:val="24"/>
      <w:szCs w:val="24"/>
    </w:rPr>
  </w:style>
  <w:style w:type="character" w:styleId="Hyperlink">
    <w:name w:val="Hyperlink"/>
    <w:basedOn w:val="DefaultParagraphFont"/>
    <w:uiPriority w:val="99"/>
    <w:unhideWhenUsed/>
    <w:rsid w:val="00BA6E8E"/>
    <w:rPr>
      <w:color w:val="FF324B" w:themeColor="hyperlink"/>
      <w:u w:val="single"/>
    </w:rPr>
  </w:style>
  <w:style w:type="character" w:styleId="UnresolvedMention">
    <w:name w:val="Unresolved Mention"/>
    <w:basedOn w:val="DefaultParagraphFont"/>
    <w:uiPriority w:val="99"/>
    <w:semiHidden/>
    <w:unhideWhenUsed/>
    <w:rsid w:val="00BA6E8E"/>
    <w:rPr>
      <w:color w:val="605E5C"/>
      <w:shd w:val="clear" w:color="auto" w:fill="E1DFDD"/>
    </w:rPr>
  </w:style>
  <w:style w:type="paragraph" w:styleId="Footer">
    <w:name w:val="footer"/>
    <w:basedOn w:val="Normal"/>
    <w:link w:val="FooterChar"/>
    <w:uiPriority w:val="99"/>
    <w:unhideWhenUsed/>
    <w:rsid w:val="00AC0ACD"/>
    <w:pPr>
      <w:tabs>
        <w:tab w:val="center" w:pos="4513"/>
        <w:tab w:val="right" w:pos="9026"/>
      </w:tabs>
    </w:pPr>
  </w:style>
  <w:style w:type="character" w:customStyle="1" w:styleId="FooterChar">
    <w:name w:val="Footer Char"/>
    <w:basedOn w:val="DefaultParagraphFont"/>
    <w:link w:val="Footer"/>
    <w:uiPriority w:val="99"/>
    <w:rsid w:val="00AC0ACD"/>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C0ACD"/>
  </w:style>
  <w:style w:type="paragraph" w:styleId="Subtitle">
    <w:name w:val="Subtitle"/>
    <w:basedOn w:val="Normal"/>
    <w:next w:val="Normal"/>
    <w:link w:val="SubtitleChar"/>
    <w:uiPriority w:val="11"/>
    <w:qFormat/>
    <w:rsid w:val="00F52BF7"/>
    <w:pPr>
      <w:numPr>
        <w:ilvl w:val="1"/>
      </w:numPr>
      <w:spacing w:after="120" w:line="312" w:lineRule="auto"/>
      <w:jc w:val="both"/>
    </w:pPr>
    <w:rPr>
      <w:rFonts w:asciiTheme="majorHAnsi" w:eastAsiaTheme="majorEastAsia" w:hAnsiTheme="majorHAnsi" w:cstheme="majorBidi"/>
      <w:i/>
      <w:iCs/>
      <w:color w:val="36639E" w:themeColor="accent1"/>
      <w:spacing w:val="15"/>
      <w:lang w:eastAsia="en-US"/>
    </w:rPr>
  </w:style>
  <w:style w:type="character" w:customStyle="1" w:styleId="SubtitleChar">
    <w:name w:val="Subtitle Char"/>
    <w:basedOn w:val="DefaultParagraphFont"/>
    <w:link w:val="Subtitle"/>
    <w:uiPriority w:val="11"/>
    <w:rsid w:val="00F52BF7"/>
    <w:rPr>
      <w:rFonts w:asciiTheme="majorHAnsi" w:eastAsiaTheme="majorEastAsia" w:hAnsiTheme="majorHAnsi" w:cstheme="majorBidi"/>
      <w:i/>
      <w:iCs/>
      <w:color w:val="36639E" w:themeColor="accent1"/>
      <w:spacing w:val="15"/>
      <w:sz w:val="24"/>
      <w:szCs w:val="24"/>
      <w:lang w:eastAsia="en-US"/>
    </w:rPr>
  </w:style>
  <w:style w:type="paragraph" w:styleId="Header">
    <w:name w:val="header"/>
    <w:basedOn w:val="Normal"/>
    <w:link w:val="HeaderChar"/>
    <w:uiPriority w:val="99"/>
    <w:unhideWhenUsed/>
    <w:rsid w:val="00F53F9C"/>
    <w:pPr>
      <w:tabs>
        <w:tab w:val="center" w:pos="4513"/>
        <w:tab w:val="right" w:pos="9026"/>
      </w:tabs>
    </w:pPr>
  </w:style>
  <w:style w:type="character" w:customStyle="1" w:styleId="HeaderChar">
    <w:name w:val="Header Char"/>
    <w:basedOn w:val="DefaultParagraphFont"/>
    <w:link w:val="Header"/>
    <w:uiPriority w:val="99"/>
    <w:rsid w:val="00F53F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2965">
      <w:bodyDiv w:val="1"/>
      <w:marLeft w:val="0"/>
      <w:marRight w:val="0"/>
      <w:marTop w:val="0"/>
      <w:marBottom w:val="0"/>
      <w:divBdr>
        <w:top w:val="none" w:sz="0" w:space="0" w:color="auto"/>
        <w:left w:val="none" w:sz="0" w:space="0" w:color="auto"/>
        <w:bottom w:val="none" w:sz="0" w:space="0" w:color="auto"/>
        <w:right w:val="none" w:sz="0" w:space="0" w:color="auto"/>
      </w:divBdr>
    </w:div>
    <w:div w:id="245505957">
      <w:bodyDiv w:val="1"/>
      <w:marLeft w:val="0"/>
      <w:marRight w:val="0"/>
      <w:marTop w:val="0"/>
      <w:marBottom w:val="0"/>
      <w:divBdr>
        <w:top w:val="none" w:sz="0" w:space="0" w:color="auto"/>
        <w:left w:val="none" w:sz="0" w:space="0" w:color="auto"/>
        <w:bottom w:val="none" w:sz="0" w:space="0" w:color="auto"/>
        <w:right w:val="none" w:sz="0" w:space="0" w:color="auto"/>
      </w:divBdr>
    </w:div>
    <w:div w:id="905526990">
      <w:bodyDiv w:val="1"/>
      <w:marLeft w:val="0"/>
      <w:marRight w:val="0"/>
      <w:marTop w:val="0"/>
      <w:marBottom w:val="0"/>
      <w:divBdr>
        <w:top w:val="none" w:sz="0" w:space="0" w:color="auto"/>
        <w:left w:val="none" w:sz="0" w:space="0" w:color="auto"/>
        <w:bottom w:val="none" w:sz="0" w:space="0" w:color="auto"/>
        <w:right w:val="none" w:sz="0" w:space="0" w:color="auto"/>
      </w:divBdr>
    </w:div>
    <w:div w:id="1622029076">
      <w:bodyDiv w:val="1"/>
      <w:marLeft w:val="0"/>
      <w:marRight w:val="0"/>
      <w:marTop w:val="0"/>
      <w:marBottom w:val="0"/>
      <w:divBdr>
        <w:top w:val="none" w:sz="0" w:space="0" w:color="auto"/>
        <w:left w:val="none" w:sz="0" w:space="0" w:color="auto"/>
        <w:bottom w:val="none" w:sz="0" w:space="0" w:color="auto"/>
        <w:right w:val="none" w:sz="0" w:space="0" w:color="auto"/>
      </w:divBdr>
    </w:div>
    <w:div w:id="1745447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Strategy to 2035">
      <a:dk1>
        <a:srgbClr val="281C2A"/>
      </a:dk1>
      <a:lt1>
        <a:srgbClr val="F3F1E8"/>
      </a:lt1>
      <a:dk2>
        <a:srgbClr val="660098"/>
      </a:dk2>
      <a:lt2>
        <a:srgbClr val="FFFFFF"/>
      </a:lt2>
      <a:accent1>
        <a:srgbClr val="36639E"/>
      </a:accent1>
      <a:accent2>
        <a:srgbClr val="FB66F9"/>
      </a:accent2>
      <a:accent3>
        <a:srgbClr val="097570"/>
      </a:accent3>
      <a:accent4>
        <a:srgbClr val="1CBC66"/>
      </a:accent4>
      <a:accent5>
        <a:srgbClr val="BBE64E"/>
      </a:accent5>
      <a:accent6>
        <a:srgbClr val="FA9B42"/>
      </a:accent6>
      <a:hlink>
        <a:srgbClr val="FF324B"/>
      </a:hlink>
      <a:folHlink>
        <a:srgbClr val="F95820"/>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C4953EFE789443BC126B12116A0254" ma:contentTypeVersion="3" ma:contentTypeDescription="Create a new document." ma:contentTypeScope="" ma:versionID="7e82eda614863265ad0cf07e2a160fe5">
  <xsd:schema xmlns:xsd="http://www.w3.org/2001/XMLSchema" xmlns:xs="http://www.w3.org/2001/XMLSchema" xmlns:p="http://schemas.microsoft.com/office/2006/metadata/properties" xmlns:ns2="cb816cda-e81b-4592-be80-44c35c97598a" targetNamespace="http://schemas.microsoft.com/office/2006/metadata/properties" ma:root="true" ma:fieldsID="6967317fcd955938589cce49364ffd90" ns2:_="">
    <xsd:import namespace="cb816cda-e81b-4592-be80-44c35c9759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6cda-e81b-4592-be80-44c35c975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09727-D7CC-9F4C-B874-4DFC343E3721}">
  <ds:schemaRefs>
    <ds:schemaRef ds:uri="http://schemas.openxmlformats.org/officeDocument/2006/bibliography"/>
  </ds:schemaRefs>
</ds:datastoreItem>
</file>

<file path=customXml/itemProps2.xml><?xml version="1.0" encoding="utf-8"?>
<ds:datastoreItem xmlns:ds="http://schemas.openxmlformats.org/officeDocument/2006/customXml" ds:itemID="{B0EBB763-8889-486D-AFBA-5C6DCFFB4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6cda-e81b-4592-be80-44c35c975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6DC0-59DB-4B9B-8DA4-66FE3146C1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73AAD9-E9D4-4471-BD86-0DE7C197D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2283</Words>
  <Characters>15071</Characters>
  <Application>Microsoft Office Word</Application>
  <DocSecurity>0</DocSecurity>
  <Lines>224</Lines>
  <Paragraphs>159</Paragraphs>
  <ScaleCrop>false</ScaleCrop>
  <HeadingPairs>
    <vt:vector size="2" baseType="variant">
      <vt:variant>
        <vt:lpstr>Title</vt:lpstr>
      </vt:variant>
      <vt:variant>
        <vt:i4>1</vt:i4>
      </vt:variant>
    </vt:vector>
  </HeadingPairs>
  <TitlesOfParts>
    <vt:vector size="1" baseType="lpstr">
      <vt:lpstr>UoM job description 2026</vt:lpstr>
    </vt:vector>
  </TitlesOfParts>
  <Manager/>
  <Company>The University of Manchester</Company>
  <LinksUpToDate>false</LinksUpToDate>
  <CharactersWithSpaces>17195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M2035 Template 2</dc:title>
  <dc:subject/>
  <dc:creator>Design</dc:creator>
  <cp:keywords/>
  <dc:description/>
  <cp:lastModifiedBy>Hayley Cox</cp:lastModifiedBy>
  <cp:revision>3</cp:revision>
  <cp:lastPrinted>2026-04-21T08:05:00Z</cp:lastPrinted>
  <dcterms:created xsi:type="dcterms:W3CDTF">2026-06-02T15:00:00Z</dcterms:created>
  <dcterms:modified xsi:type="dcterms:W3CDTF">2026-06-02T15:02:00Z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0x010100EDC4953EFE789443BC126B12116A0254</vt:lpwstr>
  </property>
  <property fmtid="{D5CDD505-2E9C-101B-9397-08002B2CF9AE}" pid="3" name="MediaServiceImageTags">
    <vt:lpwstr/>
  </property>
  <property fmtid="{D5CDD505-2E9C-101B-9397-08002B2CF9AE}" pid="4" name="docLang">
    <vt:lpwstr>en</vt:lpwstr>
  </property>
</Properties>
</file>