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81064" w14:textId="77777777" w:rsidR="007C50E8" w:rsidRPr="00AC62FB" w:rsidRDefault="00AC62FB">
      <w:pPr>
        <w:rPr>
          <w:rFonts w:asciiTheme="majorHAnsi" w:hAnsiTheme="majorHAnsi" w:cstheme="majorHAnsi"/>
        </w:rPr>
      </w:pPr>
      <w:r w:rsidRPr="00AC62FB">
        <w:rPr>
          <w:rFonts w:asciiTheme="majorHAnsi" w:hAnsiTheme="majorHAnsi" w:cstheme="majorHAnsi"/>
          <w:b/>
          <w:bCs/>
        </w:rPr>
        <w:t>Job Title</w:t>
      </w:r>
      <w:r w:rsidRPr="00AC62FB">
        <w:rPr>
          <w:rFonts w:asciiTheme="majorHAnsi" w:hAnsiTheme="majorHAnsi" w:cstheme="majorHAnsi"/>
        </w:rPr>
        <w:t>: Programme Director, Humanities New Academics Programme (HNAP)</w:t>
      </w:r>
    </w:p>
    <w:p w14:paraId="4A799D40" w14:textId="77777777" w:rsidR="007C50E8" w:rsidRPr="00AC62FB" w:rsidRDefault="00AC62FB">
      <w:pPr>
        <w:rPr>
          <w:rFonts w:asciiTheme="majorHAnsi" w:hAnsiTheme="majorHAnsi" w:cstheme="majorHAnsi"/>
        </w:rPr>
      </w:pPr>
      <w:r w:rsidRPr="00AC62FB">
        <w:rPr>
          <w:rFonts w:asciiTheme="majorHAnsi" w:hAnsiTheme="majorHAnsi" w:cstheme="majorHAnsi"/>
          <w:b/>
          <w:bCs/>
        </w:rPr>
        <w:t>Department:</w:t>
      </w:r>
      <w:r w:rsidRPr="00AC62FB">
        <w:rPr>
          <w:rFonts w:asciiTheme="majorHAnsi" w:hAnsiTheme="majorHAnsi" w:cstheme="majorHAnsi"/>
        </w:rPr>
        <w:t xml:space="preserve"> Faculty of Humanities</w:t>
      </w:r>
    </w:p>
    <w:p w14:paraId="369280AF" w14:textId="77777777" w:rsidR="007C50E8" w:rsidRPr="00AC62FB" w:rsidRDefault="00AC62FB">
      <w:pPr>
        <w:pStyle w:val="Heading2"/>
        <w:rPr>
          <w:rFonts w:cstheme="majorHAnsi"/>
          <w:sz w:val="22"/>
          <w:szCs w:val="22"/>
        </w:rPr>
      </w:pPr>
      <w:proofErr w:type="gramStart"/>
      <w:r w:rsidRPr="00AC62FB">
        <w:rPr>
          <w:rFonts w:cstheme="majorHAnsi"/>
          <w:sz w:val="22"/>
          <w:szCs w:val="22"/>
        </w:rPr>
        <w:t>Overall</w:t>
      </w:r>
      <w:proofErr w:type="gramEnd"/>
      <w:r w:rsidRPr="00AC62FB">
        <w:rPr>
          <w:rFonts w:cstheme="majorHAnsi"/>
          <w:sz w:val="22"/>
          <w:szCs w:val="22"/>
        </w:rPr>
        <w:t xml:space="preserve"> Purpose</w:t>
      </w:r>
    </w:p>
    <w:p w14:paraId="2D5F8AA6" w14:textId="77777777" w:rsidR="007C50E8" w:rsidRPr="00AC62FB" w:rsidRDefault="00AC62FB">
      <w:pPr>
        <w:rPr>
          <w:rFonts w:asciiTheme="majorHAnsi" w:hAnsiTheme="majorHAnsi" w:cstheme="majorHAnsi"/>
        </w:rPr>
      </w:pPr>
      <w:r w:rsidRPr="00AC62FB">
        <w:rPr>
          <w:rFonts w:asciiTheme="majorHAnsi" w:hAnsiTheme="majorHAnsi" w:cstheme="majorHAnsi"/>
        </w:rPr>
        <w:t xml:space="preserve">The Programme Director for the Humanities New Academics Programme (HNAP) provides academic leadership for a </w:t>
      </w:r>
      <w:proofErr w:type="gramStart"/>
      <w:r w:rsidRPr="00AC62FB">
        <w:rPr>
          <w:rFonts w:asciiTheme="majorHAnsi" w:hAnsiTheme="majorHAnsi" w:cstheme="majorHAnsi"/>
        </w:rPr>
        <w:t>Faculty</w:t>
      </w:r>
      <w:proofErr w:type="gramEnd"/>
      <w:r w:rsidRPr="00AC62FB">
        <w:rPr>
          <w:rFonts w:asciiTheme="majorHAnsi" w:hAnsiTheme="majorHAnsi" w:cstheme="majorHAnsi"/>
        </w:rPr>
        <w:t>-wide programme that supports new academics to develop effective, inclusive teaching and academic practice. Working in alignment with Faculty and University priorities, the postholder ensures HNAP remains coherent, high quality and appropriately aligned with probationary requirements and professional standards.</w:t>
      </w:r>
    </w:p>
    <w:p w14:paraId="4556CA50" w14:textId="77777777" w:rsidR="007C50E8" w:rsidRPr="00AC62FB" w:rsidRDefault="00AC62FB">
      <w:pPr>
        <w:pStyle w:val="Heading2"/>
        <w:rPr>
          <w:rFonts w:cstheme="majorHAnsi"/>
          <w:sz w:val="22"/>
          <w:szCs w:val="22"/>
        </w:rPr>
      </w:pPr>
      <w:r w:rsidRPr="00AC62FB">
        <w:rPr>
          <w:rFonts w:cstheme="majorHAnsi"/>
          <w:sz w:val="22"/>
          <w:szCs w:val="22"/>
        </w:rPr>
        <w:t>About the Team</w:t>
      </w:r>
    </w:p>
    <w:p w14:paraId="2D9C27E5" w14:textId="77777777" w:rsidR="007C50E8" w:rsidRPr="00AC62FB" w:rsidRDefault="00AC62FB">
      <w:pPr>
        <w:rPr>
          <w:rFonts w:asciiTheme="majorHAnsi" w:hAnsiTheme="majorHAnsi" w:cstheme="majorHAnsi"/>
        </w:rPr>
      </w:pPr>
      <w:r w:rsidRPr="00AC62FB">
        <w:rPr>
          <w:rFonts w:asciiTheme="majorHAnsi" w:hAnsiTheme="majorHAnsi" w:cstheme="majorHAnsi"/>
        </w:rPr>
        <w:t xml:space="preserve">HNAP is a </w:t>
      </w:r>
      <w:proofErr w:type="gramStart"/>
      <w:r w:rsidRPr="00AC62FB">
        <w:rPr>
          <w:rFonts w:asciiTheme="majorHAnsi" w:hAnsiTheme="majorHAnsi" w:cstheme="majorHAnsi"/>
        </w:rPr>
        <w:t>Faculty</w:t>
      </w:r>
      <w:proofErr w:type="gramEnd"/>
      <w:r w:rsidRPr="00AC62FB">
        <w:rPr>
          <w:rFonts w:asciiTheme="majorHAnsi" w:hAnsiTheme="majorHAnsi" w:cstheme="majorHAnsi"/>
        </w:rPr>
        <w:t xml:space="preserve">-level academic development programme for new academic staff within the Faculty of Humanities. The Programme Director works closely with the Vice-Dean for Teaching, Learning and Students, School HNAP leads, and professional services colleagues supporting programme delivery, administration and quality assurance. The role also engages with </w:t>
      </w:r>
      <w:proofErr w:type="gramStart"/>
      <w:r w:rsidRPr="00AC62FB">
        <w:rPr>
          <w:rFonts w:asciiTheme="majorHAnsi" w:hAnsiTheme="majorHAnsi" w:cstheme="majorHAnsi"/>
        </w:rPr>
        <w:t>University</w:t>
      </w:r>
      <w:proofErr w:type="gramEnd"/>
      <w:r w:rsidRPr="00AC62FB">
        <w:rPr>
          <w:rFonts w:asciiTheme="majorHAnsi" w:hAnsiTheme="majorHAnsi" w:cstheme="majorHAnsi"/>
        </w:rPr>
        <w:t>-level academic development and quality processes.</w:t>
      </w:r>
    </w:p>
    <w:p w14:paraId="5AB344F2" w14:textId="77777777" w:rsidR="007C50E8" w:rsidRPr="00AC62FB" w:rsidRDefault="00AC62FB">
      <w:pPr>
        <w:pStyle w:val="Heading2"/>
        <w:rPr>
          <w:rFonts w:cstheme="majorHAnsi"/>
          <w:sz w:val="22"/>
          <w:szCs w:val="22"/>
        </w:rPr>
      </w:pPr>
      <w:r w:rsidRPr="00AC62FB">
        <w:rPr>
          <w:rFonts w:cstheme="majorHAnsi"/>
          <w:sz w:val="22"/>
          <w:szCs w:val="22"/>
        </w:rPr>
        <w:t>Key Accountabilities</w:t>
      </w:r>
    </w:p>
    <w:p w14:paraId="2A68E011" w14:textId="77777777" w:rsidR="007C50E8" w:rsidRPr="00AC62FB" w:rsidRDefault="00AC62FB">
      <w:pPr>
        <w:pStyle w:val="ListBullet"/>
        <w:rPr>
          <w:rFonts w:asciiTheme="majorHAnsi" w:hAnsiTheme="majorHAnsi" w:cstheme="majorHAnsi"/>
        </w:rPr>
      </w:pPr>
      <w:r w:rsidRPr="00AC62FB">
        <w:rPr>
          <w:rFonts w:asciiTheme="majorHAnsi" w:hAnsiTheme="majorHAnsi" w:cstheme="majorHAnsi"/>
        </w:rPr>
        <w:t>Providing academic leadership for HNAP, ensuring alignment with Faculty and University priorities for education and academic development.</w:t>
      </w:r>
    </w:p>
    <w:p w14:paraId="1468B216" w14:textId="77777777" w:rsidR="007C50E8" w:rsidRPr="00AC62FB" w:rsidRDefault="00AC62FB">
      <w:pPr>
        <w:pStyle w:val="ListBullet"/>
        <w:rPr>
          <w:rFonts w:asciiTheme="majorHAnsi" w:hAnsiTheme="majorHAnsi" w:cstheme="majorHAnsi"/>
        </w:rPr>
      </w:pPr>
      <w:r w:rsidRPr="00AC62FB">
        <w:rPr>
          <w:rFonts w:asciiTheme="majorHAnsi" w:hAnsiTheme="majorHAnsi" w:cstheme="majorHAnsi"/>
        </w:rPr>
        <w:t>Leading the design, review and enhancement of programme content, modelling inclusive and effective teaching and assessment practice.</w:t>
      </w:r>
    </w:p>
    <w:p w14:paraId="0F84BB87" w14:textId="77777777" w:rsidR="007C50E8" w:rsidRPr="00AC62FB" w:rsidRDefault="00AC62FB">
      <w:pPr>
        <w:pStyle w:val="ListBullet"/>
        <w:rPr>
          <w:rFonts w:asciiTheme="majorHAnsi" w:hAnsiTheme="majorHAnsi" w:cstheme="majorHAnsi"/>
        </w:rPr>
      </w:pPr>
      <w:r w:rsidRPr="00AC62FB">
        <w:rPr>
          <w:rFonts w:asciiTheme="majorHAnsi" w:hAnsiTheme="majorHAnsi" w:cstheme="majorHAnsi"/>
        </w:rPr>
        <w:t>Overseeing HNAP assessment, marking and moderation processes to ensure fairness, consistency and alignment with the Advanced HE Professional Standards Framework 2023.</w:t>
      </w:r>
    </w:p>
    <w:p w14:paraId="721AF318" w14:textId="77777777" w:rsidR="007C50E8" w:rsidRPr="00AC62FB" w:rsidRDefault="00AC62FB">
      <w:pPr>
        <w:pStyle w:val="ListBullet"/>
        <w:rPr>
          <w:rFonts w:asciiTheme="majorHAnsi" w:hAnsiTheme="majorHAnsi" w:cstheme="majorHAnsi"/>
        </w:rPr>
      </w:pPr>
      <w:r w:rsidRPr="00AC62FB">
        <w:rPr>
          <w:rFonts w:asciiTheme="majorHAnsi" w:hAnsiTheme="majorHAnsi" w:cstheme="majorHAnsi"/>
        </w:rPr>
        <w:t>Supporting and overseeing School HNAP leads, including briefing, guidance and assessor development as required.</w:t>
      </w:r>
    </w:p>
    <w:p w14:paraId="0EECE3BF" w14:textId="77777777" w:rsidR="007C50E8" w:rsidRPr="00AC62FB" w:rsidRDefault="00AC62FB">
      <w:pPr>
        <w:pStyle w:val="ListBullet"/>
        <w:rPr>
          <w:rFonts w:asciiTheme="majorHAnsi" w:hAnsiTheme="majorHAnsi" w:cstheme="majorHAnsi"/>
        </w:rPr>
      </w:pPr>
      <w:r w:rsidRPr="00AC62FB">
        <w:rPr>
          <w:rFonts w:asciiTheme="majorHAnsi" w:hAnsiTheme="majorHAnsi" w:cstheme="majorHAnsi"/>
        </w:rPr>
        <w:t>Maintaining robust internal and external quality assurance arrangements, including engagement with the external examiner and follow-up actions.</w:t>
      </w:r>
    </w:p>
    <w:p w14:paraId="30E9CBF6" w14:textId="77777777" w:rsidR="007C50E8" w:rsidRPr="00AC62FB" w:rsidRDefault="00AC62FB">
      <w:pPr>
        <w:pStyle w:val="ListBullet"/>
        <w:rPr>
          <w:rFonts w:asciiTheme="majorHAnsi" w:hAnsiTheme="majorHAnsi" w:cstheme="majorHAnsi"/>
        </w:rPr>
      </w:pPr>
      <w:r w:rsidRPr="00AC62FB">
        <w:rPr>
          <w:rFonts w:asciiTheme="majorHAnsi" w:hAnsiTheme="majorHAnsi" w:cstheme="majorHAnsi"/>
        </w:rPr>
        <w:t>Working with professional services colleagues to ensure effective programme administration, communications and accurate information in relevant systems.</w:t>
      </w:r>
    </w:p>
    <w:p w14:paraId="14427157" w14:textId="77777777" w:rsidR="007C50E8" w:rsidRPr="00AC62FB" w:rsidRDefault="00AC62FB">
      <w:pPr>
        <w:pStyle w:val="ListBullet"/>
        <w:rPr>
          <w:rFonts w:asciiTheme="majorHAnsi" w:hAnsiTheme="majorHAnsi" w:cstheme="majorHAnsi"/>
        </w:rPr>
      </w:pPr>
      <w:r w:rsidRPr="00AC62FB">
        <w:rPr>
          <w:rFonts w:asciiTheme="majorHAnsi" w:hAnsiTheme="majorHAnsi" w:cstheme="majorHAnsi"/>
        </w:rPr>
        <w:t>Overseeing participant eligibility, enrolment, progress and outcomes, including appropriate escalation in liaison with Schools.</w:t>
      </w:r>
    </w:p>
    <w:p w14:paraId="5402C955" w14:textId="77777777" w:rsidR="007C50E8" w:rsidRPr="00AC62FB" w:rsidRDefault="00AC62FB">
      <w:pPr>
        <w:pStyle w:val="ListBullet"/>
        <w:rPr>
          <w:rFonts w:asciiTheme="majorHAnsi" w:hAnsiTheme="majorHAnsi" w:cstheme="majorHAnsi"/>
        </w:rPr>
      </w:pPr>
      <w:r w:rsidRPr="00AC62FB">
        <w:rPr>
          <w:rFonts w:asciiTheme="majorHAnsi" w:hAnsiTheme="majorHAnsi" w:cstheme="majorHAnsi"/>
        </w:rPr>
        <w:t xml:space="preserve">Supporting continuous monitoring and enhancement of the programme through evidence gathering, feedback, and </w:t>
      </w:r>
      <w:proofErr w:type="gramStart"/>
      <w:r w:rsidRPr="00AC62FB">
        <w:rPr>
          <w:rFonts w:asciiTheme="majorHAnsi" w:hAnsiTheme="majorHAnsi" w:cstheme="majorHAnsi"/>
        </w:rPr>
        <w:t>sharing of</w:t>
      </w:r>
      <w:proofErr w:type="gramEnd"/>
      <w:r w:rsidRPr="00AC62FB">
        <w:rPr>
          <w:rFonts w:asciiTheme="majorHAnsi" w:hAnsiTheme="majorHAnsi" w:cstheme="majorHAnsi"/>
        </w:rPr>
        <w:t xml:space="preserve"> good practice.</w:t>
      </w:r>
    </w:p>
    <w:p w14:paraId="09F29A99" w14:textId="77777777" w:rsidR="007C50E8" w:rsidRPr="00AC62FB" w:rsidRDefault="00AC62FB">
      <w:pPr>
        <w:pStyle w:val="ListBullet"/>
        <w:rPr>
          <w:rFonts w:asciiTheme="majorHAnsi" w:hAnsiTheme="majorHAnsi" w:cstheme="majorHAnsi"/>
        </w:rPr>
      </w:pPr>
      <w:r w:rsidRPr="00AC62FB">
        <w:rPr>
          <w:rFonts w:asciiTheme="majorHAnsi" w:hAnsiTheme="majorHAnsi" w:cstheme="majorHAnsi"/>
        </w:rPr>
        <w:t>Representing the Faculty in University-level discussions on academic development and professional practice pathways.</w:t>
      </w:r>
    </w:p>
    <w:p w14:paraId="3B219575" w14:textId="77777777" w:rsidR="007C50E8" w:rsidRPr="00AC62FB" w:rsidRDefault="00AC62FB">
      <w:pPr>
        <w:pStyle w:val="Heading2"/>
        <w:rPr>
          <w:rFonts w:cstheme="majorHAnsi"/>
          <w:sz w:val="22"/>
          <w:szCs w:val="22"/>
        </w:rPr>
      </w:pPr>
      <w:r w:rsidRPr="00AC62FB">
        <w:rPr>
          <w:rFonts w:cstheme="majorHAnsi"/>
          <w:sz w:val="22"/>
          <w:szCs w:val="22"/>
        </w:rPr>
        <w:lastRenderedPageBreak/>
        <w:t>Person Specification</w:t>
      </w:r>
    </w:p>
    <w:p w14:paraId="126F73FC" w14:textId="77777777" w:rsidR="007C50E8" w:rsidRPr="00AC62FB" w:rsidRDefault="00AC62FB">
      <w:pPr>
        <w:pStyle w:val="Heading3"/>
        <w:rPr>
          <w:rFonts w:cstheme="majorHAnsi"/>
        </w:rPr>
      </w:pPr>
      <w:r w:rsidRPr="00AC62FB">
        <w:rPr>
          <w:rFonts w:cstheme="majorHAnsi"/>
        </w:rPr>
        <w:t>Knowledge</w:t>
      </w:r>
    </w:p>
    <w:p w14:paraId="58C15327" w14:textId="77777777" w:rsidR="007C50E8" w:rsidRPr="00AC62FB" w:rsidRDefault="00AC62FB">
      <w:pPr>
        <w:rPr>
          <w:rFonts w:asciiTheme="majorHAnsi" w:hAnsiTheme="majorHAnsi" w:cstheme="majorHAnsi"/>
        </w:rPr>
      </w:pPr>
      <w:proofErr w:type="gramStart"/>
      <w:r w:rsidRPr="00AC62FB">
        <w:rPr>
          <w:rFonts w:asciiTheme="majorHAnsi" w:hAnsiTheme="majorHAnsi" w:cstheme="majorHAnsi"/>
        </w:rPr>
        <w:t>Understanding of</w:t>
      </w:r>
      <w:proofErr w:type="gramEnd"/>
      <w:r w:rsidRPr="00AC62FB">
        <w:rPr>
          <w:rFonts w:asciiTheme="majorHAnsi" w:hAnsiTheme="majorHAnsi" w:cstheme="majorHAnsi"/>
        </w:rPr>
        <w:t xml:space="preserve"> academic development, teaching quality, and professional standards in higher education.</w:t>
      </w:r>
    </w:p>
    <w:p w14:paraId="0B9FD963" w14:textId="77777777" w:rsidR="007C50E8" w:rsidRPr="00AC62FB" w:rsidRDefault="00AC62FB">
      <w:pPr>
        <w:pStyle w:val="Heading3"/>
        <w:rPr>
          <w:rFonts w:cstheme="majorHAnsi"/>
        </w:rPr>
      </w:pPr>
      <w:r w:rsidRPr="00AC62FB">
        <w:rPr>
          <w:rFonts w:cstheme="majorHAnsi"/>
        </w:rPr>
        <w:t>Experience</w:t>
      </w:r>
    </w:p>
    <w:p w14:paraId="0E6352C1" w14:textId="77777777" w:rsidR="007C50E8" w:rsidRPr="00AC62FB" w:rsidRDefault="00AC62FB">
      <w:pPr>
        <w:rPr>
          <w:rFonts w:asciiTheme="majorHAnsi" w:hAnsiTheme="majorHAnsi" w:cstheme="majorHAnsi"/>
        </w:rPr>
      </w:pPr>
      <w:r w:rsidRPr="00AC62FB">
        <w:rPr>
          <w:rFonts w:asciiTheme="majorHAnsi" w:hAnsiTheme="majorHAnsi" w:cstheme="majorHAnsi"/>
        </w:rPr>
        <w:t>Academic leadership experience in teaching, academic development or educational enhancement, including assessment and quality assurance activity.</w:t>
      </w:r>
    </w:p>
    <w:p w14:paraId="136A7AE7" w14:textId="77777777" w:rsidR="007C50E8" w:rsidRPr="00AC62FB" w:rsidRDefault="00AC62FB">
      <w:pPr>
        <w:pStyle w:val="Heading3"/>
        <w:rPr>
          <w:rFonts w:cstheme="majorHAnsi"/>
        </w:rPr>
      </w:pPr>
      <w:r w:rsidRPr="00AC62FB">
        <w:rPr>
          <w:rFonts w:cstheme="majorHAnsi"/>
        </w:rPr>
        <w:t>Skills</w:t>
      </w:r>
    </w:p>
    <w:p w14:paraId="76F999A6" w14:textId="77777777" w:rsidR="007C50E8" w:rsidRPr="00AC62FB" w:rsidRDefault="00AC62FB">
      <w:pPr>
        <w:rPr>
          <w:rFonts w:asciiTheme="majorHAnsi" w:hAnsiTheme="majorHAnsi" w:cstheme="majorHAnsi"/>
        </w:rPr>
      </w:pPr>
      <w:r w:rsidRPr="00AC62FB">
        <w:rPr>
          <w:rFonts w:asciiTheme="majorHAnsi" w:hAnsiTheme="majorHAnsi" w:cstheme="majorHAnsi"/>
        </w:rPr>
        <w:t>Ability to lead and influence across Schools and professional services, communicate clearly about academic requirements, and manage complex stakeholder relationships.</w:t>
      </w:r>
    </w:p>
    <w:p w14:paraId="60887C2D" w14:textId="77777777" w:rsidR="007C50E8" w:rsidRPr="00AC62FB" w:rsidRDefault="00AC62FB">
      <w:pPr>
        <w:pStyle w:val="Heading3"/>
        <w:rPr>
          <w:rFonts w:cstheme="majorHAnsi"/>
        </w:rPr>
      </w:pPr>
      <w:r w:rsidRPr="00AC62FB">
        <w:rPr>
          <w:rFonts w:cstheme="majorHAnsi"/>
        </w:rPr>
        <w:t>Education</w:t>
      </w:r>
    </w:p>
    <w:p w14:paraId="6F10A263" w14:textId="42C94448" w:rsidR="007C50E8" w:rsidRPr="00AC62FB" w:rsidRDefault="00AC62FB">
      <w:pPr>
        <w:rPr>
          <w:rFonts w:asciiTheme="majorHAnsi" w:hAnsiTheme="majorHAnsi" w:cstheme="majorHAnsi"/>
        </w:rPr>
      </w:pPr>
      <w:r w:rsidRPr="00AC62FB">
        <w:rPr>
          <w:rFonts w:asciiTheme="majorHAnsi" w:hAnsiTheme="majorHAnsi" w:cstheme="majorHAnsi"/>
        </w:rPr>
        <w:t>Senior academic colleague</w:t>
      </w:r>
      <w:r w:rsidRPr="00AC62FB">
        <w:rPr>
          <w:rFonts w:ascii="Calibri" w:hAnsi="Calibri" w:cs="Calibri"/>
          <w:color w:val="000000"/>
          <w:shd w:val="clear" w:color="auto" w:fill="FFFFFF"/>
        </w:rPr>
        <w:t xml:space="preserve"> </w:t>
      </w:r>
      <w:r w:rsidRPr="00AC62FB">
        <w:rPr>
          <w:rFonts w:asciiTheme="majorHAnsi" w:hAnsiTheme="majorHAnsi" w:cstheme="majorHAnsi"/>
        </w:rPr>
        <w:t>(Senior Lecturer or above).</w:t>
      </w:r>
    </w:p>
    <w:p w14:paraId="6C329A36" w14:textId="77777777" w:rsidR="007C50E8" w:rsidRPr="00AC62FB" w:rsidRDefault="00AC62FB">
      <w:pPr>
        <w:pStyle w:val="Heading2"/>
        <w:rPr>
          <w:rFonts w:cstheme="majorHAnsi"/>
          <w:sz w:val="22"/>
          <w:szCs w:val="22"/>
        </w:rPr>
      </w:pPr>
      <w:r w:rsidRPr="00AC62FB">
        <w:rPr>
          <w:rFonts w:cstheme="majorHAnsi"/>
          <w:sz w:val="22"/>
          <w:szCs w:val="22"/>
        </w:rPr>
        <w:t xml:space="preserve">Key </w:t>
      </w:r>
      <w:proofErr w:type="spellStart"/>
      <w:r w:rsidRPr="00AC62FB">
        <w:rPr>
          <w:rFonts w:cstheme="majorHAnsi"/>
          <w:sz w:val="22"/>
          <w:szCs w:val="22"/>
        </w:rPr>
        <w:t>Behaviours</w:t>
      </w:r>
      <w:proofErr w:type="spellEnd"/>
    </w:p>
    <w:p w14:paraId="6C52F955" w14:textId="77777777" w:rsidR="007C50E8" w:rsidRPr="00AC62FB" w:rsidRDefault="00AC62FB">
      <w:pPr>
        <w:pStyle w:val="ListBullet"/>
        <w:rPr>
          <w:rFonts w:asciiTheme="majorHAnsi" w:hAnsiTheme="majorHAnsi" w:cstheme="majorHAnsi"/>
        </w:rPr>
      </w:pPr>
      <w:r w:rsidRPr="00AC62FB">
        <w:rPr>
          <w:rFonts w:asciiTheme="majorHAnsi" w:hAnsiTheme="majorHAnsi" w:cstheme="majorHAnsi"/>
          <w:b/>
          <w:bCs/>
        </w:rPr>
        <w:t>One University</w:t>
      </w:r>
      <w:r w:rsidRPr="00AC62FB">
        <w:rPr>
          <w:rFonts w:asciiTheme="majorHAnsi" w:hAnsiTheme="majorHAnsi" w:cstheme="majorHAnsi"/>
        </w:rPr>
        <w:t>: A ‘One University’ approach, whereby we break down silos and work collaboratively towards furthering the University’s strategic goals, vision and values.</w:t>
      </w:r>
    </w:p>
    <w:p w14:paraId="46342B7D" w14:textId="77777777" w:rsidR="007C50E8" w:rsidRPr="00AC62FB" w:rsidRDefault="00AC62FB">
      <w:pPr>
        <w:pStyle w:val="ListBullet"/>
        <w:rPr>
          <w:rFonts w:asciiTheme="majorHAnsi" w:hAnsiTheme="majorHAnsi" w:cstheme="majorHAnsi"/>
        </w:rPr>
      </w:pPr>
      <w:r w:rsidRPr="00AC62FB">
        <w:rPr>
          <w:rFonts w:asciiTheme="majorHAnsi" w:hAnsiTheme="majorHAnsi" w:cstheme="majorHAnsi"/>
          <w:b/>
          <w:bCs/>
        </w:rPr>
        <w:t>Freedom of Speech and Academic Freedom</w:t>
      </w:r>
      <w:r w:rsidRPr="00AC62FB">
        <w:rPr>
          <w:rFonts w:asciiTheme="majorHAnsi" w:hAnsiTheme="majorHAnsi" w:cstheme="majorHAnsi"/>
        </w:rPr>
        <w:t>: Support the University’s commitment to securing and actively promoting the importance of free speech and academic freedom within our community.</w:t>
      </w:r>
    </w:p>
    <w:p w14:paraId="5A752CC1" w14:textId="77777777" w:rsidR="007C50E8" w:rsidRPr="00AC62FB" w:rsidRDefault="00AC62FB">
      <w:pPr>
        <w:pStyle w:val="ListBullet"/>
        <w:rPr>
          <w:rFonts w:asciiTheme="majorHAnsi" w:hAnsiTheme="majorHAnsi" w:cstheme="majorHAnsi"/>
        </w:rPr>
      </w:pPr>
      <w:r w:rsidRPr="00AC62FB">
        <w:rPr>
          <w:rFonts w:asciiTheme="majorHAnsi" w:hAnsiTheme="majorHAnsi" w:cstheme="majorHAnsi"/>
          <w:b/>
          <w:bCs/>
        </w:rPr>
        <w:t>Service Excellence</w:t>
      </w:r>
      <w:r w:rsidRPr="00AC62FB">
        <w:rPr>
          <w:rFonts w:asciiTheme="majorHAnsi" w:hAnsiTheme="majorHAnsi" w:cstheme="majorHAnsi"/>
        </w:rPr>
        <w:t>: Committed to prioritising service excellence and high performance to deliver great people-centred experiences.</w:t>
      </w:r>
    </w:p>
    <w:p w14:paraId="5C42D9DA" w14:textId="77777777" w:rsidR="007C50E8" w:rsidRPr="00AC62FB" w:rsidRDefault="00AC62FB">
      <w:pPr>
        <w:pStyle w:val="ListBullet"/>
        <w:rPr>
          <w:rFonts w:asciiTheme="majorHAnsi" w:hAnsiTheme="majorHAnsi" w:cstheme="majorHAnsi"/>
        </w:rPr>
      </w:pPr>
      <w:r w:rsidRPr="00AC62FB">
        <w:rPr>
          <w:rFonts w:asciiTheme="majorHAnsi" w:hAnsiTheme="majorHAnsi" w:cstheme="majorHAnsi"/>
          <w:b/>
          <w:bCs/>
        </w:rPr>
        <w:t>Agility</w:t>
      </w:r>
      <w:r w:rsidRPr="00AC62FB">
        <w:rPr>
          <w:rFonts w:asciiTheme="majorHAnsi" w:hAnsiTheme="majorHAnsi" w:cstheme="majorHAnsi"/>
        </w:rPr>
        <w:t>: Demonstrate a commitment to agility and continuous improvement by embracing change, championing innovation, and being flexible and forward thinking to adapt.</w:t>
      </w:r>
    </w:p>
    <w:p w14:paraId="0BAC7610" w14:textId="77777777" w:rsidR="007C50E8" w:rsidRPr="00AC62FB" w:rsidRDefault="00AC62FB">
      <w:pPr>
        <w:pStyle w:val="ListBullet"/>
        <w:rPr>
          <w:rFonts w:asciiTheme="majorHAnsi" w:hAnsiTheme="majorHAnsi" w:cstheme="majorHAnsi"/>
        </w:rPr>
      </w:pPr>
      <w:r w:rsidRPr="00AC62FB">
        <w:rPr>
          <w:rFonts w:asciiTheme="majorHAnsi" w:hAnsiTheme="majorHAnsi" w:cstheme="majorHAnsi"/>
          <w:b/>
          <w:bCs/>
        </w:rPr>
        <w:t>Sustainability</w:t>
      </w:r>
      <w:r w:rsidRPr="00AC62FB">
        <w:rPr>
          <w:rFonts w:asciiTheme="majorHAnsi" w:hAnsiTheme="majorHAnsi" w:cstheme="majorHAnsi"/>
        </w:rPr>
        <w:t>: A sustainable approach that safeguards the University of the future by championing environmental practices, advancing digital capability, and supporting financial stability and philanthropic initiatives.</w:t>
      </w:r>
    </w:p>
    <w:p w14:paraId="7239EC92" w14:textId="77777777" w:rsidR="007C50E8" w:rsidRPr="00AC62FB" w:rsidRDefault="00AC62FB">
      <w:pPr>
        <w:pStyle w:val="ListBullet"/>
        <w:rPr>
          <w:rFonts w:asciiTheme="majorHAnsi" w:hAnsiTheme="majorHAnsi" w:cstheme="majorHAnsi"/>
        </w:rPr>
      </w:pPr>
      <w:r w:rsidRPr="00AC62FB">
        <w:rPr>
          <w:rFonts w:asciiTheme="majorHAnsi" w:hAnsiTheme="majorHAnsi" w:cstheme="majorHAnsi"/>
          <w:b/>
          <w:bCs/>
        </w:rPr>
        <w:t>Inclusion</w:t>
      </w:r>
      <w:r w:rsidRPr="00AC62FB">
        <w:rPr>
          <w:rFonts w:asciiTheme="majorHAnsi" w:hAnsiTheme="majorHAnsi" w:cstheme="majorHAnsi"/>
        </w:rPr>
        <w:t xml:space="preserve">: Support the University’s ambition to create an inclusive place to work where every person matters, demonstrating a commitment to non-discriminatory conduct and respect for others, and fostering a </w:t>
      </w:r>
      <w:proofErr w:type="gramStart"/>
      <w:r w:rsidRPr="00AC62FB">
        <w:rPr>
          <w:rFonts w:asciiTheme="majorHAnsi" w:hAnsiTheme="majorHAnsi" w:cstheme="majorHAnsi"/>
        </w:rPr>
        <w:t>University</w:t>
      </w:r>
      <w:proofErr w:type="gramEnd"/>
      <w:r w:rsidRPr="00AC62FB">
        <w:rPr>
          <w:rFonts w:asciiTheme="majorHAnsi" w:hAnsiTheme="majorHAnsi" w:cstheme="majorHAnsi"/>
        </w:rPr>
        <w:t xml:space="preserve"> where people feel deeply connected to each other, to Manchester, and to the wider world.</w:t>
      </w:r>
    </w:p>
    <w:p w14:paraId="3335960D" w14:textId="77777777" w:rsidR="007C50E8" w:rsidRDefault="00AC62FB">
      <w:pPr>
        <w:pStyle w:val="ListBullet"/>
        <w:rPr>
          <w:rFonts w:asciiTheme="majorHAnsi" w:hAnsiTheme="majorHAnsi" w:cstheme="majorHAnsi"/>
        </w:rPr>
      </w:pPr>
      <w:r w:rsidRPr="00AC62FB">
        <w:rPr>
          <w:rFonts w:asciiTheme="majorHAnsi" w:hAnsiTheme="majorHAnsi" w:cstheme="majorHAnsi"/>
          <w:b/>
          <w:bCs/>
        </w:rPr>
        <w:t>Social Responsibility</w:t>
      </w:r>
      <w:r w:rsidRPr="00AC62FB">
        <w:rPr>
          <w:rFonts w:asciiTheme="majorHAnsi" w:hAnsiTheme="majorHAnsi" w:cstheme="majorHAnsi"/>
        </w:rPr>
        <w:t>: Promote and champion the University’s social responsibility ambitions to advance social inclusion, prosperous communities, better health, and cultural engagement.</w:t>
      </w:r>
    </w:p>
    <w:p w14:paraId="32564894" w14:textId="77777777" w:rsidR="00262772" w:rsidRPr="00F35B68" w:rsidRDefault="00262772" w:rsidP="00262772">
      <w:pPr>
        <w:pStyle w:val="ListBullet"/>
        <w:rPr>
          <w:rFonts w:asciiTheme="majorHAnsi" w:hAnsiTheme="majorHAnsi" w:cstheme="majorHAnsi"/>
          <w:lang w:val="en-GB"/>
        </w:rPr>
      </w:pPr>
      <w:r w:rsidRPr="00F35B68">
        <w:rPr>
          <w:rFonts w:asciiTheme="majorHAnsi" w:hAnsiTheme="majorHAnsi" w:cstheme="majorHAnsi"/>
          <w:b/>
          <w:lang w:val="en-GB"/>
        </w:rPr>
        <w:t>People Leadership: </w:t>
      </w:r>
      <w:r w:rsidRPr="00F35B68">
        <w:rPr>
          <w:rFonts w:asciiTheme="majorHAnsi" w:hAnsiTheme="majorHAnsi" w:cstheme="majorHAnsi"/>
          <w:lang w:val="en-GB"/>
        </w:rPr>
        <w:t>Demonstrates effective leadership by empowering, motivating, and developing teams to achieve high performance. Builds a collaborative and inclusive work environment and provides clear direction, support, and feedback. </w:t>
      </w:r>
    </w:p>
    <w:p w14:paraId="0EC3ECC2" w14:textId="77777777" w:rsidR="007F0214" w:rsidRPr="00AC62FB" w:rsidRDefault="007F0214" w:rsidP="00262772">
      <w:pPr>
        <w:pStyle w:val="ListBullet"/>
        <w:numPr>
          <w:ilvl w:val="0"/>
          <w:numId w:val="0"/>
        </w:numPr>
        <w:ind w:left="360"/>
        <w:rPr>
          <w:rFonts w:asciiTheme="majorHAnsi" w:hAnsiTheme="majorHAnsi" w:cstheme="majorHAnsi"/>
        </w:rPr>
      </w:pPr>
    </w:p>
    <w:sectPr w:rsidR="007F0214" w:rsidRPr="00AC62FB"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72B4A" w14:textId="77777777" w:rsidR="00680F41" w:rsidRDefault="00680F41" w:rsidP="00AC62FB">
      <w:pPr>
        <w:spacing w:after="0" w:line="240" w:lineRule="auto"/>
      </w:pPr>
      <w:r>
        <w:separator/>
      </w:r>
    </w:p>
  </w:endnote>
  <w:endnote w:type="continuationSeparator" w:id="0">
    <w:p w14:paraId="195FD1CC" w14:textId="77777777" w:rsidR="00680F41" w:rsidRDefault="00680F41" w:rsidP="00AC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C31A8" w14:textId="77777777" w:rsidR="00680F41" w:rsidRDefault="00680F41" w:rsidP="00AC62FB">
      <w:pPr>
        <w:spacing w:after="0" w:line="240" w:lineRule="auto"/>
      </w:pPr>
      <w:r>
        <w:separator/>
      </w:r>
    </w:p>
  </w:footnote>
  <w:footnote w:type="continuationSeparator" w:id="0">
    <w:p w14:paraId="09FA981B" w14:textId="77777777" w:rsidR="00680F41" w:rsidRDefault="00680F41" w:rsidP="00AC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CC701" w14:textId="63AC8D25" w:rsidR="00AC62FB" w:rsidRDefault="00AC62FB">
    <w:pPr>
      <w:pStyle w:val="Header"/>
    </w:pPr>
    <w:r>
      <w:rPr>
        <w:noProof/>
      </w:rPr>
      <w:drawing>
        <wp:inline distT="0" distB="0" distL="0" distR="0" wp14:anchorId="30985080" wp14:editId="5D9F8233">
          <wp:extent cx="3733800" cy="571500"/>
          <wp:effectExtent l="0" t="0" r="0" b="0"/>
          <wp:docPr id="1953926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3800" cy="571500"/>
                  </a:xfrm>
                  <a:prstGeom prst="rect">
                    <a:avLst/>
                  </a:prstGeom>
                  <a:noFill/>
                  <a:ln>
                    <a:noFill/>
                  </a:ln>
                </pic:spPr>
              </pic:pic>
            </a:graphicData>
          </a:graphic>
        </wp:inline>
      </w:drawing>
    </w:r>
  </w:p>
  <w:p w14:paraId="63CAF4CF" w14:textId="77777777" w:rsidR="00AC62FB" w:rsidRDefault="00AC62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27111585">
    <w:abstractNumId w:val="8"/>
  </w:num>
  <w:num w:numId="2" w16cid:durableId="762922007">
    <w:abstractNumId w:val="6"/>
  </w:num>
  <w:num w:numId="3" w16cid:durableId="1573931883">
    <w:abstractNumId w:val="5"/>
  </w:num>
  <w:num w:numId="4" w16cid:durableId="1841045712">
    <w:abstractNumId w:val="4"/>
  </w:num>
  <w:num w:numId="5" w16cid:durableId="1180385910">
    <w:abstractNumId w:val="7"/>
  </w:num>
  <w:num w:numId="6" w16cid:durableId="110131580">
    <w:abstractNumId w:val="3"/>
  </w:num>
  <w:num w:numId="7" w16cid:durableId="1280187193">
    <w:abstractNumId w:val="2"/>
  </w:num>
  <w:num w:numId="8" w16cid:durableId="1708868593">
    <w:abstractNumId w:val="1"/>
  </w:num>
  <w:num w:numId="9" w16cid:durableId="854001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3677"/>
    <w:rsid w:val="00034616"/>
    <w:rsid w:val="0006063C"/>
    <w:rsid w:val="000E5BB0"/>
    <w:rsid w:val="00126E21"/>
    <w:rsid w:val="0015074B"/>
    <w:rsid w:val="00262772"/>
    <w:rsid w:val="0029639D"/>
    <w:rsid w:val="00326F90"/>
    <w:rsid w:val="005E112B"/>
    <w:rsid w:val="00680F41"/>
    <w:rsid w:val="006A4122"/>
    <w:rsid w:val="007C50E8"/>
    <w:rsid w:val="007D12D8"/>
    <w:rsid w:val="007F0214"/>
    <w:rsid w:val="008D6700"/>
    <w:rsid w:val="00AA1D8D"/>
    <w:rsid w:val="00AC62FB"/>
    <w:rsid w:val="00AF2A23"/>
    <w:rsid w:val="00B03160"/>
    <w:rsid w:val="00B47730"/>
    <w:rsid w:val="00C0471B"/>
    <w:rsid w:val="00C415D0"/>
    <w:rsid w:val="00C669BE"/>
    <w:rsid w:val="00CB0664"/>
    <w:rsid w:val="00E82787"/>
    <w:rsid w:val="00F63F8D"/>
    <w:rsid w:val="00F71EF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192D19"/>
  <w14:defaultImageDpi w14:val="300"/>
  <w15:docId w15:val="{BE6A5D43-6020-4DBA-B3DF-BC3FC767B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Tom Benson</cp:lastModifiedBy>
  <cp:revision>2</cp:revision>
  <dcterms:created xsi:type="dcterms:W3CDTF">2026-05-01T14:45:00Z</dcterms:created>
  <dcterms:modified xsi:type="dcterms:W3CDTF">2026-05-01T14:45:00Z</dcterms:modified>
  <cp:category/>
</cp:coreProperties>
</file>