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4B4" w14:textId="77777777" w:rsidR="00474618" w:rsidRPr="00474618" w:rsidRDefault="00474618" w:rsidP="00474618">
      <w:pPr>
        <w:rPr>
          <w:b/>
          <w:bCs/>
        </w:rPr>
      </w:pPr>
      <w:r w:rsidRPr="00474618">
        <w:rPr>
          <w:b/>
          <w:bCs/>
        </w:rPr>
        <w:t>Presentation of Theses Policy (PGR)</w:t>
      </w:r>
    </w:p>
    <w:p w14:paraId="5E8ADBC2" w14:textId="77777777" w:rsidR="00474618" w:rsidRPr="00474618" w:rsidRDefault="00474618" w:rsidP="00474618">
      <w:pPr>
        <w:rPr>
          <w:b/>
          <w:bCs/>
        </w:rPr>
      </w:pPr>
      <w:r w:rsidRPr="00474618">
        <w:rPr>
          <w:b/>
          <w:bCs/>
        </w:rPr>
        <w:t>Summary of Changes – March</w:t>
      </w:r>
      <w:r w:rsidRPr="00474618">
        <w:rPr>
          <w:rFonts w:ascii="Arial" w:hAnsi="Arial" w:cs="Arial"/>
          <w:b/>
          <w:bCs/>
        </w:rPr>
        <w:t> </w:t>
      </w:r>
      <w:r w:rsidRPr="00474618">
        <w:rPr>
          <w:b/>
          <w:bCs/>
        </w:rPr>
        <w:t>2026 Update</w:t>
      </w:r>
    </w:p>
    <w:p w14:paraId="657ED087" w14:textId="77777777" w:rsidR="00474618" w:rsidRDefault="00474618" w:rsidP="00474618">
      <w:r w:rsidRPr="00474618">
        <w:t xml:space="preserve">The </w:t>
      </w:r>
      <w:r w:rsidRPr="00474618">
        <w:rPr>
          <w:i/>
          <w:iCs/>
        </w:rPr>
        <w:t>Presentation of Theses Policy (PGR)</w:t>
      </w:r>
      <w:r w:rsidRPr="00474618">
        <w:t xml:space="preserve"> has been updated in March</w:t>
      </w:r>
      <w:r w:rsidRPr="00474618">
        <w:rPr>
          <w:rFonts w:ascii="Arial" w:hAnsi="Arial" w:cs="Arial"/>
        </w:rPr>
        <w:t> </w:t>
      </w:r>
      <w:r w:rsidRPr="00474618">
        <w:t>2026</w:t>
      </w:r>
      <w:r>
        <w:t xml:space="preserve"> (following approval at MDCSG and AQSRC)</w:t>
      </w:r>
      <w:r w:rsidRPr="00474618">
        <w:t xml:space="preserve">. </w:t>
      </w:r>
    </w:p>
    <w:p w14:paraId="101D90AC" w14:textId="4D12B36B" w:rsidR="00474618" w:rsidRPr="00474618" w:rsidRDefault="00474618" w:rsidP="00474618">
      <w:r w:rsidRPr="00474618">
        <w:t xml:space="preserve">The changes are limited in scope and relate primarily to the integration of the </w:t>
      </w:r>
      <w:r w:rsidRPr="00474618">
        <w:rPr>
          <w:b/>
          <w:bCs/>
        </w:rPr>
        <w:t>PhD by Enterprise</w:t>
      </w:r>
      <w:r w:rsidRPr="00474618">
        <w:t xml:space="preserve"> route into the standard thesis presentation requirements.</w:t>
      </w:r>
    </w:p>
    <w:p w14:paraId="5943DF3D" w14:textId="77777777" w:rsidR="00474618" w:rsidRPr="00474618" w:rsidRDefault="00474618" w:rsidP="00474618">
      <w:pPr>
        <w:rPr>
          <w:b/>
          <w:bCs/>
        </w:rPr>
      </w:pPr>
      <w:r w:rsidRPr="00474618">
        <w:rPr>
          <w:b/>
          <w:bCs/>
        </w:rPr>
        <w:t>Key Changes</w:t>
      </w:r>
    </w:p>
    <w:p w14:paraId="1BD80F50" w14:textId="77777777" w:rsidR="00474618" w:rsidRPr="00474618" w:rsidRDefault="00474618" w:rsidP="00474618">
      <w:pPr>
        <w:rPr>
          <w:b/>
          <w:bCs/>
        </w:rPr>
      </w:pPr>
      <w:r w:rsidRPr="00474618">
        <w:rPr>
          <w:b/>
          <w:bCs/>
        </w:rPr>
        <w:t>1. Inclusion of PhD by Enterprise in Word Count Regulations</w:t>
      </w:r>
    </w:p>
    <w:p w14:paraId="4AD035F8" w14:textId="77777777" w:rsidR="00474618" w:rsidRPr="00474618" w:rsidRDefault="00474618" w:rsidP="00474618">
      <w:pPr>
        <w:numPr>
          <w:ilvl w:val="0"/>
          <w:numId w:val="1"/>
        </w:numPr>
      </w:pPr>
      <w:r w:rsidRPr="00474618">
        <w:t>Section</w:t>
      </w:r>
      <w:r w:rsidRPr="00474618">
        <w:rPr>
          <w:rFonts w:ascii="Arial" w:hAnsi="Arial" w:cs="Arial"/>
        </w:rPr>
        <w:t> </w:t>
      </w:r>
      <w:r w:rsidRPr="00474618">
        <w:t xml:space="preserve">4.6 has been updated to explicitly include </w:t>
      </w:r>
      <w:r w:rsidRPr="00474618">
        <w:rPr>
          <w:b/>
          <w:bCs/>
        </w:rPr>
        <w:t>PhD by Enterprise</w:t>
      </w:r>
      <w:r w:rsidRPr="00474618">
        <w:t xml:space="preserve"> alongside PhD, </w:t>
      </w:r>
      <w:proofErr w:type="spellStart"/>
      <w:r w:rsidRPr="00474618">
        <w:t>EngD</w:t>
      </w:r>
      <w:proofErr w:type="spellEnd"/>
      <w:r w:rsidRPr="00474618">
        <w:t xml:space="preserve"> and MD degrees within the standard </w:t>
      </w:r>
      <w:r w:rsidRPr="00474618">
        <w:rPr>
          <w:b/>
          <w:bCs/>
        </w:rPr>
        <w:t>80,000</w:t>
      </w:r>
      <w:r w:rsidRPr="00474618">
        <w:rPr>
          <w:b/>
          <w:bCs/>
        </w:rPr>
        <w:noBreakHyphen/>
        <w:t>word maximum</w:t>
      </w:r>
      <w:r w:rsidRPr="00474618">
        <w:t xml:space="preserve"> for main text (including footnotes and endnotes).</w:t>
      </w:r>
    </w:p>
    <w:p w14:paraId="30B356FE" w14:textId="77777777" w:rsidR="00474618" w:rsidRPr="00474618" w:rsidRDefault="00474618" w:rsidP="00474618">
      <w:pPr>
        <w:rPr>
          <w:b/>
          <w:bCs/>
        </w:rPr>
      </w:pPr>
      <w:r w:rsidRPr="00474618">
        <w:rPr>
          <w:b/>
          <w:bCs/>
        </w:rPr>
        <w:t>2. New Requirement for PhD by Enterprise Candidates</w:t>
      </w:r>
    </w:p>
    <w:p w14:paraId="6B1D1754" w14:textId="77777777" w:rsidR="00474618" w:rsidRPr="00474618" w:rsidRDefault="00474618" w:rsidP="00474618">
      <w:pPr>
        <w:numPr>
          <w:ilvl w:val="0"/>
          <w:numId w:val="2"/>
        </w:numPr>
      </w:pPr>
      <w:r w:rsidRPr="00474618">
        <w:t>A new subsection (</w:t>
      </w:r>
      <w:r w:rsidRPr="00474618">
        <w:rPr>
          <w:b/>
          <w:bCs/>
        </w:rPr>
        <w:t>4.7</w:t>
      </w:r>
      <w:r w:rsidRPr="00474618">
        <w:t xml:space="preserve">) introduces an additional requirement for PhD by Enterprise submissions: </w:t>
      </w:r>
    </w:p>
    <w:p w14:paraId="5614CF2D" w14:textId="77777777" w:rsidR="00474618" w:rsidRPr="00474618" w:rsidRDefault="00474618" w:rsidP="00474618">
      <w:pPr>
        <w:numPr>
          <w:ilvl w:val="1"/>
          <w:numId w:val="2"/>
        </w:numPr>
      </w:pPr>
      <w:r w:rsidRPr="00474618">
        <w:t xml:space="preserve">The thesis must include a </w:t>
      </w:r>
      <w:r w:rsidRPr="00474618">
        <w:rPr>
          <w:b/>
          <w:bCs/>
        </w:rPr>
        <w:t>business plan</w:t>
      </w:r>
      <w:r w:rsidRPr="00474618">
        <w:t>, typically positioned as the final chapter.</w:t>
      </w:r>
    </w:p>
    <w:p w14:paraId="775CCD48" w14:textId="77777777" w:rsidR="00474618" w:rsidRPr="00474618" w:rsidRDefault="00474618" w:rsidP="00474618">
      <w:pPr>
        <w:numPr>
          <w:ilvl w:val="1"/>
          <w:numId w:val="2"/>
        </w:numPr>
      </w:pPr>
      <w:r w:rsidRPr="00474618">
        <w:t>The business plan must outline the commercial, social, or practical application of the research and demonstrate a credible path to impact.</w:t>
      </w:r>
    </w:p>
    <w:p w14:paraId="3E3C3E7D" w14:textId="77777777" w:rsidR="00474618" w:rsidRPr="00474618" w:rsidRDefault="00474618" w:rsidP="00474618">
      <w:pPr>
        <w:numPr>
          <w:ilvl w:val="1"/>
          <w:numId w:val="2"/>
        </w:numPr>
      </w:pPr>
      <w:r w:rsidRPr="00474618">
        <w:t xml:space="preserve">This chapter is </w:t>
      </w:r>
      <w:r w:rsidRPr="00474618">
        <w:rPr>
          <w:b/>
          <w:bCs/>
        </w:rPr>
        <w:t>included within the 80,000</w:t>
      </w:r>
      <w:r w:rsidRPr="00474618">
        <w:rPr>
          <w:b/>
          <w:bCs/>
        </w:rPr>
        <w:noBreakHyphen/>
        <w:t>word limit</w:t>
      </w:r>
      <w:r w:rsidRPr="00474618">
        <w:t>.</w:t>
      </w:r>
    </w:p>
    <w:p w14:paraId="28361AA7" w14:textId="77777777" w:rsidR="00474618" w:rsidRPr="00474618" w:rsidRDefault="00474618" w:rsidP="00474618">
      <w:pPr>
        <w:numPr>
          <w:ilvl w:val="1"/>
          <w:numId w:val="2"/>
        </w:numPr>
      </w:pPr>
      <w:r w:rsidRPr="00474618">
        <w:t>Candidates are directed to consult their programme handbook for specific structural expectations.</w:t>
      </w:r>
    </w:p>
    <w:p w14:paraId="3EA938F5" w14:textId="77777777" w:rsidR="00474618" w:rsidRPr="00474618" w:rsidRDefault="00474618" w:rsidP="00474618">
      <w:pPr>
        <w:rPr>
          <w:b/>
          <w:bCs/>
        </w:rPr>
      </w:pPr>
      <w:r w:rsidRPr="00474618">
        <w:rPr>
          <w:b/>
          <w:bCs/>
        </w:rPr>
        <w:t>3. No Other Substantive Policy Changes</w:t>
      </w:r>
    </w:p>
    <w:p w14:paraId="7CFAE2FF" w14:textId="77777777" w:rsidR="00474618" w:rsidRPr="00474618" w:rsidRDefault="00474618" w:rsidP="00474618">
      <w:pPr>
        <w:numPr>
          <w:ilvl w:val="0"/>
          <w:numId w:val="3"/>
        </w:numPr>
      </w:pPr>
      <w:r w:rsidRPr="00474618">
        <w:t>Apart from the PhD by Enterprise integration described above, the March</w:t>
      </w:r>
      <w:r w:rsidRPr="00474618">
        <w:rPr>
          <w:rFonts w:ascii="Arial" w:hAnsi="Arial" w:cs="Arial"/>
        </w:rPr>
        <w:t> </w:t>
      </w:r>
      <w:r w:rsidRPr="00474618">
        <w:t xml:space="preserve">2026 version does </w:t>
      </w:r>
      <w:r w:rsidRPr="00474618">
        <w:rPr>
          <w:b/>
          <w:bCs/>
        </w:rPr>
        <w:t>not</w:t>
      </w:r>
      <w:r w:rsidRPr="00474618">
        <w:t xml:space="preserve"> introduce changes to: </w:t>
      </w:r>
    </w:p>
    <w:p w14:paraId="3FE3423A" w14:textId="77777777" w:rsidR="00474618" w:rsidRPr="00474618" w:rsidRDefault="00474618" w:rsidP="00474618">
      <w:pPr>
        <w:numPr>
          <w:ilvl w:val="1"/>
          <w:numId w:val="3"/>
        </w:numPr>
      </w:pPr>
      <w:r w:rsidRPr="00474618">
        <w:t>Formatting requirements</w:t>
      </w:r>
    </w:p>
    <w:p w14:paraId="0C709300" w14:textId="77777777" w:rsidR="00474618" w:rsidRPr="00474618" w:rsidRDefault="00474618" w:rsidP="00474618">
      <w:pPr>
        <w:numPr>
          <w:ilvl w:val="1"/>
          <w:numId w:val="3"/>
        </w:numPr>
      </w:pPr>
      <w:r w:rsidRPr="00474618">
        <w:t>Required and optional preliminary pages</w:t>
      </w:r>
    </w:p>
    <w:p w14:paraId="55C41801" w14:textId="77777777" w:rsidR="00474618" w:rsidRPr="00474618" w:rsidRDefault="00474618" w:rsidP="00474618">
      <w:pPr>
        <w:numPr>
          <w:ilvl w:val="1"/>
          <w:numId w:val="3"/>
        </w:numPr>
      </w:pPr>
      <w:r w:rsidRPr="00474618">
        <w:t>COVID</w:t>
      </w:r>
      <w:r w:rsidRPr="00474618">
        <w:noBreakHyphen/>
        <w:t>19 impact statement guidance</w:t>
      </w:r>
    </w:p>
    <w:p w14:paraId="5ED9B042" w14:textId="77777777" w:rsidR="00474618" w:rsidRPr="00474618" w:rsidRDefault="00474618" w:rsidP="00474618">
      <w:pPr>
        <w:numPr>
          <w:ilvl w:val="1"/>
          <w:numId w:val="3"/>
        </w:numPr>
      </w:pPr>
      <w:r w:rsidRPr="00474618">
        <w:t>Journal format theses</w:t>
      </w:r>
    </w:p>
    <w:p w14:paraId="604BC245" w14:textId="77777777" w:rsidR="00474618" w:rsidRPr="00474618" w:rsidRDefault="00474618" w:rsidP="00474618">
      <w:pPr>
        <w:numPr>
          <w:ilvl w:val="1"/>
          <w:numId w:val="3"/>
        </w:numPr>
      </w:pPr>
      <w:r w:rsidRPr="00474618">
        <w:t>Practice</w:t>
      </w:r>
      <w:r w:rsidRPr="00474618">
        <w:noBreakHyphen/>
        <w:t>based submissions</w:t>
      </w:r>
    </w:p>
    <w:p w14:paraId="5568B94A" w14:textId="77777777" w:rsidR="00474618" w:rsidRPr="00474618" w:rsidRDefault="00474618" w:rsidP="00474618">
      <w:pPr>
        <w:numPr>
          <w:ilvl w:val="1"/>
          <w:numId w:val="3"/>
        </w:numPr>
      </w:pPr>
      <w:r w:rsidRPr="00474618">
        <w:t>Access settings or embargo guidance</w:t>
      </w:r>
    </w:p>
    <w:p w14:paraId="2D993F20" w14:textId="77777777" w:rsidR="00474618" w:rsidRPr="00474618" w:rsidRDefault="00474618" w:rsidP="00474618">
      <w:pPr>
        <w:numPr>
          <w:ilvl w:val="1"/>
          <w:numId w:val="3"/>
        </w:numPr>
      </w:pPr>
      <w:r w:rsidRPr="00474618">
        <w:t>Compliance, wording or definitions across other sections</w:t>
      </w:r>
    </w:p>
    <w:p w14:paraId="22985415" w14:textId="4637582C" w:rsidR="00DB5C7E" w:rsidRDefault="00474618" w:rsidP="00474618">
      <w:pPr>
        <w:numPr>
          <w:ilvl w:val="0"/>
          <w:numId w:val="3"/>
        </w:numPr>
      </w:pPr>
      <w:r w:rsidRPr="00474618">
        <w:lastRenderedPageBreak/>
        <w:t>All other content remains unchanged from the May</w:t>
      </w:r>
      <w:r w:rsidRPr="00474618">
        <w:rPr>
          <w:rFonts w:ascii="Arial" w:hAnsi="Arial" w:cs="Arial"/>
        </w:rPr>
        <w:t> </w:t>
      </w:r>
      <w:r w:rsidRPr="00474618">
        <w:t>2025 edition.</w:t>
      </w:r>
    </w:p>
    <w:sectPr w:rsidR="00DB5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03C55"/>
    <w:multiLevelType w:val="multilevel"/>
    <w:tmpl w:val="9AEC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82610"/>
    <w:multiLevelType w:val="multilevel"/>
    <w:tmpl w:val="C73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847AD"/>
    <w:multiLevelType w:val="multilevel"/>
    <w:tmpl w:val="D1D4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605603">
    <w:abstractNumId w:val="2"/>
  </w:num>
  <w:num w:numId="2" w16cid:durableId="1159618010">
    <w:abstractNumId w:val="1"/>
  </w:num>
  <w:num w:numId="3" w16cid:durableId="80439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18"/>
    <w:rsid w:val="00474618"/>
    <w:rsid w:val="00DB5C7E"/>
    <w:rsid w:val="00F27649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FFEE"/>
  <w15:chartTrackingRefBased/>
  <w15:docId w15:val="{BCA239EE-C520-455C-919B-F07114F5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1349</Characters>
  <Application>Microsoft Office Word</Application>
  <DocSecurity>0</DocSecurity>
  <Lines>25</Lines>
  <Paragraphs>12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Hinchliffe</dc:creator>
  <cp:keywords/>
  <dc:description/>
  <cp:lastModifiedBy>Alexander Hinchliffe</cp:lastModifiedBy>
  <cp:revision>1</cp:revision>
  <dcterms:created xsi:type="dcterms:W3CDTF">2026-03-20T13:38:00Z</dcterms:created>
  <dcterms:modified xsi:type="dcterms:W3CDTF">2026-03-20T13:40:00Z</dcterms:modified>
</cp:coreProperties>
</file>