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5805" w14:textId="320C5209" w:rsidR="00CB24D8" w:rsidRDefault="00CB24D8" w:rsidP="00CB24D8">
      <w:pPr>
        <w:pStyle w:val="Header"/>
        <w:jc w:val="center"/>
      </w:pPr>
      <w:r>
        <w:rPr>
          <w:rFonts w:ascii="Arial" w:hAnsi="Arial" w:cs="Arial"/>
          <w:b/>
          <w:bCs/>
          <w:sz w:val="28"/>
          <w:szCs w:val="28"/>
        </w:rPr>
        <w:tab/>
      </w:r>
    </w:p>
    <w:p w14:paraId="351BA344" w14:textId="77777777" w:rsidR="00CB24D8" w:rsidRDefault="00CB24D8" w:rsidP="00CB24D8">
      <w:pPr>
        <w:pStyle w:val="Header"/>
      </w:pPr>
    </w:p>
    <w:p w14:paraId="00532D77" w14:textId="77777777" w:rsidR="00CB24D8" w:rsidRDefault="00CB24D8" w:rsidP="00CB24D8">
      <w:pPr>
        <w:pStyle w:val="Header"/>
      </w:pPr>
    </w:p>
    <w:p w14:paraId="1203E5D5" w14:textId="77777777" w:rsidR="00CB24D8" w:rsidRDefault="00CB24D8" w:rsidP="00CB24D8">
      <w:pPr>
        <w:pStyle w:val="Header"/>
        <w:ind w:right="-1413" w:hanging="1418"/>
      </w:pPr>
      <w:r>
        <w:rPr>
          <w:noProof/>
        </w:rPr>
        <w:drawing>
          <wp:inline distT="0" distB="0" distL="0" distR="0" wp14:anchorId="743C3443" wp14:editId="0BD8D260">
            <wp:extent cx="9305224" cy="64395"/>
            <wp:effectExtent l="0" t="0" r="0" b="0"/>
            <wp:docPr id="6" name="Picture 5" descr="A green background with a gree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background with a green 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11013346" cy="76216"/>
                    </a:xfrm>
                    <a:prstGeom prst="rect">
                      <a:avLst/>
                    </a:prstGeom>
                    <a:noFill/>
                    <a:ln>
                      <a:noFill/>
                    </a:ln>
                  </pic:spPr>
                </pic:pic>
              </a:graphicData>
            </a:graphic>
          </wp:inline>
        </w:drawing>
      </w:r>
    </w:p>
    <w:p w14:paraId="2D4AE7E5" w14:textId="3A94C751" w:rsidR="00466E16" w:rsidRDefault="00466E16" w:rsidP="00CB24D8">
      <w:pPr>
        <w:tabs>
          <w:tab w:val="left" w:pos="629"/>
        </w:tabs>
        <w:spacing w:line="22" w:lineRule="atLeast"/>
        <w:rPr>
          <w:rFonts w:ascii="Arial" w:hAnsi="Arial" w:cs="Arial"/>
          <w:b/>
          <w:bCs/>
          <w:sz w:val="28"/>
          <w:szCs w:val="28"/>
        </w:rPr>
      </w:pPr>
    </w:p>
    <w:p w14:paraId="7D550138" w14:textId="77777777" w:rsidR="00466E16" w:rsidRDefault="00466E16" w:rsidP="00EA58A3">
      <w:pPr>
        <w:spacing w:line="22" w:lineRule="atLeast"/>
        <w:jc w:val="center"/>
        <w:rPr>
          <w:rFonts w:ascii="Arial" w:hAnsi="Arial" w:cs="Arial"/>
          <w:b/>
          <w:bCs/>
          <w:sz w:val="28"/>
          <w:szCs w:val="28"/>
        </w:rPr>
      </w:pPr>
    </w:p>
    <w:p w14:paraId="41CE3C83" w14:textId="4965E231" w:rsidR="001E4360" w:rsidRPr="000029D8" w:rsidRDefault="00CF7CBB" w:rsidP="00EA58A3">
      <w:pPr>
        <w:spacing w:line="22" w:lineRule="atLeast"/>
        <w:jc w:val="center"/>
        <w:rPr>
          <w:rFonts w:ascii="Aptos Black" w:hAnsi="Aptos Black" w:cs="Arial"/>
          <w:b/>
          <w:bCs/>
          <w:sz w:val="32"/>
          <w:szCs w:val="32"/>
        </w:rPr>
      </w:pPr>
      <w:r w:rsidRPr="000029D8">
        <w:rPr>
          <w:rFonts w:ascii="Aptos Black" w:hAnsi="Aptos Black" w:cs="Arial"/>
          <w:b/>
          <w:bCs/>
          <w:sz w:val="32"/>
          <w:szCs w:val="32"/>
        </w:rPr>
        <w:t xml:space="preserve">Engagement </w:t>
      </w:r>
      <w:r w:rsidR="004454DE">
        <w:rPr>
          <w:rFonts w:ascii="Aptos Black" w:hAnsi="Aptos Black" w:cs="Arial"/>
          <w:b/>
          <w:bCs/>
          <w:sz w:val="32"/>
          <w:szCs w:val="32"/>
        </w:rPr>
        <w:t>a</w:t>
      </w:r>
      <w:r w:rsidR="00F20F00" w:rsidRPr="000029D8">
        <w:rPr>
          <w:rFonts w:ascii="Aptos Black" w:hAnsi="Aptos Black" w:cs="Arial"/>
          <w:b/>
          <w:bCs/>
          <w:sz w:val="32"/>
          <w:szCs w:val="32"/>
        </w:rPr>
        <w:t xml:space="preserve">nd Impact </w:t>
      </w:r>
      <w:r w:rsidR="004454DE">
        <w:rPr>
          <w:rFonts w:ascii="Aptos Black" w:hAnsi="Aptos Black" w:cs="Arial"/>
          <w:b/>
          <w:bCs/>
          <w:sz w:val="32"/>
          <w:szCs w:val="32"/>
        </w:rPr>
        <w:t>w</w:t>
      </w:r>
      <w:r w:rsidR="00F20F00" w:rsidRPr="000029D8">
        <w:rPr>
          <w:rFonts w:ascii="Aptos Black" w:hAnsi="Aptos Black" w:cs="Arial"/>
          <w:b/>
          <w:bCs/>
          <w:sz w:val="32"/>
          <w:szCs w:val="32"/>
        </w:rPr>
        <w:t>ith Business:</w:t>
      </w:r>
    </w:p>
    <w:p w14:paraId="4571472E" w14:textId="311F90E5" w:rsidR="001C2C40" w:rsidRPr="000029D8" w:rsidRDefault="00B84061" w:rsidP="00EA58A3">
      <w:pPr>
        <w:spacing w:line="22" w:lineRule="atLeast"/>
        <w:jc w:val="center"/>
        <w:rPr>
          <w:rFonts w:ascii="Aptos Black" w:hAnsi="Aptos Black" w:cs="Arial"/>
          <w:b/>
          <w:bCs/>
          <w:sz w:val="32"/>
          <w:szCs w:val="32"/>
        </w:rPr>
      </w:pPr>
      <w:r w:rsidRPr="000029D8">
        <w:rPr>
          <w:rFonts w:ascii="Aptos Black" w:hAnsi="Aptos Black" w:cs="Arial"/>
          <w:b/>
          <w:bCs/>
          <w:sz w:val="32"/>
          <w:szCs w:val="32"/>
        </w:rPr>
        <w:t xml:space="preserve">Data </w:t>
      </w:r>
      <w:r w:rsidR="00F20F00" w:rsidRPr="000029D8">
        <w:rPr>
          <w:rFonts w:ascii="Aptos Black" w:hAnsi="Aptos Black" w:cs="Arial"/>
          <w:b/>
          <w:bCs/>
          <w:sz w:val="32"/>
          <w:szCs w:val="32"/>
        </w:rPr>
        <w:t xml:space="preserve">Sharing Policy Between </w:t>
      </w:r>
      <w:r w:rsidR="00BA2ECA" w:rsidRPr="000029D8">
        <w:rPr>
          <w:rFonts w:ascii="Aptos Black" w:hAnsi="Aptos Black" w:cs="Arial"/>
          <w:b/>
          <w:bCs/>
          <w:sz w:val="32"/>
          <w:szCs w:val="32"/>
        </w:rPr>
        <w:t>IBIC</w:t>
      </w:r>
      <w:r w:rsidRPr="000029D8">
        <w:rPr>
          <w:rFonts w:ascii="Aptos Black" w:hAnsi="Aptos Black" w:cs="Arial"/>
          <w:b/>
          <w:bCs/>
          <w:sz w:val="32"/>
          <w:szCs w:val="32"/>
        </w:rPr>
        <w:t xml:space="preserve"> </w:t>
      </w:r>
      <w:r w:rsidR="004454DE">
        <w:rPr>
          <w:rFonts w:ascii="Aptos Black" w:hAnsi="Aptos Black" w:cs="Arial"/>
          <w:b/>
          <w:bCs/>
          <w:sz w:val="32"/>
          <w:szCs w:val="32"/>
        </w:rPr>
        <w:t>a</w:t>
      </w:r>
      <w:r w:rsidR="00F20F00" w:rsidRPr="000029D8">
        <w:rPr>
          <w:rFonts w:ascii="Aptos Black" w:hAnsi="Aptos Black" w:cs="Arial"/>
          <w:b/>
          <w:bCs/>
          <w:sz w:val="32"/>
          <w:szCs w:val="32"/>
        </w:rPr>
        <w:t xml:space="preserve">nd </w:t>
      </w:r>
      <w:r w:rsidRPr="000029D8">
        <w:rPr>
          <w:rFonts w:ascii="Aptos Black" w:hAnsi="Aptos Black" w:cs="Arial"/>
          <w:b/>
          <w:bCs/>
          <w:sz w:val="32"/>
          <w:szCs w:val="32"/>
        </w:rPr>
        <w:t>EPSRC</w:t>
      </w:r>
    </w:p>
    <w:p w14:paraId="08930960" w14:textId="77777777" w:rsidR="001A523C" w:rsidRPr="000029D8" w:rsidRDefault="001A523C" w:rsidP="00EA58A3">
      <w:pPr>
        <w:spacing w:line="22" w:lineRule="atLeast"/>
        <w:jc w:val="center"/>
        <w:rPr>
          <w:rFonts w:ascii="Aptos Black" w:hAnsi="Aptos Black" w:cs="Arial"/>
          <w:sz w:val="32"/>
          <w:szCs w:val="32"/>
        </w:rPr>
      </w:pPr>
    </w:p>
    <w:p w14:paraId="3E795B6D" w14:textId="77777777" w:rsidR="00553647" w:rsidRPr="000029D8" w:rsidRDefault="00553647" w:rsidP="00EA58A3">
      <w:pPr>
        <w:spacing w:line="22" w:lineRule="atLeast"/>
        <w:jc w:val="center"/>
        <w:rPr>
          <w:rFonts w:ascii="Aptos Black" w:hAnsi="Aptos Black" w:cs="Arial"/>
          <w:sz w:val="32"/>
          <w:szCs w:val="32"/>
        </w:rPr>
      </w:pPr>
    </w:p>
    <w:p w14:paraId="25C481E9" w14:textId="77777777" w:rsidR="001C2C40" w:rsidRDefault="001C2C40" w:rsidP="00EA58A3">
      <w:pPr>
        <w:spacing w:line="22" w:lineRule="atLeast"/>
        <w:rPr>
          <w:rFonts w:ascii="Arial" w:hAnsi="Arial" w:cs="Arial"/>
          <w:b/>
          <w:bCs/>
          <w:sz w:val="24"/>
          <w:szCs w:val="24"/>
        </w:rPr>
      </w:pPr>
      <w:r w:rsidRPr="003A387C">
        <w:rPr>
          <w:rFonts w:ascii="Arial" w:hAnsi="Arial" w:cs="Arial"/>
          <w:b/>
          <w:bCs/>
          <w:sz w:val="24"/>
          <w:szCs w:val="24"/>
        </w:rPr>
        <w:t>Introduction</w:t>
      </w:r>
    </w:p>
    <w:p w14:paraId="73473AC8" w14:textId="77777777" w:rsidR="00DD74D3" w:rsidRPr="003A387C" w:rsidRDefault="00DD74D3" w:rsidP="00EA58A3">
      <w:pPr>
        <w:spacing w:line="22" w:lineRule="atLeast"/>
        <w:rPr>
          <w:rFonts w:ascii="Arial" w:hAnsi="Arial" w:cs="Arial"/>
          <w:b/>
          <w:bCs/>
          <w:sz w:val="24"/>
          <w:szCs w:val="24"/>
        </w:rPr>
      </w:pPr>
    </w:p>
    <w:p w14:paraId="578691F0" w14:textId="1965483D" w:rsidR="001C2C40" w:rsidRDefault="00B84061" w:rsidP="00EA58A3">
      <w:pPr>
        <w:spacing w:line="22" w:lineRule="atLeast"/>
        <w:rPr>
          <w:rFonts w:ascii="Arial" w:hAnsi="Arial" w:cs="Arial"/>
        </w:rPr>
      </w:pPr>
      <w:r>
        <w:rPr>
          <w:rFonts w:ascii="Arial" w:hAnsi="Arial" w:cs="Arial"/>
        </w:rPr>
        <w:t xml:space="preserve">This policy provides a framework </w:t>
      </w:r>
      <w:r w:rsidR="00AA1A05">
        <w:rPr>
          <w:rFonts w:ascii="Arial" w:hAnsi="Arial" w:cs="Arial"/>
        </w:rPr>
        <w:t xml:space="preserve">and guidelines </w:t>
      </w:r>
      <w:r>
        <w:rPr>
          <w:rFonts w:ascii="Arial" w:hAnsi="Arial" w:cs="Arial"/>
        </w:rPr>
        <w:t xml:space="preserve">for the sharing </w:t>
      </w:r>
      <w:r w:rsidR="003C763E">
        <w:rPr>
          <w:rFonts w:ascii="Arial" w:hAnsi="Arial" w:cs="Arial"/>
        </w:rPr>
        <w:t>of data and publishing of analysis about the business engagement activities of the</w:t>
      </w:r>
      <w:r w:rsidR="00470B51">
        <w:rPr>
          <w:rFonts w:ascii="Arial" w:hAnsi="Arial" w:cs="Arial"/>
        </w:rPr>
        <w:t xml:space="preserve"> Industrial Biotechnology Innovation Catalyst</w:t>
      </w:r>
      <w:r w:rsidR="003C763E">
        <w:rPr>
          <w:rFonts w:ascii="Arial" w:hAnsi="Arial" w:cs="Arial"/>
        </w:rPr>
        <w:t xml:space="preserve"> </w:t>
      </w:r>
      <w:r w:rsidR="00470B51">
        <w:rPr>
          <w:rFonts w:ascii="Arial" w:hAnsi="Arial" w:cs="Arial"/>
        </w:rPr>
        <w:t>(</w:t>
      </w:r>
      <w:r w:rsidR="00BA2ECA">
        <w:rPr>
          <w:rFonts w:ascii="Arial" w:hAnsi="Arial" w:cs="Arial"/>
        </w:rPr>
        <w:t>IBIC</w:t>
      </w:r>
      <w:r w:rsidR="00470B51">
        <w:rPr>
          <w:rFonts w:ascii="Arial" w:hAnsi="Arial" w:cs="Arial"/>
        </w:rPr>
        <w:t>)</w:t>
      </w:r>
      <w:r w:rsidR="003C763E">
        <w:rPr>
          <w:rFonts w:ascii="Arial" w:hAnsi="Arial" w:cs="Arial"/>
        </w:rPr>
        <w:t>.</w:t>
      </w:r>
      <w:r w:rsidR="009D77E6">
        <w:rPr>
          <w:rFonts w:ascii="Arial" w:hAnsi="Arial" w:cs="Arial"/>
        </w:rPr>
        <w:t xml:space="preserve">  </w:t>
      </w:r>
      <w:r w:rsidR="000D69A4">
        <w:rPr>
          <w:rFonts w:ascii="Arial" w:hAnsi="Arial" w:cs="Arial"/>
        </w:rPr>
        <w:t xml:space="preserve">The EPSRC is </w:t>
      </w:r>
      <w:r w:rsidR="00AB64A1">
        <w:rPr>
          <w:rFonts w:ascii="Arial" w:hAnsi="Arial" w:cs="Arial"/>
        </w:rPr>
        <w:t xml:space="preserve">IBIC’s </w:t>
      </w:r>
      <w:r w:rsidR="000D69A4">
        <w:rPr>
          <w:rFonts w:ascii="Arial" w:hAnsi="Arial" w:cs="Arial"/>
        </w:rPr>
        <w:t>major funding partner</w:t>
      </w:r>
      <w:r w:rsidR="004C7FCA">
        <w:rPr>
          <w:rFonts w:ascii="Arial" w:hAnsi="Arial" w:cs="Arial"/>
        </w:rPr>
        <w:t xml:space="preserve">.  As </w:t>
      </w:r>
      <w:r w:rsidR="000D69A4">
        <w:rPr>
          <w:rFonts w:ascii="Arial" w:hAnsi="Arial" w:cs="Arial"/>
        </w:rPr>
        <w:t xml:space="preserve">such </w:t>
      </w:r>
      <w:r w:rsidR="004C7FCA">
        <w:rPr>
          <w:rFonts w:ascii="Arial" w:hAnsi="Arial" w:cs="Arial"/>
        </w:rPr>
        <w:t xml:space="preserve">EPSRC </w:t>
      </w:r>
      <w:r w:rsidR="000D69A4">
        <w:rPr>
          <w:rFonts w:ascii="Arial" w:hAnsi="Arial" w:cs="Arial"/>
        </w:rPr>
        <w:t xml:space="preserve">has an interest in </w:t>
      </w:r>
      <w:r w:rsidR="00710CB1">
        <w:rPr>
          <w:rFonts w:ascii="Arial" w:hAnsi="Arial" w:cs="Arial"/>
        </w:rPr>
        <w:t xml:space="preserve">the analysis and communication of its </w:t>
      </w:r>
      <w:r w:rsidR="008852E4">
        <w:rPr>
          <w:rFonts w:ascii="Arial" w:hAnsi="Arial" w:cs="Arial"/>
        </w:rPr>
        <w:t xml:space="preserve">investment </w:t>
      </w:r>
      <w:r w:rsidR="00710CB1">
        <w:rPr>
          <w:rFonts w:ascii="Arial" w:hAnsi="Arial" w:cs="Arial"/>
        </w:rPr>
        <w:t xml:space="preserve">in </w:t>
      </w:r>
      <w:r w:rsidR="00BA2ECA">
        <w:rPr>
          <w:rFonts w:ascii="Arial" w:hAnsi="Arial" w:cs="Arial"/>
        </w:rPr>
        <w:t>IBIC</w:t>
      </w:r>
      <w:r w:rsidR="00710CB1">
        <w:rPr>
          <w:rFonts w:ascii="Arial" w:hAnsi="Arial" w:cs="Arial"/>
        </w:rPr>
        <w:t xml:space="preserve"> as it relates to business engagement and impact.</w:t>
      </w:r>
    </w:p>
    <w:p w14:paraId="152D660C" w14:textId="77777777" w:rsidR="001C2C40" w:rsidRPr="003A387C" w:rsidRDefault="001C2C40" w:rsidP="00EA58A3">
      <w:pPr>
        <w:spacing w:line="22" w:lineRule="atLeast"/>
        <w:rPr>
          <w:rFonts w:ascii="Arial" w:hAnsi="Arial" w:cs="Arial"/>
        </w:rPr>
      </w:pPr>
    </w:p>
    <w:p w14:paraId="1742DDA8" w14:textId="37825BBB" w:rsidR="00C67D5F" w:rsidRDefault="001C2C40" w:rsidP="00EA58A3">
      <w:pPr>
        <w:pStyle w:val="ListParagraph"/>
        <w:numPr>
          <w:ilvl w:val="0"/>
          <w:numId w:val="1"/>
        </w:numPr>
        <w:spacing w:after="0" w:line="22" w:lineRule="atLeast"/>
        <w:rPr>
          <w:rFonts w:ascii="Arial" w:hAnsi="Arial" w:cs="Arial"/>
          <w:b/>
          <w:bCs/>
          <w:sz w:val="24"/>
          <w:szCs w:val="24"/>
        </w:rPr>
      </w:pPr>
      <w:r w:rsidRPr="003A387C">
        <w:rPr>
          <w:rFonts w:ascii="Arial" w:hAnsi="Arial" w:cs="Arial"/>
          <w:b/>
          <w:bCs/>
          <w:sz w:val="24"/>
          <w:szCs w:val="24"/>
        </w:rPr>
        <w:t>Purpose</w:t>
      </w:r>
    </w:p>
    <w:p w14:paraId="74CBDDDF" w14:textId="77777777" w:rsidR="00DD74D3" w:rsidRPr="00C67D5F" w:rsidRDefault="00DD74D3" w:rsidP="00DD74D3">
      <w:pPr>
        <w:pStyle w:val="ListParagraph"/>
        <w:spacing w:after="0" w:line="22" w:lineRule="atLeast"/>
        <w:ind w:left="360"/>
        <w:rPr>
          <w:rFonts w:ascii="Arial" w:hAnsi="Arial" w:cs="Arial"/>
          <w:b/>
          <w:bCs/>
          <w:sz w:val="24"/>
          <w:szCs w:val="24"/>
        </w:rPr>
      </w:pPr>
    </w:p>
    <w:p w14:paraId="1F863897" w14:textId="1B513461" w:rsidR="006E00A6" w:rsidRPr="006E00A6" w:rsidRDefault="006E00A6" w:rsidP="00EA58A3">
      <w:pPr>
        <w:pStyle w:val="ListParagraph"/>
        <w:numPr>
          <w:ilvl w:val="1"/>
          <w:numId w:val="1"/>
        </w:numPr>
        <w:spacing w:line="22" w:lineRule="atLeast"/>
        <w:rPr>
          <w:rFonts w:ascii="Arial" w:hAnsi="Arial" w:cs="Arial"/>
        </w:rPr>
      </w:pPr>
      <w:r w:rsidRPr="006E00A6">
        <w:rPr>
          <w:rFonts w:ascii="Arial" w:hAnsi="Arial" w:cs="Arial"/>
        </w:rPr>
        <w:t xml:space="preserve">This policy governs the sharing of data </w:t>
      </w:r>
      <w:r w:rsidR="00B84324">
        <w:rPr>
          <w:rFonts w:ascii="Arial" w:hAnsi="Arial" w:cs="Arial"/>
        </w:rPr>
        <w:t xml:space="preserve">and communication of the results of data analysis </w:t>
      </w:r>
      <w:r w:rsidRPr="006E00A6">
        <w:rPr>
          <w:rFonts w:ascii="Arial" w:hAnsi="Arial" w:cs="Arial"/>
        </w:rPr>
        <w:t>about</w:t>
      </w:r>
      <w:r w:rsidR="00490E7F" w:rsidRPr="006E00A6">
        <w:rPr>
          <w:rFonts w:ascii="Arial" w:hAnsi="Arial" w:cs="Arial"/>
        </w:rPr>
        <w:t xml:space="preserve"> the business engagement activities </w:t>
      </w:r>
      <w:r w:rsidR="00AA5C94">
        <w:rPr>
          <w:rFonts w:ascii="Arial" w:hAnsi="Arial" w:cs="Arial"/>
        </w:rPr>
        <w:t xml:space="preserve">between </w:t>
      </w:r>
      <w:r w:rsidR="00BA2ECA">
        <w:rPr>
          <w:rFonts w:ascii="Arial" w:hAnsi="Arial" w:cs="Arial"/>
        </w:rPr>
        <w:t>IBIC</w:t>
      </w:r>
      <w:r w:rsidRPr="006E00A6">
        <w:rPr>
          <w:rFonts w:ascii="Arial" w:hAnsi="Arial" w:cs="Arial"/>
        </w:rPr>
        <w:t xml:space="preserve"> and the EPSRC</w:t>
      </w:r>
      <w:r w:rsidR="00B84324">
        <w:rPr>
          <w:rFonts w:ascii="Arial" w:hAnsi="Arial" w:cs="Arial"/>
        </w:rPr>
        <w:t>.</w:t>
      </w:r>
    </w:p>
    <w:p w14:paraId="14CE905F" w14:textId="61292AB1" w:rsidR="00C67D5F" w:rsidRPr="00C67D5F" w:rsidRDefault="00C67D5F" w:rsidP="00EA58A3">
      <w:pPr>
        <w:pStyle w:val="ListParagraph"/>
        <w:numPr>
          <w:ilvl w:val="1"/>
          <w:numId w:val="1"/>
        </w:numPr>
        <w:spacing w:line="22" w:lineRule="atLeast"/>
        <w:rPr>
          <w:rFonts w:ascii="Arial" w:hAnsi="Arial" w:cs="Arial"/>
        </w:rPr>
      </w:pPr>
      <w:r w:rsidRPr="00C67D5F">
        <w:rPr>
          <w:rFonts w:ascii="Arial" w:hAnsi="Arial" w:cs="Arial"/>
        </w:rPr>
        <w:t>The policy ensures compliance with the Data Protection Laws (as defined within this Policy) and the University’s information governance policies and provides a framework for using</w:t>
      </w:r>
      <w:r w:rsidR="00CC2274">
        <w:rPr>
          <w:rFonts w:ascii="Arial" w:hAnsi="Arial" w:cs="Arial"/>
        </w:rPr>
        <w:t xml:space="preserve"> </w:t>
      </w:r>
      <w:r w:rsidR="007B1497">
        <w:rPr>
          <w:rFonts w:ascii="Arial" w:hAnsi="Arial" w:cs="Arial"/>
        </w:rPr>
        <w:t>information tools</w:t>
      </w:r>
      <w:r w:rsidR="004B5226">
        <w:rPr>
          <w:rFonts w:ascii="Arial" w:hAnsi="Arial" w:cs="Arial"/>
        </w:rPr>
        <w:t xml:space="preserve"> </w:t>
      </w:r>
      <w:r w:rsidR="00CC2274">
        <w:rPr>
          <w:rFonts w:ascii="Arial" w:hAnsi="Arial" w:cs="Arial"/>
        </w:rPr>
        <w:t>(</w:t>
      </w:r>
      <w:r w:rsidR="004B5226">
        <w:rPr>
          <w:rFonts w:ascii="Arial" w:hAnsi="Arial" w:cs="Arial"/>
        </w:rPr>
        <w:t xml:space="preserve">such as </w:t>
      </w:r>
      <w:r w:rsidR="00CC2274">
        <w:rPr>
          <w:rFonts w:ascii="Arial" w:hAnsi="Arial" w:cs="Arial"/>
        </w:rPr>
        <w:t xml:space="preserve">Excel, </w:t>
      </w:r>
      <w:r w:rsidRPr="00C67D5F">
        <w:rPr>
          <w:rFonts w:ascii="Arial" w:hAnsi="Arial" w:cs="Arial"/>
        </w:rPr>
        <w:t>Power BI</w:t>
      </w:r>
      <w:r w:rsidR="00CC2274">
        <w:rPr>
          <w:rFonts w:ascii="Arial" w:hAnsi="Arial" w:cs="Arial"/>
        </w:rPr>
        <w:t>)</w:t>
      </w:r>
      <w:r w:rsidRPr="00C67D5F">
        <w:rPr>
          <w:rFonts w:ascii="Arial" w:hAnsi="Arial" w:cs="Arial"/>
        </w:rPr>
        <w:t xml:space="preserve"> for both internal use and public dissemination of the location-based impact assessment results. </w:t>
      </w:r>
    </w:p>
    <w:p w14:paraId="75FD89BC" w14:textId="77777777" w:rsidR="003708C6" w:rsidRPr="003A387C" w:rsidRDefault="003708C6" w:rsidP="00EA58A3">
      <w:pPr>
        <w:spacing w:line="22" w:lineRule="atLeast"/>
        <w:rPr>
          <w:rFonts w:ascii="Arial" w:hAnsi="Arial" w:cs="Arial"/>
        </w:rPr>
      </w:pPr>
    </w:p>
    <w:p w14:paraId="0C22C30B" w14:textId="77777777" w:rsidR="001C2C40" w:rsidRDefault="001C2C40" w:rsidP="00EA58A3">
      <w:pPr>
        <w:pStyle w:val="ListParagraph"/>
        <w:numPr>
          <w:ilvl w:val="0"/>
          <w:numId w:val="1"/>
        </w:numPr>
        <w:spacing w:after="0" w:line="22" w:lineRule="atLeast"/>
        <w:rPr>
          <w:rFonts w:ascii="Arial" w:hAnsi="Arial" w:cs="Arial"/>
          <w:b/>
          <w:bCs/>
          <w:sz w:val="24"/>
          <w:szCs w:val="24"/>
        </w:rPr>
      </w:pPr>
      <w:r w:rsidRPr="003A387C">
        <w:rPr>
          <w:rFonts w:ascii="Arial" w:hAnsi="Arial" w:cs="Arial"/>
          <w:b/>
          <w:bCs/>
          <w:sz w:val="24"/>
          <w:szCs w:val="24"/>
        </w:rPr>
        <w:t>Scope</w:t>
      </w:r>
    </w:p>
    <w:p w14:paraId="7413E181" w14:textId="77777777" w:rsidR="00DD74D3" w:rsidRPr="003A387C" w:rsidRDefault="00DD74D3" w:rsidP="00DD74D3">
      <w:pPr>
        <w:pStyle w:val="ListParagraph"/>
        <w:spacing w:after="0" w:line="22" w:lineRule="atLeast"/>
        <w:ind w:left="360"/>
        <w:rPr>
          <w:rFonts w:ascii="Arial" w:hAnsi="Arial" w:cs="Arial"/>
          <w:b/>
          <w:bCs/>
          <w:sz w:val="24"/>
          <w:szCs w:val="24"/>
        </w:rPr>
      </w:pPr>
    </w:p>
    <w:p w14:paraId="512500D6" w14:textId="1DA12BFA" w:rsidR="000C620D" w:rsidRDefault="004852F6" w:rsidP="00EA58A3">
      <w:pPr>
        <w:pStyle w:val="ListParagraph"/>
        <w:numPr>
          <w:ilvl w:val="1"/>
          <w:numId w:val="1"/>
        </w:numPr>
        <w:spacing w:line="22" w:lineRule="atLeast"/>
        <w:rPr>
          <w:rFonts w:ascii="Arial" w:hAnsi="Arial" w:cs="Arial"/>
        </w:rPr>
      </w:pPr>
      <w:r w:rsidRPr="000C620D">
        <w:rPr>
          <w:rFonts w:ascii="Arial" w:hAnsi="Arial" w:cs="Arial"/>
        </w:rPr>
        <w:t xml:space="preserve">This policy applies to all individuals and entities involved in generation, analysis, visualisation, publishing, and dissemination of results related to the </w:t>
      </w:r>
      <w:r w:rsidR="00C70873">
        <w:rPr>
          <w:rFonts w:ascii="Arial" w:hAnsi="Arial" w:cs="Arial"/>
        </w:rPr>
        <w:t>IBIC</w:t>
      </w:r>
      <w:r w:rsidRPr="000C620D">
        <w:rPr>
          <w:rFonts w:ascii="Arial" w:hAnsi="Arial" w:cs="Arial"/>
        </w:rPr>
        <w:t xml:space="preserve"> business engagement impact data.</w:t>
      </w:r>
    </w:p>
    <w:p w14:paraId="31355ABC" w14:textId="77777777" w:rsidR="00691874" w:rsidRDefault="00691874" w:rsidP="00EA58A3">
      <w:pPr>
        <w:pStyle w:val="ListParagraph"/>
        <w:numPr>
          <w:ilvl w:val="1"/>
          <w:numId w:val="1"/>
        </w:numPr>
        <w:spacing w:line="22" w:lineRule="atLeast"/>
        <w:rPr>
          <w:rFonts w:ascii="Arial" w:hAnsi="Arial" w:cs="Arial"/>
        </w:rPr>
      </w:pPr>
      <w:r w:rsidRPr="00691874">
        <w:rPr>
          <w:rFonts w:ascii="Arial" w:hAnsi="Arial" w:cs="Arial"/>
        </w:rPr>
        <w:t>The categories of businesses/organisations engaged with include spinouts, SMEs, and large enterprises.</w:t>
      </w:r>
    </w:p>
    <w:p w14:paraId="607645A8" w14:textId="10FC4D11" w:rsidR="003614E2" w:rsidRDefault="003614E2" w:rsidP="00EA58A3">
      <w:pPr>
        <w:pStyle w:val="ListParagraph"/>
        <w:numPr>
          <w:ilvl w:val="1"/>
          <w:numId w:val="1"/>
        </w:numPr>
        <w:spacing w:line="22" w:lineRule="atLeast"/>
        <w:rPr>
          <w:rFonts w:ascii="Arial" w:hAnsi="Arial" w:cs="Arial"/>
        </w:rPr>
      </w:pPr>
      <w:r w:rsidRPr="006E00A6">
        <w:rPr>
          <w:rFonts w:ascii="Arial" w:hAnsi="Arial" w:cs="Arial"/>
        </w:rPr>
        <w:t xml:space="preserve">Data may be shared </w:t>
      </w:r>
      <w:r w:rsidR="00AE2777">
        <w:rPr>
          <w:rFonts w:ascii="Arial" w:hAnsi="Arial" w:cs="Arial"/>
        </w:rPr>
        <w:t xml:space="preserve">of a nature that supports the </w:t>
      </w:r>
      <w:r w:rsidRPr="006E00A6">
        <w:rPr>
          <w:rFonts w:ascii="Arial" w:hAnsi="Arial" w:cs="Arial"/>
        </w:rPr>
        <w:t xml:space="preserve">analysis and evaluation of </w:t>
      </w:r>
      <w:r w:rsidR="007B1497">
        <w:rPr>
          <w:rFonts w:ascii="Arial" w:hAnsi="Arial" w:cs="Arial"/>
        </w:rPr>
        <w:t>IBIC’s</w:t>
      </w:r>
      <w:r w:rsidRPr="006E00A6">
        <w:rPr>
          <w:rFonts w:ascii="Arial" w:hAnsi="Arial" w:cs="Arial"/>
        </w:rPr>
        <w:t xml:space="preserve"> </w:t>
      </w:r>
      <w:r w:rsidR="00553647" w:rsidRPr="006E00A6">
        <w:rPr>
          <w:rFonts w:ascii="Arial" w:hAnsi="Arial" w:cs="Arial"/>
        </w:rPr>
        <w:t>business-related</w:t>
      </w:r>
      <w:r w:rsidR="00701261">
        <w:rPr>
          <w:rFonts w:ascii="Arial" w:hAnsi="Arial" w:cs="Arial"/>
        </w:rPr>
        <w:t xml:space="preserve"> </w:t>
      </w:r>
      <w:r w:rsidRPr="006E00A6">
        <w:rPr>
          <w:rFonts w:ascii="Arial" w:hAnsi="Arial" w:cs="Arial"/>
        </w:rPr>
        <w:t xml:space="preserve">reach and impact. </w:t>
      </w:r>
    </w:p>
    <w:p w14:paraId="2FED0C01" w14:textId="1B8E4C5C" w:rsidR="00691874" w:rsidRDefault="004852F6" w:rsidP="00EA58A3">
      <w:pPr>
        <w:pStyle w:val="ListParagraph"/>
        <w:numPr>
          <w:ilvl w:val="1"/>
          <w:numId w:val="1"/>
        </w:numPr>
        <w:spacing w:line="22" w:lineRule="atLeast"/>
        <w:rPr>
          <w:rFonts w:ascii="Arial" w:hAnsi="Arial" w:cs="Arial"/>
        </w:rPr>
      </w:pPr>
      <w:r w:rsidRPr="00691874">
        <w:rPr>
          <w:rFonts w:ascii="Arial" w:hAnsi="Arial" w:cs="Arial"/>
        </w:rPr>
        <w:t xml:space="preserve">The tools to be used for the impact data generation, analysis and visualisation/dashboard creation include but </w:t>
      </w:r>
      <w:r w:rsidR="005B12A4" w:rsidRPr="00691874">
        <w:rPr>
          <w:rFonts w:ascii="Arial" w:hAnsi="Arial" w:cs="Arial"/>
        </w:rPr>
        <w:t xml:space="preserve">are </w:t>
      </w:r>
      <w:r w:rsidRPr="00691874">
        <w:rPr>
          <w:rFonts w:ascii="Arial" w:hAnsi="Arial" w:cs="Arial"/>
        </w:rPr>
        <w:t>not limited to Microsoft Excel</w:t>
      </w:r>
      <w:r w:rsidR="00576809">
        <w:rPr>
          <w:rFonts w:ascii="Arial" w:hAnsi="Arial" w:cs="Arial"/>
        </w:rPr>
        <w:t xml:space="preserve">, mapping software </w:t>
      </w:r>
      <w:r w:rsidRPr="00691874">
        <w:rPr>
          <w:rFonts w:ascii="Arial" w:hAnsi="Arial" w:cs="Arial"/>
        </w:rPr>
        <w:t>and Power BI.</w:t>
      </w:r>
      <w:r w:rsidR="00691874" w:rsidRPr="00691874">
        <w:rPr>
          <w:rFonts w:ascii="Arial" w:hAnsi="Arial" w:cs="Arial"/>
        </w:rPr>
        <w:t xml:space="preserve">  </w:t>
      </w:r>
    </w:p>
    <w:p w14:paraId="3753E76B" w14:textId="2B5B4A59" w:rsidR="003D1CE6" w:rsidRPr="003D1CE6" w:rsidRDefault="003D1CE6" w:rsidP="00EA58A3">
      <w:pPr>
        <w:pStyle w:val="ListParagraph"/>
        <w:numPr>
          <w:ilvl w:val="1"/>
          <w:numId w:val="1"/>
        </w:numPr>
        <w:spacing w:line="22" w:lineRule="atLeast"/>
        <w:rPr>
          <w:rFonts w:ascii="Arial" w:hAnsi="Arial" w:cs="Arial"/>
        </w:rPr>
      </w:pPr>
      <w:r w:rsidRPr="003D1CE6">
        <w:rPr>
          <w:rFonts w:ascii="Arial" w:hAnsi="Arial" w:cs="Arial"/>
        </w:rPr>
        <w:t xml:space="preserve">Data </w:t>
      </w:r>
      <w:r w:rsidR="005E3697">
        <w:rPr>
          <w:rFonts w:ascii="Arial" w:hAnsi="Arial" w:cs="Arial"/>
        </w:rPr>
        <w:t>should</w:t>
      </w:r>
      <w:r w:rsidRPr="003D1CE6">
        <w:rPr>
          <w:rFonts w:ascii="Arial" w:hAnsi="Arial" w:cs="Arial"/>
        </w:rPr>
        <w:t xml:space="preserve"> be supplied </w:t>
      </w:r>
      <w:r w:rsidR="00064A45">
        <w:rPr>
          <w:rFonts w:ascii="Arial" w:hAnsi="Arial" w:cs="Arial"/>
        </w:rPr>
        <w:t xml:space="preserve">to EPSRC </w:t>
      </w:r>
      <w:r w:rsidRPr="003D1CE6">
        <w:rPr>
          <w:rFonts w:ascii="Arial" w:hAnsi="Arial" w:cs="Arial"/>
        </w:rPr>
        <w:t xml:space="preserve">in a format </w:t>
      </w:r>
      <w:r w:rsidR="005E3697">
        <w:rPr>
          <w:rFonts w:ascii="Arial" w:hAnsi="Arial" w:cs="Arial"/>
        </w:rPr>
        <w:t>to allow</w:t>
      </w:r>
      <w:r w:rsidRPr="003D1CE6">
        <w:rPr>
          <w:rFonts w:ascii="Arial" w:hAnsi="Arial" w:cs="Arial"/>
        </w:rPr>
        <w:t xml:space="preserve"> analysis with Excel spreadsheet software</w:t>
      </w:r>
      <w:r w:rsidR="00942A0B">
        <w:rPr>
          <w:rFonts w:ascii="Arial" w:hAnsi="Arial" w:cs="Arial"/>
        </w:rPr>
        <w:t xml:space="preserve"> and mapping software</w:t>
      </w:r>
      <w:r w:rsidRPr="003D1CE6">
        <w:rPr>
          <w:rFonts w:ascii="Arial" w:hAnsi="Arial" w:cs="Arial"/>
        </w:rPr>
        <w:t xml:space="preserve">.  </w:t>
      </w:r>
    </w:p>
    <w:p w14:paraId="5E48A11D" w14:textId="066072FB" w:rsidR="00971A56" w:rsidRDefault="0091659A" w:rsidP="00EA58A3">
      <w:pPr>
        <w:pStyle w:val="ListParagraph"/>
        <w:numPr>
          <w:ilvl w:val="1"/>
          <w:numId w:val="1"/>
        </w:numPr>
        <w:spacing w:line="22" w:lineRule="atLeast"/>
        <w:rPr>
          <w:rFonts w:ascii="Arial" w:hAnsi="Arial" w:cs="Arial"/>
        </w:rPr>
      </w:pPr>
      <w:r w:rsidRPr="003D1CE6">
        <w:rPr>
          <w:rFonts w:ascii="Arial" w:hAnsi="Arial" w:cs="Arial"/>
        </w:rPr>
        <w:t xml:space="preserve">EPSRC </w:t>
      </w:r>
      <w:r w:rsidR="007D1F03">
        <w:rPr>
          <w:rFonts w:ascii="Arial" w:hAnsi="Arial" w:cs="Arial"/>
        </w:rPr>
        <w:t xml:space="preserve">will endeavour to </w:t>
      </w:r>
      <w:r w:rsidR="003D1CE6">
        <w:rPr>
          <w:rFonts w:ascii="Arial" w:hAnsi="Arial" w:cs="Arial"/>
        </w:rPr>
        <w:t>use the</w:t>
      </w:r>
      <w:r w:rsidRPr="003D1CE6">
        <w:rPr>
          <w:rFonts w:ascii="Arial" w:hAnsi="Arial" w:cs="Arial"/>
        </w:rPr>
        <w:t xml:space="preserve"> data supplied</w:t>
      </w:r>
      <w:r w:rsidR="007D1F03">
        <w:rPr>
          <w:rFonts w:ascii="Arial" w:hAnsi="Arial" w:cs="Arial"/>
        </w:rPr>
        <w:t xml:space="preserve"> </w:t>
      </w:r>
      <w:r w:rsidRPr="003D1CE6">
        <w:rPr>
          <w:rFonts w:ascii="Arial" w:hAnsi="Arial" w:cs="Arial"/>
        </w:rPr>
        <w:t xml:space="preserve">to produce </w:t>
      </w:r>
      <w:r w:rsidR="00553647" w:rsidRPr="003D1CE6">
        <w:rPr>
          <w:rFonts w:ascii="Arial" w:hAnsi="Arial" w:cs="Arial"/>
        </w:rPr>
        <w:t>location-based</w:t>
      </w:r>
      <w:r w:rsidRPr="003D1CE6">
        <w:rPr>
          <w:rFonts w:ascii="Arial" w:hAnsi="Arial" w:cs="Arial"/>
        </w:rPr>
        <w:t xml:space="preserve"> analyses</w:t>
      </w:r>
      <w:r w:rsidR="00C419B7">
        <w:rPr>
          <w:rFonts w:ascii="Arial" w:hAnsi="Arial" w:cs="Arial"/>
        </w:rPr>
        <w:t xml:space="preserve">, including </w:t>
      </w:r>
      <w:r w:rsidR="007D1F03">
        <w:rPr>
          <w:rFonts w:ascii="Arial" w:hAnsi="Arial" w:cs="Arial"/>
        </w:rPr>
        <w:t xml:space="preserve">static and dynamic </w:t>
      </w:r>
      <w:r w:rsidR="00C419B7">
        <w:rPr>
          <w:rFonts w:ascii="Arial" w:hAnsi="Arial" w:cs="Arial"/>
        </w:rPr>
        <w:t xml:space="preserve">mapping </w:t>
      </w:r>
      <w:r w:rsidR="00971A56">
        <w:rPr>
          <w:rFonts w:ascii="Arial" w:hAnsi="Arial" w:cs="Arial"/>
        </w:rPr>
        <w:t xml:space="preserve">of </w:t>
      </w:r>
      <w:r w:rsidR="00BA2ECA">
        <w:rPr>
          <w:rFonts w:ascii="Arial" w:hAnsi="Arial" w:cs="Arial"/>
        </w:rPr>
        <w:t>IBIC</w:t>
      </w:r>
      <w:r w:rsidR="00971A56">
        <w:rPr>
          <w:rFonts w:ascii="Arial" w:hAnsi="Arial" w:cs="Arial"/>
        </w:rPr>
        <w:t xml:space="preserve">’s business engagement and impact </w:t>
      </w:r>
      <w:r w:rsidR="00C419B7">
        <w:rPr>
          <w:rFonts w:ascii="Arial" w:hAnsi="Arial" w:cs="Arial"/>
        </w:rPr>
        <w:t>to different International Territorial Levels across the UK.</w:t>
      </w:r>
    </w:p>
    <w:p w14:paraId="6FA1BC2C" w14:textId="01A77FAE" w:rsidR="0091659A" w:rsidRPr="003D1CE6" w:rsidRDefault="007D1F03" w:rsidP="00EA58A3">
      <w:pPr>
        <w:pStyle w:val="ListParagraph"/>
        <w:numPr>
          <w:ilvl w:val="1"/>
          <w:numId w:val="1"/>
        </w:numPr>
        <w:spacing w:line="22" w:lineRule="atLeast"/>
        <w:rPr>
          <w:rFonts w:ascii="Arial" w:hAnsi="Arial" w:cs="Arial"/>
        </w:rPr>
      </w:pPr>
      <w:r>
        <w:rPr>
          <w:rFonts w:ascii="Arial" w:hAnsi="Arial" w:cs="Arial"/>
        </w:rPr>
        <w:t>Outputs from EPSRC’s a</w:t>
      </w:r>
      <w:r w:rsidR="00E851C7">
        <w:rPr>
          <w:rFonts w:ascii="Arial" w:hAnsi="Arial" w:cs="Arial"/>
        </w:rPr>
        <w:t xml:space="preserve">nalyses </w:t>
      </w:r>
      <w:r>
        <w:rPr>
          <w:rFonts w:ascii="Arial" w:hAnsi="Arial" w:cs="Arial"/>
        </w:rPr>
        <w:t xml:space="preserve">will be shared with </w:t>
      </w:r>
      <w:r w:rsidR="00BA2ECA">
        <w:rPr>
          <w:rFonts w:ascii="Arial" w:hAnsi="Arial" w:cs="Arial"/>
        </w:rPr>
        <w:t>IBIC</w:t>
      </w:r>
      <w:r w:rsidR="00942A0B">
        <w:rPr>
          <w:rFonts w:ascii="Arial" w:hAnsi="Arial" w:cs="Arial"/>
        </w:rPr>
        <w:t xml:space="preserve"> for their internal and external use.  </w:t>
      </w:r>
    </w:p>
    <w:p w14:paraId="3600C2F7" w14:textId="77777777" w:rsidR="0091659A" w:rsidRDefault="0091659A" w:rsidP="00EA58A3">
      <w:pPr>
        <w:spacing w:line="22" w:lineRule="atLeast"/>
        <w:rPr>
          <w:rFonts w:ascii="Arial" w:hAnsi="Arial" w:cs="Arial"/>
        </w:rPr>
      </w:pPr>
    </w:p>
    <w:p w14:paraId="278094C7" w14:textId="77777777" w:rsidR="00A410E3" w:rsidRDefault="00A410E3" w:rsidP="00EA58A3">
      <w:pPr>
        <w:spacing w:line="22" w:lineRule="atLeast"/>
        <w:rPr>
          <w:rFonts w:ascii="Arial" w:hAnsi="Arial" w:cs="Arial"/>
        </w:rPr>
      </w:pPr>
    </w:p>
    <w:p w14:paraId="2BC2E07E" w14:textId="77777777" w:rsidR="00A410E3" w:rsidRDefault="00A410E3" w:rsidP="00EA58A3">
      <w:pPr>
        <w:spacing w:line="22" w:lineRule="atLeast"/>
        <w:rPr>
          <w:rFonts w:ascii="Arial" w:hAnsi="Arial" w:cs="Arial"/>
        </w:rPr>
      </w:pPr>
    </w:p>
    <w:p w14:paraId="03205221" w14:textId="77777777" w:rsidR="00A410E3" w:rsidRPr="003A387C" w:rsidRDefault="00A410E3" w:rsidP="00EA58A3">
      <w:pPr>
        <w:spacing w:line="22" w:lineRule="atLeast"/>
        <w:rPr>
          <w:rFonts w:ascii="Arial" w:hAnsi="Arial" w:cs="Arial"/>
        </w:rPr>
      </w:pPr>
    </w:p>
    <w:p w14:paraId="7FDBECBD" w14:textId="3F991EE7" w:rsidR="00065BF8" w:rsidRDefault="001C2C40" w:rsidP="00EA58A3">
      <w:pPr>
        <w:pStyle w:val="ListParagraph"/>
        <w:numPr>
          <w:ilvl w:val="0"/>
          <w:numId w:val="1"/>
        </w:numPr>
        <w:spacing w:after="0" w:line="22" w:lineRule="atLeast"/>
        <w:rPr>
          <w:rFonts w:ascii="Arial" w:hAnsi="Arial" w:cs="Arial"/>
          <w:b/>
          <w:bCs/>
          <w:sz w:val="24"/>
          <w:szCs w:val="24"/>
        </w:rPr>
      </w:pPr>
      <w:r w:rsidRPr="003A387C">
        <w:rPr>
          <w:rFonts w:ascii="Arial" w:hAnsi="Arial" w:cs="Arial"/>
          <w:b/>
          <w:bCs/>
          <w:sz w:val="24"/>
          <w:szCs w:val="24"/>
        </w:rPr>
        <w:t>Roles and Responsibilities</w:t>
      </w:r>
    </w:p>
    <w:p w14:paraId="4827FD78" w14:textId="77777777" w:rsidR="00A410E3" w:rsidRPr="00065BF8" w:rsidRDefault="00A410E3" w:rsidP="00A410E3">
      <w:pPr>
        <w:pStyle w:val="ListParagraph"/>
        <w:spacing w:after="0" w:line="22" w:lineRule="atLeast"/>
        <w:ind w:left="360"/>
        <w:rPr>
          <w:rFonts w:ascii="Arial" w:hAnsi="Arial" w:cs="Arial"/>
          <w:b/>
          <w:bCs/>
          <w:sz w:val="24"/>
          <w:szCs w:val="24"/>
        </w:rPr>
      </w:pPr>
    </w:p>
    <w:p w14:paraId="56871081" w14:textId="46AB2ABD" w:rsidR="006A1CE6" w:rsidRPr="00A410E3" w:rsidRDefault="00065BF8" w:rsidP="00A410E3">
      <w:pPr>
        <w:pStyle w:val="ListParagraph"/>
        <w:numPr>
          <w:ilvl w:val="1"/>
          <w:numId w:val="1"/>
        </w:numPr>
        <w:spacing w:line="22" w:lineRule="atLeast"/>
        <w:rPr>
          <w:rFonts w:ascii="Arial" w:hAnsi="Arial" w:cs="Arial"/>
        </w:rPr>
      </w:pPr>
      <w:r w:rsidRPr="00065BF8">
        <w:rPr>
          <w:rFonts w:ascii="Arial" w:hAnsi="Arial" w:cs="Arial"/>
        </w:rPr>
        <w:t xml:space="preserve">It is the responsibility of all individuals and entities involved in the conduct of </w:t>
      </w:r>
      <w:r w:rsidR="005307A2">
        <w:rPr>
          <w:rFonts w:ascii="Arial" w:hAnsi="Arial" w:cs="Arial"/>
        </w:rPr>
        <w:t xml:space="preserve">data sharing and analysis of </w:t>
      </w:r>
      <w:r w:rsidR="00553647">
        <w:rPr>
          <w:rFonts w:ascii="Arial" w:hAnsi="Arial" w:cs="Arial"/>
        </w:rPr>
        <w:t xml:space="preserve">data </w:t>
      </w:r>
      <w:r w:rsidR="00553647" w:rsidRPr="00065BF8">
        <w:rPr>
          <w:rFonts w:ascii="Arial" w:hAnsi="Arial" w:cs="Arial"/>
        </w:rPr>
        <w:t>to</w:t>
      </w:r>
      <w:r w:rsidRPr="00065BF8">
        <w:rPr>
          <w:rFonts w:ascii="Arial" w:hAnsi="Arial" w:cs="Arial"/>
        </w:rPr>
        <w:t xml:space="preserve"> adhere to this Policy. </w:t>
      </w:r>
    </w:p>
    <w:p w14:paraId="6F1173CB" w14:textId="334E931D" w:rsidR="00065BF8" w:rsidRPr="00065BF8" w:rsidRDefault="00065BF8" w:rsidP="00EA58A3">
      <w:pPr>
        <w:pStyle w:val="ListParagraph"/>
        <w:numPr>
          <w:ilvl w:val="1"/>
          <w:numId w:val="1"/>
        </w:numPr>
        <w:spacing w:line="22" w:lineRule="atLeast"/>
        <w:rPr>
          <w:rFonts w:ascii="Arial" w:hAnsi="Arial" w:cs="Arial"/>
        </w:rPr>
      </w:pPr>
      <w:r w:rsidRPr="00065BF8">
        <w:rPr>
          <w:rFonts w:ascii="Arial" w:hAnsi="Arial" w:cs="Arial"/>
        </w:rPr>
        <w:t xml:space="preserve">It is the responsibility of </w:t>
      </w:r>
      <w:r w:rsidR="004B2585">
        <w:rPr>
          <w:rFonts w:ascii="Arial" w:hAnsi="Arial" w:cs="Arial"/>
        </w:rPr>
        <w:t>IBIC’s management</w:t>
      </w:r>
      <w:r w:rsidRPr="00065BF8">
        <w:rPr>
          <w:rFonts w:ascii="Arial" w:hAnsi="Arial" w:cs="Arial"/>
        </w:rPr>
        <w:t xml:space="preserve"> team to approve the level </w:t>
      </w:r>
      <w:r w:rsidR="00E73979">
        <w:rPr>
          <w:rFonts w:ascii="Arial" w:hAnsi="Arial" w:cs="Arial"/>
        </w:rPr>
        <w:t xml:space="preserve">of </w:t>
      </w:r>
      <w:r w:rsidRPr="00065BF8">
        <w:rPr>
          <w:rFonts w:ascii="Arial" w:hAnsi="Arial" w:cs="Arial"/>
        </w:rPr>
        <w:t xml:space="preserve">granularity of the data and/or information to be published externally, and to ensure compliance with this Policy. </w:t>
      </w:r>
    </w:p>
    <w:p w14:paraId="0B941F19" w14:textId="70BD3274" w:rsidR="00065BF8" w:rsidRPr="00065BF8" w:rsidRDefault="00065BF8" w:rsidP="00EA58A3">
      <w:pPr>
        <w:pStyle w:val="ListParagraph"/>
        <w:numPr>
          <w:ilvl w:val="1"/>
          <w:numId w:val="1"/>
        </w:numPr>
        <w:spacing w:line="22" w:lineRule="atLeast"/>
        <w:rPr>
          <w:rFonts w:ascii="Arial" w:hAnsi="Arial" w:cs="Arial"/>
        </w:rPr>
      </w:pPr>
      <w:r w:rsidRPr="00065BF8">
        <w:rPr>
          <w:rFonts w:ascii="Arial" w:hAnsi="Arial" w:cs="Arial"/>
        </w:rPr>
        <w:t xml:space="preserve">It is the responsibility of authorised personnel at the entities involved to foster a culture of data protection awareness to ensure all stakeholders understand their roles in maintaining confidentiality and compliance. </w:t>
      </w:r>
    </w:p>
    <w:p w14:paraId="28904573" w14:textId="3A207E01" w:rsidR="00065BF8" w:rsidRPr="005307A2" w:rsidRDefault="00065BF8" w:rsidP="00EA58A3">
      <w:pPr>
        <w:pStyle w:val="ListParagraph"/>
        <w:numPr>
          <w:ilvl w:val="1"/>
          <w:numId w:val="1"/>
        </w:numPr>
        <w:spacing w:line="22" w:lineRule="atLeast"/>
        <w:rPr>
          <w:rFonts w:ascii="Arial" w:hAnsi="Arial" w:cs="Arial"/>
        </w:rPr>
      </w:pPr>
      <w:r w:rsidRPr="00065BF8">
        <w:rPr>
          <w:rFonts w:ascii="Arial" w:hAnsi="Arial" w:cs="Arial"/>
        </w:rPr>
        <w:t xml:space="preserve">It is the responsibility of relevant personnel to share insights from </w:t>
      </w:r>
      <w:r w:rsidR="00B03985">
        <w:rPr>
          <w:rFonts w:ascii="Arial" w:hAnsi="Arial" w:cs="Arial"/>
        </w:rPr>
        <w:t>analysis of the data with r</w:t>
      </w:r>
      <w:r w:rsidRPr="00065BF8">
        <w:rPr>
          <w:rFonts w:ascii="Arial" w:hAnsi="Arial" w:cs="Arial"/>
        </w:rPr>
        <w:t xml:space="preserve">elevant </w:t>
      </w:r>
      <w:r w:rsidR="00B714EC">
        <w:rPr>
          <w:rFonts w:ascii="Arial" w:hAnsi="Arial" w:cs="Arial"/>
        </w:rPr>
        <w:t>IBIC partners</w:t>
      </w:r>
      <w:r w:rsidRPr="00065BF8">
        <w:rPr>
          <w:rFonts w:ascii="Arial" w:hAnsi="Arial" w:cs="Arial"/>
        </w:rPr>
        <w:t xml:space="preserve"> to encourage internal</w:t>
      </w:r>
      <w:r w:rsidR="00DD29A7">
        <w:rPr>
          <w:rFonts w:ascii="Arial" w:hAnsi="Arial" w:cs="Arial"/>
        </w:rPr>
        <w:t xml:space="preserve"> and cross-institutional</w:t>
      </w:r>
      <w:r w:rsidRPr="00065BF8">
        <w:rPr>
          <w:rFonts w:ascii="Arial" w:hAnsi="Arial" w:cs="Arial"/>
        </w:rPr>
        <w:t xml:space="preserve"> collaboration while adhering to data protection guidelines. </w:t>
      </w:r>
    </w:p>
    <w:p w14:paraId="41C513F6" w14:textId="5E31E771" w:rsidR="00065BF8" w:rsidRPr="00065BF8" w:rsidRDefault="00065BF8" w:rsidP="00EA58A3">
      <w:pPr>
        <w:pStyle w:val="ListParagraph"/>
        <w:numPr>
          <w:ilvl w:val="1"/>
          <w:numId w:val="1"/>
        </w:numPr>
        <w:spacing w:line="22" w:lineRule="atLeast"/>
        <w:rPr>
          <w:rFonts w:ascii="Arial" w:hAnsi="Arial" w:cs="Arial"/>
        </w:rPr>
      </w:pPr>
      <w:r w:rsidRPr="00065BF8">
        <w:rPr>
          <w:rFonts w:ascii="Arial" w:hAnsi="Arial" w:cs="Arial"/>
        </w:rPr>
        <w:t>It is the role of the EPSRC to ensure that no commercially sensitive company information, or any company names, are included in any publication</w:t>
      </w:r>
      <w:r w:rsidR="00D8197A">
        <w:rPr>
          <w:rFonts w:ascii="Arial" w:hAnsi="Arial" w:cs="Arial"/>
        </w:rPr>
        <w:t xml:space="preserve"> issued by EPSRC</w:t>
      </w:r>
      <w:r w:rsidR="00E30F7E">
        <w:rPr>
          <w:rFonts w:ascii="Arial" w:hAnsi="Arial" w:cs="Arial"/>
        </w:rPr>
        <w:t xml:space="preserve"> without </w:t>
      </w:r>
      <w:r w:rsidR="00DD29A7">
        <w:rPr>
          <w:rFonts w:ascii="Arial" w:hAnsi="Arial" w:cs="Arial"/>
        </w:rPr>
        <w:t xml:space="preserve">prior </w:t>
      </w:r>
      <w:r w:rsidR="00E30F7E">
        <w:rPr>
          <w:rFonts w:ascii="Arial" w:hAnsi="Arial" w:cs="Arial"/>
        </w:rPr>
        <w:t xml:space="preserve">permission.  </w:t>
      </w:r>
    </w:p>
    <w:p w14:paraId="152EA79F" w14:textId="77777777" w:rsidR="00065BF8" w:rsidRPr="003A387C" w:rsidRDefault="00065BF8" w:rsidP="00EA58A3">
      <w:pPr>
        <w:spacing w:line="22" w:lineRule="atLeast"/>
        <w:rPr>
          <w:rFonts w:ascii="Arial" w:hAnsi="Arial" w:cs="Arial"/>
        </w:rPr>
      </w:pPr>
    </w:p>
    <w:p w14:paraId="0E121872" w14:textId="5AB55516" w:rsidR="001C2C40" w:rsidRPr="00D13B84" w:rsidRDefault="001C2C40" w:rsidP="00EA58A3">
      <w:pPr>
        <w:pStyle w:val="ListParagraph"/>
        <w:numPr>
          <w:ilvl w:val="0"/>
          <w:numId w:val="1"/>
        </w:numPr>
        <w:spacing w:line="22" w:lineRule="atLeast"/>
        <w:rPr>
          <w:rFonts w:ascii="Arial" w:hAnsi="Arial" w:cs="Arial"/>
          <w:b/>
          <w:bCs/>
          <w:sz w:val="24"/>
          <w:szCs w:val="24"/>
        </w:rPr>
      </w:pPr>
      <w:r w:rsidRPr="00D13B84">
        <w:rPr>
          <w:rFonts w:ascii="Arial" w:hAnsi="Arial" w:cs="Arial"/>
          <w:b/>
          <w:bCs/>
          <w:sz w:val="24"/>
          <w:szCs w:val="24"/>
        </w:rPr>
        <w:t>Internal Publishing Guidelines</w:t>
      </w:r>
    </w:p>
    <w:p w14:paraId="70F0AC37" w14:textId="77777777" w:rsidR="001C2C40" w:rsidRPr="00D4289A" w:rsidRDefault="001C2C40" w:rsidP="00EA58A3">
      <w:pPr>
        <w:pStyle w:val="ListParagraph"/>
        <w:spacing w:after="0" w:line="22" w:lineRule="atLeast"/>
        <w:rPr>
          <w:rFonts w:ascii="Arial" w:hAnsi="Arial" w:cs="Arial"/>
          <w:b/>
          <w:bCs/>
        </w:rPr>
      </w:pPr>
    </w:p>
    <w:p w14:paraId="1928A5A5" w14:textId="7EA8B3CF" w:rsidR="00D13B84" w:rsidRPr="001B5755" w:rsidRDefault="00D13B84" w:rsidP="00EA58A3">
      <w:pPr>
        <w:pStyle w:val="ListParagraph"/>
        <w:numPr>
          <w:ilvl w:val="1"/>
          <w:numId w:val="1"/>
        </w:numPr>
        <w:spacing w:line="22" w:lineRule="atLeast"/>
        <w:rPr>
          <w:rFonts w:ascii="Arial" w:hAnsi="Arial" w:cs="Arial"/>
        </w:rPr>
      </w:pPr>
      <w:r w:rsidRPr="00913FCA">
        <w:rPr>
          <w:rFonts w:ascii="Arial" w:hAnsi="Arial" w:cs="Arial"/>
          <w:b/>
          <w:bCs/>
        </w:rPr>
        <w:t>Authorized Access:</w:t>
      </w:r>
      <w:r w:rsidRPr="001B5755">
        <w:rPr>
          <w:rFonts w:ascii="Arial" w:hAnsi="Arial" w:cs="Arial"/>
        </w:rPr>
        <w:t xml:space="preserve"> </w:t>
      </w:r>
      <w:r w:rsidR="00C64F50" w:rsidRPr="00297CB7">
        <w:rPr>
          <w:rFonts w:ascii="Arial" w:hAnsi="Arial" w:cs="Arial"/>
        </w:rPr>
        <w:t>Location based impact dataset, Power BI and visual/dashboard backend and reports</w:t>
      </w:r>
      <w:r w:rsidR="00297CB7" w:rsidRPr="00297CB7">
        <w:rPr>
          <w:rFonts w:ascii="Arial" w:hAnsi="Arial" w:cs="Arial"/>
        </w:rPr>
        <w:t xml:space="preserve"> may</w:t>
      </w:r>
      <w:r w:rsidR="00297CB7" w:rsidRPr="001B5755">
        <w:rPr>
          <w:rFonts w:ascii="Arial" w:hAnsi="Arial" w:cs="Arial"/>
        </w:rPr>
        <w:t xml:space="preserve"> </w:t>
      </w:r>
      <w:r w:rsidRPr="00D13B84">
        <w:rPr>
          <w:rFonts w:ascii="Arial" w:hAnsi="Arial" w:cs="Arial"/>
        </w:rPr>
        <w:t xml:space="preserve">be accessed by authorized personnel within EPSRC </w:t>
      </w:r>
      <w:r w:rsidR="005C5F0C">
        <w:rPr>
          <w:rFonts w:ascii="Arial" w:hAnsi="Arial" w:cs="Arial"/>
        </w:rPr>
        <w:t xml:space="preserve">who </w:t>
      </w:r>
      <w:r w:rsidRPr="00D13B84">
        <w:rPr>
          <w:rFonts w:ascii="Arial" w:hAnsi="Arial" w:cs="Arial"/>
        </w:rPr>
        <w:t xml:space="preserve">require the information for their roles. </w:t>
      </w:r>
    </w:p>
    <w:p w14:paraId="2E093473" w14:textId="5A1B6EE3" w:rsidR="00D13B84" w:rsidRPr="001B5755" w:rsidRDefault="00D13B84" w:rsidP="00EA58A3">
      <w:pPr>
        <w:pStyle w:val="ListParagraph"/>
        <w:numPr>
          <w:ilvl w:val="1"/>
          <w:numId w:val="1"/>
        </w:numPr>
        <w:spacing w:line="22" w:lineRule="atLeast"/>
        <w:rPr>
          <w:rFonts w:ascii="Arial" w:hAnsi="Arial" w:cs="Arial"/>
        </w:rPr>
      </w:pPr>
      <w:r w:rsidRPr="00913FCA">
        <w:rPr>
          <w:rFonts w:ascii="Arial" w:hAnsi="Arial" w:cs="Arial"/>
          <w:b/>
          <w:bCs/>
        </w:rPr>
        <w:t>Data Confidentiality:</w:t>
      </w:r>
      <w:r w:rsidRPr="001B5755">
        <w:rPr>
          <w:rFonts w:ascii="Arial" w:hAnsi="Arial" w:cs="Arial"/>
        </w:rPr>
        <w:t xml:space="preserve"> </w:t>
      </w:r>
      <w:r w:rsidRPr="00D13B84">
        <w:rPr>
          <w:rFonts w:ascii="Arial" w:hAnsi="Arial" w:cs="Arial"/>
        </w:rPr>
        <w:t>Ensure the confidentiality of the data, particularly commercially sensitive data or personal data by restricting access to individuals with a legitimate need to know. Commercially sensitive data shall not be shared unless the commercial entity has been notified of the possibility of their data being shared in the manner set out in this policy. Personal Data (as defined in the UK Data Protection Laws) shall not be shared unless an appropriate data sharing agreement is in place. For the avoidance</w:t>
      </w:r>
      <w:r w:rsidR="00A310D4">
        <w:rPr>
          <w:rFonts w:ascii="Arial" w:hAnsi="Arial" w:cs="Arial"/>
        </w:rPr>
        <w:t xml:space="preserve"> of</w:t>
      </w:r>
      <w:r w:rsidRPr="00D13B84">
        <w:rPr>
          <w:rFonts w:ascii="Arial" w:hAnsi="Arial" w:cs="Arial"/>
        </w:rPr>
        <w:t xml:space="preserve"> doubt, sharing of business email addresses </w:t>
      </w:r>
      <w:proofErr w:type="gramStart"/>
      <w:r w:rsidRPr="00D13B84">
        <w:rPr>
          <w:rFonts w:ascii="Arial" w:hAnsi="Arial" w:cs="Arial"/>
        </w:rPr>
        <w:t>in the course of</w:t>
      </w:r>
      <w:proofErr w:type="gramEnd"/>
      <w:r w:rsidRPr="00D13B84">
        <w:rPr>
          <w:rFonts w:ascii="Arial" w:hAnsi="Arial" w:cs="Arial"/>
        </w:rPr>
        <w:t xml:space="preserve"> legitimate business activity is not considered to be a share of Personal Data. </w:t>
      </w:r>
    </w:p>
    <w:p w14:paraId="686617C7" w14:textId="628532F0" w:rsidR="00D13B84" w:rsidRPr="001B5755" w:rsidRDefault="00D13B84" w:rsidP="00EA58A3">
      <w:pPr>
        <w:pStyle w:val="ListParagraph"/>
        <w:numPr>
          <w:ilvl w:val="1"/>
          <w:numId w:val="1"/>
        </w:numPr>
        <w:spacing w:line="22" w:lineRule="atLeast"/>
        <w:rPr>
          <w:rFonts w:ascii="Arial" w:hAnsi="Arial" w:cs="Arial"/>
        </w:rPr>
      </w:pPr>
      <w:r w:rsidRPr="00913FCA">
        <w:rPr>
          <w:rFonts w:ascii="Arial" w:hAnsi="Arial" w:cs="Arial"/>
          <w:b/>
          <w:bCs/>
        </w:rPr>
        <w:t>Information Granularity:</w:t>
      </w:r>
      <w:r w:rsidRPr="001B5755">
        <w:rPr>
          <w:rFonts w:ascii="Arial" w:hAnsi="Arial" w:cs="Arial"/>
        </w:rPr>
        <w:t xml:space="preserve"> </w:t>
      </w:r>
      <w:r w:rsidR="00403818">
        <w:rPr>
          <w:rFonts w:ascii="Arial" w:hAnsi="Arial" w:cs="Arial"/>
        </w:rPr>
        <w:t xml:space="preserve">Analysis of the data shared may be published </w:t>
      </w:r>
      <w:r w:rsidRPr="00D13B84">
        <w:rPr>
          <w:rFonts w:ascii="Arial" w:hAnsi="Arial" w:cs="Arial"/>
        </w:rPr>
        <w:t>internally to identify impact hotspots within the UK,</w:t>
      </w:r>
      <w:r w:rsidR="00304F68">
        <w:rPr>
          <w:rFonts w:ascii="Arial" w:hAnsi="Arial" w:cs="Arial"/>
        </w:rPr>
        <w:t xml:space="preserve"> particularly the north-west,</w:t>
      </w:r>
      <w:r w:rsidRPr="00D13B84">
        <w:rPr>
          <w:rFonts w:ascii="Arial" w:hAnsi="Arial" w:cs="Arial"/>
        </w:rPr>
        <w:t xml:space="preserve"> for insights, and</w:t>
      </w:r>
      <w:r w:rsidR="0031792B">
        <w:rPr>
          <w:rFonts w:ascii="Arial" w:hAnsi="Arial" w:cs="Arial"/>
        </w:rPr>
        <w:t xml:space="preserve"> to assist with</w:t>
      </w:r>
      <w:r w:rsidRPr="00D13B84">
        <w:rPr>
          <w:rFonts w:ascii="Arial" w:hAnsi="Arial" w:cs="Arial"/>
        </w:rPr>
        <w:t xml:space="preserve"> evidence-based decision making.</w:t>
      </w:r>
    </w:p>
    <w:p w14:paraId="03AE4EF1" w14:textId="77777777" w:rsidR="001B5755" w:rsidRPr="001B5755" w:rsidRDefault="001B5755" w:rsidP="00EA58A3">
      <w:pPr>
        <w:pStyle w:val="ListParagraph"/>
        <w:spacing w:line="22" w:lineRule="atLeast"/>
        <w:ind w:left="360"/>
        <w:rPr>
          <w:rFonts w:ascii="Arial" w:hAnsi="Arial" w:cs="Arial"/>
          <w:i/>
          <w:iCs/>
        </w:rPr>
      </w:pPr>
    </w:p>
    <w:p w14:paraId="49AA668B" w14:textId="6964268B" w:rsidR="001C2C40" w:rsidRPr="001B5755" w:rsidRDefault="001C2C40" w:rsidP="00EA58A3">
      <w:pPr>
        <w:pStyle w:val="ListParagraph"/>
        <w:spacing w:line="22" w:lineRule="atLeast"/>
        <w:ind w:left="360"/>
        <w:rPr>
          <w:rFonts w:ascii="Arial" w:hAnsi="Arial" w:cs="Arial"/>
          <w:i/>
          <w:iCs/>
        </w:rPr>
      </w:pPr>
      <w:r w:rsidRPr="001B5755">
        <w:rPr>
          <w:rFonts w:ascii="Arial" w:hAnsi="Arial" w:cs="Arial"/>
          <w:i/>
          <w:iCs/>
        </w:rPr>
        <w:t>NB: The term ‘Data Protection Laws’ in this Policy shall mean the UK GDPR and the Data Protection Act 2018. The UK Data Protection Laws define personal data as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This information is often referred to as person identifying information (‘PII’) by the University and for the purposes of this Policy should be considered to have the same meaning as ‘personal data’ as defined by the legislation.</w:t>
      </w:r>
    </w:p>
    <w:p w14:paraId="00413C43" w14:textId="77777777" w:rsidR="001B5755" w:rsidRPr="001B5755" w:rsidRDefault="001B5755" w:rsidP="00EA58A3">
      <w:pPr>
        <w:pStyle w:val="ListParagraph"/>
        <w:spacing w:line="22" w:lineRule="atLeast"/>
        <w:ind w:left="360"/>
        <w:rPr>
          <w:rFonts w:ascii="Arial" w:hAnsi="Arial" w:cs="Arial"/>
          <w:i/>
          <w:iCs/>
        </w:rPr>
      </w:pPr>
    </w:p>
    <w:p w14:paraId="7BD23AD3" w14:textId="38EE778E" w:rsidR="00A410E3" w:rsidRDefault="002C2B15" w:rsidP="00A410E3">
      <w:pPr>
        <w:pStyle w:val="ListParagraph"/>
        <w:numPr>
          <w:ilvl w:val="1"/>
          <w:numId w:val="1"/>
        </w:numPr>
        <w:spacing w:line="22" w:lineRule="atLeast"/>
        <w:rPr>
          <w:rFonts w:ascii="Arial" w:hAnsi="Arial" w:cs="Arial"/>
        </w:rPr>
      </w:pPr>
      <w:r w:rsidRPr="002C2B15">
        <w:rPr>
          <w:rFonts w:ascii="Arial" w:hAnsi="Arial" w:cs="Arial"/>
          <w:b/>
          <w:bCs/>
        </w:rPr>
        <w:t>Data Ownership:</w:t>
      </w:r>
      <w:r w:rsidRPr="002C2B15">
        <w:rPr>
          <w:rFonts w:ascii="Arial" w:hAnsi="Arial" w:cs="Arial"/>
        </w:rPr>
        <w:t xml:space="preserve"> Clearly define data ownership responsibilities to ensure accountability and proper handling. </w:t>
      </w:r>
    </w:p>
    <w:p w14:paraId="1134D6A3" w14:textId="77777777" w:rsidR="00A410E3" w:rsidRDefault="00A410E3" w:rsidP="00A410E3">
      <w:pPr>
        <w:pStyle w:val="ListParagraph"/>
        <w:spacing w:line="22" w:lineRule="atLeast"/>
        <w:ind w:left="360"/>
        <w:rPr>
          <w:rFonts w:ascii="Arial" w:hAnsi="Arial" w:cs="Arial"/>
          <w:b/>
          <w:bCs/>
        </w:rPr>
      </w:pPr>
    </w:p>
    <w:p w14:paraId="279C0C75" w14:textId="77777777" w:rsidR="00A410E3" w:rsidRDefault="00A410E3" w:rsidP="00A410E3">
      <w:pPr>
        <w:pStyle w:val="ListParagraph"/>
        <w:spacing w:line="22" w:lineRule="atLeast"/>
        <w:ind w:left="360"/>
        <w:rPr>
          <w:rFonts w:ascii="Arial" w:hAnsi="Arial" w:cs="Arial"/>
          <w:b/>
          <w:bCs/>
        </w:rPr>
      </w:pPr>
    </w:p>
    <w:p w14:paraId="3A2DC659" w14:textId="77777777" w:rsidR="00A410E3" w:rsidRDefault="00A410E3" w:rsidP="00A410E3">
      <w:pPr>
        <w:pStyle w:val="ListParagraph"/>
        <w:spacing w:line="22" w:lineRule="atLeast"/>
        <w:ind w:left="360"/>
        <w:rPr>
          <w:rFonts w:ascii="Arial" w:hAnsi="Arial" w:cs="Arial"/>
          <w:b/>
          <w:bCs/>
        </w:rPr>
      </w:pPr>
    </w:p>
    <w:p w14:paraId="0956D55A" w14:textId="77777777" w:rsidR="00A410E3" w:rsidRDefault="00A410E3" w:rsidP="00A410E3">
      <w:pPr>
        <w:pStyle w:val="ListParagraph"/>
        <w:spacing w:line="22" w:lineRule="atLeast"/>
        <w:ind w:left="360"/>
        <w:rPr>
          <w:rFonts w:ascii="Arial" w:hAnsi="Arial" w:cs="Arial"/>
          <w:b/>
          <w:bCs/>
        </w:rPr>
      </w:pPr>
    </w:p>
    <w:p w14:paraId="3081698A" w14:textId="77777777" w:rsidR="00A410E3" w:rsidRPr="00A410E3" w:rsidRDefault="00A410E3" w:rsidP="00A410E3">
      <w:pPr>
        <w:pStyle w:val="ListParagraph"/>
        <w:spacing w:line="22" w:lineRule="atLeast"/>
        <w:ind w:left="360"/>
        <w:rPr>
          <w:rFonts w:ascii="Arial" w:hAnsi="Arial" w:cs="Arial"/>
        </w:rPr>
      </w:pPr>
    </w:p>
    <w:p w14:paraId="41A5F21A" w14:textId="7A8DE073" w:rsidR="002C2B15" w:rsidRDefault="002C2B15" w:rsidP="00EA58A3">
      <w:pPr>
        <w:pStyle w:val="ListParagraph"/>
        <w:numPr>
          <w:ilvl w:val="1"/>
          <w:numId w:val="1"/>
        </w:numPr>
        <w:spacing w:line="22" w:lineRule="atLeast"/>
        <w:rPr>
          <w:rFonts w:ascii="Arial" w:hAnsi="Arial" w:cs="Arial"/>
        </w:rPr>
      </w:pPr>
      <w:r w:rsidRPr="002C2B15">
        <w:rPr>
          <w:rFonts w:ascii="Arial" w:hAnsi="Arial" w:cs="Arial"/>
          <w:b/>
          <w:bCs/>
        </w:rPr>
        <w:t>Internal Collaboration:</w:t>
      </w:r>
      <w:r w:rsidRPr="002C2B15">
        <w:rPr>
          <w:rFonts w:ascii="Arial" w:hAnsi="Arial" w:cs="Arial"/>
        </w:rPr>
        <w:t xml:space="preserve"> Internal collaboration should be encouraged by sharing </w:t>
      </w:r>
      <w:r w:rsidR="001679D8">
        <w:rPr>
          <w:rFonts w:ascii="Arial" w:hAnsi="Arial" w:cs="Arial"/>
        </w:rPr>
        <w:t xml:space="preserve">results of </w:t>
      </w:r>
      <w:r w:rsidR="00553647">
        <w:rPr>
          <w:rFonts w:ascii="Arial" w:hAnsi="Arial" w:cs="Arial"/>
        </w:rPr>
        <w:t>analysis</w:t>
      </w:r>
      <w:r w:rsidRPr="002C2B15">
        <w:rPr>
          <w:rFonts w:ascii="Arial" w:hAnsi="Arial" w:cs="Arial"/>
        </w:rPr>
        <w:t xml:space="preserve"> within relevant </w:t>
      </w:r>
      <w:r w:rsidR="000376AE">
        <w:rPr>
          <w:rFonts w:ascii="Arial" w:hAnsi="Arial" w:cs="Arial"/>
        </w:rPr>
        <w:t>partner universities</w:t>
      </w:r>
      <w:r w:rsidRPr="002C2B15">
        <w:rPr>
          <w:rFonts w:ascii="Arial" w:hAnsi="Arial" w:cs="Arial"/>
        </w:rPr>
        <w:t xml:space="preserve"> while adhering to data protection guidelines and the Data Protection Laws. </w:t>
      </w:r>
    </w:p>
    <w:p w14:paraId="6976FEAC" w14:textId="77777777" w:rsidR="002C2B15" w:rsidRPr="003A387C" w:rsidRDefault="002C2B15" w:rsidP="00480900">
      <w:pPr>
        <w:spacing w:line="22" w:lineRule="atLeast"/>
        <w:rPr>
          <w:rFonts w:ascii="Arial" w:hAnsi="Arial" w:cs="Arial"/>
        </w:rPr>
      </w:pPr>
    </w:p>
    <w:p w14:paraId="1FE823E2" w14:textId="027448EE" w:rsidR="00C337A6" w:rsidRPr="00DD74D3" w:rsidRDefault="00C337A6" w:rsidP="00DD74D3">
      <w:pPr>
        <w:pStyle w:val="ListParagraph"/>
        <w:numPr>
          <w:ilvl w:val="0"/>
          <w:numId w:val="1"/>
        </w:numPr>
        <w:spacing w:line="22" w:lineRule="atLeast"/>
        <w:rPr>
          <w:rFonts w:ascii="Arial" w:hAnsi="Arial" w:cs="Arial"/>
          <w:b/>
          <w:bCs/>
          <w:sz w:val="24"/>
          <w:szCs w:val="24"/>
        </w:rPr>
      </w:pPr>
      <w:r w:rsidRPr="00DD74D3">
        <w:rPr>
          <w:rFonts w:ascii="Arial" w:hAnsi="Arial" w:cs="Arial"/>
          <w:b/>
          <w:bCs/>
          <w:sz w:val="24"/>
          <w:szCs w:val="24"/>
        </w:rPr>
        <w:t>External Publishing Guideline</w:t>
      </w:r>
      <w:r w:rsidR="00DD74D3" w:rsidRPr="00DD74D3">
        <w:rPr>
          <w:rFonts w:ascii="Arial" w:hAnsi="Arial" w:cs="Arial"/>
          <w:b/>
          <w:bCs/>
          <w:sz w:val="24"/>
          <w:szCs w:val="24"/>
        </w:rPr>
        <w:t>s</w:t>
      </w:r>
    </w:p>
    <w:p w14:paraId="7BEAA39E" w14:textId="1BBD8D7F" w:rsidR="00116F3D" w:rsidRDefault="00116F3D" w:rsidP="00480900">
      <w:pPr>
        <w:spacing w:line="22" w:lineRule="atLeast"/>
        <w:ind w:left="357" w:hanging="357"/>
        <w:rPr>
          <w:rFonts w:ascii="Arial" w:hAnsi="Arial" w:cs="Arial"/>
        </w:rPr>
      </w:pPr>
      <w:r w:rsidRPr="00EA58A3">
        <w:rPr>
          <w:rFonts w:ascii="Arial" w:hAnsi="Arial" w:cs="Arial"/>
        </w:rPr>
        <w:t>5.1</w:t>
      </w:r>
      <w:r>
        <w:rPr>
          <w:rFonts w:ascii="Arial" w:hAnsi="Arial" w:cs="Arial"/>
          <w:b/>
          <w:bCs/>
        </w:rPr>
        <w:t xml:space="preserve"> </w:t>
      </w:r>
      <w:r w:rsidR="00C337A6" w:rsidRPr="00C337A6">
        <w:rPr>
          <w:rFonts w:ascii="Arial" w:hAnsi="Arial" w:cs="Arial"/>
          <w:b/>
          <w:bCs/>
        </w:rPr>
        <w:t xml:space="preserve">Approval Process: </w:t>
      </w:r>
      <w:r w:rsidR="00C337A6" w:rsidRPr="00C337A6">
        <w:rPr>
          <w:rFonts w:ascii="Arial" w:hAnsi="Arial" w:cs="Arial"/>
        </w:rPr>
        <w:t xml:space="preserve">Approval from designated authorities should be explicitly obtained before publishing any visual results externally. Designated authorities in this context refers to the </w:t>
      </w:r>
      <w:r w:rsidR="007F6EF3">
        <w:rPr>
          <w:rFonts w:ascii="Arial" w:hAnsi="Arial" w:cs="Arial"/>
        </w:rPr>
        <w:t>IBIC management team</w:t>
      </w:r>
      <w:r w:rsidR="007B147C">
        <w:rPr>
          <w:rFonts w:ascii="Arial" w:hAnsi="Arial" w:cs="Arial"/>
        </w:rPr>
        <w:t xml:space="preserve">.  </w:t>
      </w:r>
    </w:p>
    <w:p w14:paraId="77928C8A" w14:textId="77777777" w:rsidR="00EA58A3" w:rsidRDefault="00C337A6" w:rsidP="00480900">
      <w:pPr>
        <w:spacing w:line="22" w:lineRule="atLeast"/>
        <w:ind w:left="357" w:hanging="357"/>
        <w:rPr>
          <w:rFonts w:ascii="Arial" w:hAnsi="Arial" w:cs="Arial"/>
        </w:rPr>
      </w:pPr>
      <w:r w:rsidRPr="00C337A6">
        <w:rPr>
          <w:rFonts w:ascii="Arial" w:hAnsi="Arial" w:cs="Arial"/>
        </w:rPr>
        <w:t>5.2</w:t>
      </w:r>
      <w:r w:rsidRPr="00C337A6">
        <w:rPr>
          <w:rFonts w:ascii="Arial" w:hAnsi="Arial" w:cs="Arial"/>
          <w:b/>
          <w:bCs/>
        </w:rPr>
        <w:t xml:space="preserve"> Data Anonymization: </w:t>
      </w:r>
      <w:r w:rsidRPr="00C337A6">
        <w:rPr>
          <w:rFonts w:ascii="Arial" w:hAnsi="Arial" w:cs="Arial"/>
        </w:rPr>
        <w:t>Prior to external publication, ensure that personal data and commercially sensitive business data is fully anonymized or removed to prevent identification. No business or company names shall be published externally without explicit consent of such company.</w:t>
      </w:r>
      <w:r w:rsidR="00116F3D">
        <w:rPr>
          <w:rFonts w:ascii="Arial" w:hAnsi="Arial" w:cs="Arial"/>
        </w:rPr>
        <w:t xml:space="preserve"> </w:t>
      </w:r>
    </w:p>
    <w:p w14:paraId="5DFCE81F" w14:textId="77777777" w:rsidR="00EA58A3" w:rsidRDefault="00C337A6" w:rsidP="00480900">
      <w:pPr>
        <w:spacing w:line="22" w:lineRule="atLeast"/>
        <w:ind w:left="357" w:hanging="357"/>
        <w:rPr>
          <w:rFonts w:ascii="Arial" w:hAnsi="Arial" w:cs="Arial"/>
        </w:rPr>
      </w:pPr>
      <w:r w:rsidRPr="00C337A6">
        <w:rPr>
          <w:rFonts w:ascii="Arial" w:hAnsi="Arial" w:cs="Arial"/>
        </w:rPr>
        <w:t>5.3</w:t>
      </w:r>
      <w:r w:rsidRPr="00C337A6">
        <w:rPr>
          <w:rFonts w:ascii="Arial" w:hAnsi="Arial" w:cs="Arial"/>
          <w:b/>
          <w:bCs/>
        </w:rPr>
        <w:t xml:space="preserve"> Compliance with Regulations</w:t>
      </w:r>
      <w:r w:rsidRPr="00C337A6">
        <w:rPr>
          <w:rFonts w:ascii="Arial" w:hAnsi="Arial" w:cs="Arial"/>
        </w:rPr>
        <w:t xml:space="preserve">: Adhere to all relevant Data Protection Laws and any data protection regulations, ensuring that the publication complies with GDPR and other applicable ethical guidelines governing data usage. </w:t>
      </w:r>
    </w:p>
    <w:p w14:paraId="6F6DF494" w14:textId="77777777" w:rsidR="00EA58A3" w:rsidRDefault="00F752B6" w:rsidP="00480900">
      <w:pPr>
        <w:spacing w:line="22" w:lineRule="atLeast"/>
        <w:ind w:left="357" w:hanging="357"/>
        <w:rPr>
          <w:rFonts w:ascii="Arial" w:hAnsi="Arial" w:cs="Arial"/>
        </w:rPr>
      </w:pPr>
      <w:r w:rsidRPr="00EA58A3">
        <w:rPr>
          <w:rFonts w:ascii="Arial" w:hAnsi="Arial" w:cs="Arial"/>
        </w:rPr>
        <w:t>5.4</w:t>
      </w:r>
      <w:r w:rsidRPr="00F752B6">
        <w:rPr>
          <w:rFonts w:ascii="Arial" w:hAnsi="Arial" w:cs="Arial"/>
          <w:b/>
          <w:bCs/>
        </w:rPr>
        <w:t xml:space="preserve"> Data Transparency:</w:t>
      </w:r>
      <w:r>
        <w:rPr>
          <w:rFonts w:ascii="Arial" w:hAnsi="Arial" w:cs="Arial"/>
        </w:rPr>
        <w:t xml:space="preserve"> </w:t>
      </w:r>
      <w:r w:rsidR="008D7D8C" w:rsidRPr="00A52074">
        <w:rPr>
          <w:rFonts w:ascii="Arial" w:hAnsi="Arial" w:cs="Arial"/>
        </w:rPr>
        <w:t xml:space="preserve">The objective, methodology, assumptions, data sources, and any limitations associated with the data analysis should be clearly communicated to maintain transparency. </w:t>
      </w:r>
    </w:p>
    <w:p w14:paraId="4C15BD35" w14:textId="77777777" w:rsidR="00EA58A3" w:rsidRDefault="008D7D8C" w:rsidP="00480900">
      <w:pPr>
        <w:spacing w:line="22" w:lineRule="atLeast"/>
        <w:ind w:left="357" w:hanging="357"/>
        <w:rPr>
          <w:rFonts w:ascii="Arial" w:hAnsi="Arial" w:cs="Arial"/>
        </w:rPr>
      </w:pPr>
      <w:r w:rsidRPr="00EA58A3">
        <w:rPr>
          <w:rFonts w:ascii="Arial" w:hAnsi="Arial" w:cs="Arial"/>
        </w:rPr>
        <w:t>5.5</w:t>
      </w:r>
      <w:r w:rsidRPr="00F752B6">
        <w:rPr>
          <w:rFonts w:ascii="Arial" w:hAnsi="Arial" w:cs="Arial"/>
          <w:b/>
          <w:bCs/>
        </w:rPr>
        <w:t xml:space="preserve"> Stakeholder Communication:</w:t>
      </w:r>
      <w:r w:rsidRPr="00A52074">
        <w:rPr>
          <w:rFonts w:ascii="Arial" w:hAnsi="Arial" w:cs="Arial"/>
        </w:rPr>
        <w:t xml:space="preserve"> All relevant stakeholders should be informed about the planned external publication and feedback gathered when necessary. </w:t>
      </w:r>
    </w:p>
    <w:p w14:paraId="17019D60" w14:textId="41D97854" w:rsidR="00EA58A3" w:rsidRDefault="008D7D8C" w:rsidP="00480900">
      <w:pPr>
        <w:spacing w:line="22" w:lineRule="atLeast"/>
        <w:ind w:left="357" w:hanging="357"/>
        <w:rPr>
          <w:rFonts w:ascii="Arial" w:hAnsi="Arial" w:cs="Arial"/>
        </w:rPr>
      </w:pPr>
      <w:r w:rsidRPr="00EA58A3">
        <w:rPr>
          <w:rFonts w:ascii="Arial" w:hAnsi="Arial" w:cs="Arial"/>
        </w:rPr>
        <w:t>5.6</w:t>
      </w:r>
      <w:r w:rsidRPr="00F752B6">
        <w:rPr>
          <w:rFonts w:ascii="Arial" w:hAnsi="Arial" w:cs="Arial"/>
          <w:b/>
          <w:bCs/>
        </w:rPr>
        <w:t xml:space="preserve"> Publishing Medium:</w:t>
      </w:r>
      <w:r w:rsidRPr="00A52074">
        <w:rPr>
          <w:rFonts w:ascii="Arial" w:hAnsi="Arial" w:cs="Arial"/>
        </w:rPr>
        <w:t xml:space="preserve"> Following the approval from designated authorities, the results </w:t>
      </w:r>
      <w:r w:rsidR="00A5089F">
        <w:rPr>
          <w:rFonts w:ascii="Arial" w:hAnsi="Arial" w:cs="Arial"/>
        </w:rPr>
        <w:t xml:space="preserve">of analysis </w:t>
      </w:r>
      <w:r w:rsidRPr="00A52074">
        <w:rPr>
          <w:rFonts w:ascii="Arial" w:hAnsi="Arial" w:cs="Arial"/>
        </w:rPr>
        <w:t xml:space="preserve">may be published or made accessible to the public through official channels such as </w:t>
      </w:r>
      <w:r w:rsidR="00231EC5">
        <w:rPr>
          <w:rFonts w:ascii="Arial" w:hAnsi="Arial" w:cs="Arial"/>
        </w:rPr>
        <w:t>the IBIC</w:t>
      </w:r>
      <w:r w:rsidRPr="00A52074">
        <w:rPr>
          <w:rFonts w:ascii="Arial" w:hAnsi="Arial" w:cs="Arial"/>
        </w:rPr>
        <w:t xml:space="preserve"> or </w:t>
      </w:r>
      <w:r w:rsidR="00C2293E">
        <w:rPr>
          <w:rFonts w:ascii="Arial" w:hAnsi="Arial" w:cs="Arial"/>
        </w:rPr>
        <w:t xml:space="preserve">other </w:t>
      </w:r>
      <w:r w:rsidRPr="00A52074">
        <w:rPr>
          <w:rFonts w:ascii="Arial" w:hAnsi="Arial" w:cs="Arial"/>
        </w:rPr>
        <w:t>websites, ensuring that information is presented in user-friendly formats.</w:t>
      </w:r>
    </w:p>
    <w:p w14:paraId="4086C290" w14:textId="77777777" w:rsidR="008D7D8C" w:rsidRPr="008D7D8C" w:rsidRDefault="008D7D8C" w:rsidP="00EA58A3">
      <w:pPr>
        <w:spacing w:line="22" w:lineRule="atLeast"/>
        <w:rPr>
          <w:rFonts w:ascii="Arial" w:hAnsi="Arial" w:cs="Arial"/>
        </w:rPr>
      </w:pPr>
    </w:p>
    <w:p w14:paraId="67C46394" w14:textId="09AEF938" w:rsidR="008D7D8C" w:rsidRPr="005B10FC" w:rsidRDefault="008D7D8C" w:rsidP="005B10FC">
      <w:pPr>
        <w:pStyle w:val="ListParagraph"/>
        <w:numPr>
          <w:ilvl w:val="0"/>
          <w:numId w:val="1"/>
        </w:numPr>
        <w:spacing w:line="22" w:lineRule="atLeast"/>
        <w:rPr>
          <w:rFonts w:ascii="Arial" w:hAnsi="Arial" w:cs="Arial"/>
          <w:b/>
          <w:bCs/>
          <w:sz w:val="24"/>
          <w:szCs w:val="24"/>
        </w:rPr>
      </w:pPr>
      <w:r w:rsidRPr="005B10FC">
        <w:rPr>
          <w:rFonts w:ascii="Arial" w:hAnsi="Arial" w:cs="Arial"/>
          <w:b/>
          <w:bCs/>
          <w:sz w:val="24"/>
          <w:szCs w:val="24"/>
        </w:rPr>
        <w:t xml:space="preserve">Data Security and Privacy </w:t>
      </w:r>
    </w:p>
    <w:p w14:paraId="53BC1E78" w14:textId="5FB6E142" w:rsidR="008D7D8C" w:rsidRPr="008D7D8C" w:rsidRDefault="008D7D8C" w:rsidP="00EA58A3">
      <w:pPr>
        <w:spacing w:line="22" w:lineRule="atLeast"/>
        <w:rPr>
          <w:rFonts w:ascii="Arial" w:hAnsi="Arial" w:cs="Arial"/>
        </w:rPr>
      </w:pPr>
      <w:r w:rsidRPr="008D7D8C">
        <w:rPr>
          <w:rFonts w:ascii="Arial" w:hAnsi="Arial" w:cs="Arial"/>
        </w:rPr>
        <w:t xml:space="preserve">6.1 Encryption: Secure methods, including encryption, should be utilized when transmitting or sharing </w:t>
      </w:r>
      <w:r w:rsidR="00926697">
        <w:rPr>
          <w:rFonts w:ascii="Arial" w:hAnsi="Arial" w:cs="Arial"/>
        </w:rPr>
        <w:t>data</w:t>
      </w:r>
      <w:r w:rsidRPr="008D7D8C">
        <w:rPr>
          <w:rFonts w:ascii="Arial" w:hAnsi="Arial" w:cs="Arial"/>
        </w:rPr>
        <w:t xml:space="preserve"> internally or externally. </w:t>
      </w:r>
    </w:p>
    <w:p w14:paraId="72E9B2BD" w14:textId="77777777" w:rsidR="008D7D8C" w:rsidRPr="008D7D8C" w:rsidRDefault="008D7D8C" w:rsidP="00EA58A3">
      <w:pPr>
        <w:spacing w:line="22" w:lineRule="atLeast"/>
        <w:rPr>
          <w:rFonts w:ascii="Arial" w:hAnsi="Arial" w:cs="Arial"/>
        </w:rPr>
      </w:pPr>
      <w:r w:rsidRPr="008D7D8C">
        <w:rPr>
          <w:rFonts w:ascii="Arial" w:hAnsi="Arial" w:cs="Arial"/>
        </w:rPr>
        <w:t xml:space="preserve">6.2 Access Controls: Access controls should be implemented to prevent unauthorized individuals from accessing or altering the published visual results. </w:t>
      </w:r>
    </w:p>
    <w:p w14:paraId="0A7AF200" w14:textId="77777777" w:rsidR="008D7D8C" w:rsidRPr="008D7D8C" w:rsidRDefault="008D7D8C" w:rsidP="00EA58A3">
      <w:pPr>
        <w:spacing w:line="22" w:lineRule="atLeast"/>
        <w:rPr>
          <w:rFonts w:ascii="Arial" w:hAnsi="Arial" w:cs="Arial"/>
        </w:rPr>
      </w:pPr>
      <w:r w:rsidRPr="008D7D8C">
        <w:rPr>
          <w:rFonts w:ascii="Arial" w:hAnsi="Arial" w:cs="Arial"/>
        </w:rPr>
        <w:t xml:space="preserve">6.3 Data Retention: The retention period for published results should be defined while ensuring adherence to data retention guidelines. </w:t>
      </w:r>
    </w:p>
    <w:p w14:paraId="29A2AEDC" w14:textId="77777777" w:rsidR="008D7D8C" w:rsidRPr="008D7D8C" w:rsidRDefault="008D7D8C" w:rsidP="00EA58A3">
      <w:pPr>
        <w:spacing w:line="22" w:lineRule="atLeast"/>
        <w:rPr>
          <w:rFonts w:ascii="Arial" w:hAnsi="Arial" w:cs="Arial"/>
        </w:rPr>
      </w:pPr>
    </w:p>
    <w:p w14:paraId="3B511B3A" w14:textId="7D26AA60" w:rsidR="008D7D8C" w:rsidRPr="005B10FC" w:rsidRDefault="008D7D8C" w:rsidP="005B10FC">
      <w:pPr>
        <w:pStyle w:val="ListParagraph"/>
        <w:numPr>
          <w:ilvl w:val="0"/>
          <w:numId w:val="1"/>
        </w:numPr>
        <w:spacing w:line="22" w:lineRule="atLeast"/>
        <w:rPr>
          <w:rFonts w:ascii="Arial" w:hAnsi="Arial" w:cs="Arial"/>
          <w:b/>
          <w:bCs/>
          <w:sz w:val="24"/>
          <w:szCs w:val="24"/>
        </w:rPr>
      </w:pPr>
      <w:r w:rsidRPr="005B10FC">
        <w:rPr>
          <w:rFonts w:ascii="Arial" w:hAnsi="Arial" w:cs="Arial"/>
          <w:b/>
          <w:bCs/>
          <w:sz w:val="24"/>
          <w:szCs w:val="24"/>
        </w:rPr>
        <w:t>Timeliness and Frequency</w:t>
      </w:r>
    </w:p>
    <w:p w14:paraId="649B3A4B" w14:textId="58BE0507" w:rsidR="008D7D8C" w:rsidRPr="008D7D8C" w:rsidRDefault="008D7D8C" w:rsidP="00EA58A3">
      <w:pPr>
        <w:spacing w:line="22" w:lineRule="atLeast"/>
        <w:rPr>
          <w:rFonts w:ascii="Arial" w:hAnsi="Arial" w:cs="Arial"/>
        </w:rPr>
      </w:pPr>
      <w:r w:rsidRPr="008D7D8C">
        <w:rPr>
          <w:rFonts w:ascii="Arial" w:hAnsi="Arial" w:cs="Arial"/>
        </w:rPr>
        <w:t xml:space="preserve">7.1 Aim to publish </w:t>
      </w:r>
      <w:r w:rsidR="00997E1C">
        <w:rPr>
          <w:rFonts w:ascii="Arial" w:hAnsi="Arial" w:cs="Arial"/>
        </w:rPr>
        <w:t>the</w:t>
      </w:r>
      <w:r w:rsidRPr="008D7D8C">
        <w:rPr>
          <w:rFonts w:ascii="Arial" w:hAnsi="Arial" w:cs="Arial"/>
        </w:rPr>
        <w:t xml:space="preserve"> results </w:t>
      </w:r>
      <w:r w:rsidR="00997E1C">
        <w:rPr>
          <w:rFonts w:ascii="Arial" w:hAnsi="Arial" w:cs="Arial"/>
        </w:rPr>
        <w:t xml:space="preserve">of </w:t>
      </w:r>
      <w:r w:rsidR="00553647">
        <w:rPr>
          <w:rFonts w:ascii="Arial" w:hAnsi="Arial" w:cs="Arial"/>
        </w:rPr>
        <w:t>analysis</w:t>
      </w:r>
      <w:r w:rsidR="00997E1C">
        <w:rPr>
          <w:rFonts w:ascii="Arial" w:hAnsi="Arial" w:cs="Arial"/>
        </w:rPr>
        <w:t xml:space="preserve"> </w:t>
      </w:r>
      <w:r w:rsidRPr="008D7D8C">
        <w:rPr>
          <w:rFonts w:ascii="Arial" w:hAnsi="Arial" w:cs="Arial"/>
        </w:rPr>
        <w:t xml:space="preserve">in a timely manner to maximize their relevance and impact. </w:t>
      </w:r>
    </w:p>
    <w:p w14:paraId="697622E7" w14:textId="05EA7354" w:rsidR="008D7D8C" w:rsidRPr="008D7D8C" w:rsidRDefault="008D7D8C" w:rsidP="00EA58A3">
      <w:pPr>
        <w:spacing w:line="22" w:lineRule="atLeast"/>
        <w:rPr>
          <w:rFonts w:ascii="Arial" w:hAnsi="Arial" w:cs="Arial"/>
        </w:rPr>
      </w:pPr>
      <w:r w:rsidRPr="008D7D8C">
        <w:rPr>
          <w:rFonts w:ascii="Arial" w:hAnsi="Arial" w:cs="Arial"/>
        </w:rPr>
        <w:t xml:space="preserve">7.2 Frequency: The frequency of the location-based data generation, assessment and publishing will be </w:t>
      </w:r>
      <w:r w:rsidR="0079075C">
        <w:rPr>
          <w:rFonts w:ascii="Arial" w:hAnsi="Arial" w:cs="Arial"/>
        </w:rPr>
        <w:t>determined by EPSRC, based on their financial</w:t>
      </w:r>
      <w:r w:rsidRPr="008D7D8C">
        <w:rPr>
          <w:rFonts w:ascii="Arial" w:hAnsi="Arial" w:cs="Arial"/>
        </w:rPr>
        <w:t xml:space="preserve"> year (01 April to 31 March). </w:t>
      </w:r>
    </w:p>
    <w:p w14:paraId="7425F93E" w14:textId="77777777" w:rsidR="008D7D8C" w:rsidRPr="008D7D8C" w:rsidRDefault="008D7D8C" w:rsidP="00EA58A3">
      <w:pPr>
        <w:spacing w:line="22" w:lineRule="atLeast"/>
        <w:rPr>
          <w:rFonts w:ascii="Arial" w:hAnsi="Arial" w:cs="Arial"/>
        </w:rPr>
      </w:pPr>
      <w:r w:rsidRPr="008D7D8C">
        <w:rPr>
          <w:rFonts w:ascii="Arial" w:hAnsi="Arial" w:cs="Arial"/>
        </w:rPr>
        <w:t xml:space="preserve">7.4 All relevant personnel should be made aware of the frequency of updates to ensure timely execution of the assessment process. </w:t>
      </w:r>
    </w:p>
    <w:p w14:paraId="401474A6" w14:textId="77777777" w:rsidR="008D7D8C" w:rsidRPr="00AC1188" w:rsidRDefault="008D7D8C" w:rsidP="00EA58A3">
      <w:pPr>
        <w:spacing w:line="22" w:lineRule="atLeast"/>
        <w:rPr>
          <w:rFonts w:ascii="Arial" w:hAnsi="Arial" w:cs="Arial"/>
          <w:b/>
          <w:bCs/>
        </w:rPr>
      </w:pPr>
    </w:p>
    <w:p w14:paraId="2B4B8E79" w14:textId="13B36D13" w:rsidR="008D7D8C" w:rsidRDefault="008D7D8C" w:rsidP="005B10FC">
      <w:pPr>
        <w:pStyle w:val="ListParagraph"/>
        <w:numPr>
          <w:ilvl w:val="0"/>
          <w:numId w:val="1"/>
        </w:numPr>
        <w:spacing w:line="22" w:lineRule="atLeast"/>
        <w:rPr>
          <w:rFonts w:ascii="Arial" w:hAnsi="Arial" w:cs="Arial"/>
        </w:rPr>
      </w:pPr>
      <w:r w:rsidRPr="00AC1188">
        <w:rPr>
          <w:rFonts w:ascii="Arial" w:hAnsi="Arial" w:cs="Arial"/>
          <w:b/>
          <w:bCs/>
          <w:sz w:val="24"/>
          <w:szCs w:val="24"/>
        </w:rPr>
        <w:t>Monitoring</w:t>
      </w:r>
      <w:r w:rsidRPr="005B10FC">
        <w:rPr>
          <w:rFonts w:ascii="Arial" w:hAnsi="Arial" w:cs="Arial"/>
          <w:b/>
          <w:bCs/>
          <w:sz w:val="24"/>
          <w:szCs w:val="24"/>
        </w:rPr>
        <w:t xml:space="preserve"> and Compliance</w:t>
      </w:r>
      <w:r w:rsidRPr="005B10FC">
        <w:rPr>
          <w:rFonts w:ascii="Arial" w:hAnsi="Arial" w:cs="Arial"/>
        </w:rPr>
        <w:t xml:space="preserve"> </w:t>
      </w:r>
    </w:p>
    <w:p w14:paraId="5248B0F3" w14:textId="77777777" w:rsidR="005B10FC" w:rsidRPr="005B10FC" w:rsidRDefault="005B10FC" w:rsidP="005B10FC">
      <w:pPr>
        <w:pStyle w:val="ListParagraph"/>
        <w:spacing w:line="22" w:lineRule="atLeast"/>
        <w:ind w:left="360"/>
        <w:rPr>
          <w:rFonts w:ascii="Arial" w:hAnsi="Arial" w:cs="Arial"/>
        </w:rPr>
      </w:pPr>
    </w:p>
    <w:p w14:paraId="6BCBDF31" w14:textId="4CF19F9E" w:rsidR="008D7D8C" w:rsidRPr="005B10FC" w:rsidRDefault="008D7D8C" w:rsidP="005B10FC">
      <w:pPr>
        <w:pStyle w:val="ListParagraph"/>
        <w:numPr>
          <w:ilvl w:val="1"/>
          <w:numId w:val="1"/>
        </w:numPr>
        <w:spacing w:line="22" w:lineRule="atLeast"/>
        <w:rPr>
          <w:rFonts w:ascii="Arial" w:hAnsi="Arial" w:cs="Arial"/>
        </w:rPr>
      </w:pPr>
      <w:r w:rsidRPr="005B10FC">
        <w:rPr>
          <w:rFonts w:ascii="Arial" w:hAnsi="Arial" w:cs="Arial"/>
        </w:rPr>
        <w:t xml:space="preserve">Regular Audits: </w:t>
      </w:r>
      <w:r w:rsidR="00787CC3" w:rsidRPr="005B10FC">
        <w:rPr>
          <w:rFonts w:ascii="Arial" w:hAnsi="Arial" w:cs="Arial"/>
        </w:rPr>
        <w:t>A</w:t>
      </w:r>
      <w:r w:rsidRPr="005B10FC">
        <w:rPr>
          <w:rFonts w:ascii="Arial" w:hAnsi="Arial" w:cs="Arial"/>
        </w:rPr>
        <w:t xml:space="preserve">udits </w:t>
      </w:r>
      <w:r w:rsidR="00787CC3" w:rsidRPr="005B10FC">
        <w:rPr>
          <w:rFonts w:ascii="Arial" w:hAnsi="Arial" w:cs="Arial"/>
        </w:rPr>
        <w:t xml:space="preserve">may </w:t>
      </w:r>
      <w:r w:rsidRPr="005B10FC">
        <w:rPr>
          <w:rFonts w:ascii="Arial" w:hAnsi="Arial" w:cs="Arial"/>
        </w:rPr>
        <w:t xml:space="preserve">be conducted to ensure compliance with internal and external publishing guidelines. </w:t>
      </w:r>
      <w:r w:rsidR="00787CC3" w:rsidRPr="005B10FC">
        <w:rPr>
          <w:rFonts w:ascii="Arial" w:hAnsi="Arial" w:cs="Arial"/>
        </w:rPr>
        <w:t xml:space="preserve"> </w:t>
      </w:r>
    </w:p>
    <w:p w14:paraId="6D18012A" w14:textId="77777777" w:rsidR="005B10FC" w:rsidRDefault="005B10FC" w:rsidP="005B10FC">
      <w:pPr>
        <w:pStyle w:val="ListParagraph"/>
        <w:spacing w:line="22" w:lineRule="atLeast"/>
        <w:ind w:left="360"/>
        <w:rPr>
          <w:rFonts w:ascii="Arial" w:hAnsi="Arial" w:cs="Arial"/>
        </w:rPr>
      </w:pPr>
    </w:p>
    <w:p w14:paraId="0DF87E33" w14:textId="77777777" w:rsidR="005B10FC" w:rsidRDefault="005B10FC" w:rsidP="005B10FC">
      <w:pPr>
        <w:pStyle w:val="ListParagraph"/>
        <w:spacing w:line="22" w:lineRule="atLeast"/>
        <w:ind w:left="360"/>
        <w:rPr>
          <w:rFonts w:ascii="Arial" w:hAnsi="Arial" w:cs="Arial"/>
        </w:rPr>
      </w:pPr>
    </w:p>
    <w:p w14:paraId="6490CA52" w14:textId="77777777" w:rsidR="005B10FC" w:rsidRDefault="005B10FC" w:rsidP="005B10FC">
      <w:pPr>
        <w:pStyle w:val="ListParagraph"/>
        <w:spacing w:line="22" w:lineRule="atLeast"/>
        <w:ind w:left="360"/>
        <w:rPr>
          <w:rFonts w:ascii="Arial" w:hAnsi="Arial" w:cs="Arial"/>
        </w:rPr>
      </w:pPr>
    </w:p>
    <w:p w14:paraId="4065D65B" w14:textId="77777777" w:rsidR="005B10FC" w:rsidRDefault="005B10FC" w:rsidP="005B10FC">
      <w:pPr>
        <w:pStyle w:val="ListParagraph"/>
        <w:spacing w:line="22" w:lineRule="atLeast"/>
        <w:ind w:left="360"/>
        <w:rPr>
          <w:rFonts w:ascii="Arial" w:hAnsi="Arial" w:cs="Arial"/>
        </w:rPr>
      </w:pPr>
    </w:p>
    <w:p w14:paraId="4D31A3D1" w14:textId="77777777" w:rsidR="005B10FC" w:rsidRPr="005B10FC" w:rsidRDefault="005B10FC" w:rsidP="005B10FC">
      <w:pPr>
        <w:pStyle w:val="ListParagraph"/>
        <w:spacing w:line="22" w:lineRule="atLeast"/>
        <w:ind w:left="360"/>
        <w:rPr>
          <w:rFonts w:ascii="Arial" w:hAnsi="Arial" w:cs="Arial"/>
        </w:rPr>
      </w:pPr>
    </w:p>
    <w:p w14:paraId="073E414E" w14:textId="77777777" w:rsidR="008D7D8C" w:rsidRPr="008D7D8C" w:rsidRDefault="008D7D8C" w:rsidP="00EA58A3">
      <w:pPr>
        <w:spacing w:line="22" w:lineRule="atLeast"/>
        <w:rPr>
          <w:rFonts w:ascii="Arial" w:hAnsi="Arial" w:cs="Arial"/>
        </w:rPr>
      </w:pPr>
      <w:r w:rsidRPr="008D7D8C">
        <w:rPr>
          <w:rFonts w:ascii="Arial" w:hAnsi="Arial" w:cs="Arial"/>
        </w:rPr>
        <w:t xml:space="preserve">8.2 Security Updates: Stay informed about the latest security updates and implement them promptly to address potential vulnerabilities. </w:t>
      </w:r>
    </w:p>
    <w:p w14:paraId="3960DD2A" w14:textId="77777777" w:rsidR="008D7D8C" w:rsidRPr="008D7D8C" w:rsidRDefault="008D7D8C" w:rsidP="00EA58A3">
      <w:pPr>
        <w:spacing w:line="22" w:lineRule="atLeast"/>
        <w:rPr>
          <w:rFonts w:ascii="Arial" w:hAnsi="Arial" w:cs="Arial"/>
        </w:rPr>
      </w:pPr>
    </w:p>
    <w:p w14:paraId="6E95344A" w14:textId="141C3443" w:rsidR="008D7D8C" w:rsidRPr="005B10FC" w:rsidRDefault="008D7D8C" w:rsidP="005B10FC">
      <w:pPr>
        <w:pStyle w:val="ListParagraph"/>
        <w:numPr>
          <w:ilvl w:val="0"/>
          <w:numId w:val="1"/>
        </w:numPr>
        <w:spacing w:line="22" w:lineRule="atLeast"/>
        <w:rPr>
          <w:rFonts w:ascii="Arial" w:hAnsi="Arial" w:cs="Arial"/>
        </w:rPr>
      </w:pPr>
      <w:r w:rsidRPr="005B10FC">
        <w:rPr>
          <w:rFonts w:ascii="Arial" w:hAnsi="Arial" w:cs="Arial"/>
          <w:b/>
          <w:bCs/>
          <w:sz w:val="24"/>
          <w:szCs w:val="24"/>
        </w:rPr>
        <w:t>Policy Review and Updates</w:t>
      </w:r>
      <w:r w:rsidRPr="005B10FC">
        <w:rPr>
          <w:rFonts w:ascii="Arial" w:hAnsi="Arial" w:cs="Arial"/>
        </w:rPr>
        <w:t xml:space="preserve"> </w:t>
      </w:r>
    </w:p>
    <w:p w14:paraId="6A09C6CA" w14:textId="77777777" w:rsidR="005B10FC" w:rsidRPr="005B10FC" w:rsidRDefault="005B10FC" w:rsidP="005B10FC">
      <w:pPr>
        <w:pStyle w:val="ListParagraph"/>
        <w:spacing w:line="22" w:lineRule="atLeast"/>
        <w:ind w:left="360"/>
        <w:rPr>
          <w:rFonts w:ascii="Arial" w:hAnsi="Arial" w:cs="Arial"/>
        </w:rPr>
      </w:pPr>
    </w:p>
    <w:p w14:paraId="787D6C35" w14:textId="342397D2" w:rsidR="00517A5A" w:rsidRDefault="008D7D8C" w:rsidP="00EA58A3">
      <w:pPr>
        <w:pStyle w:val="ListParagraph"/>
        <w:numPr>
          <w:ilvl w:val="1"/>
          <w:numId w:val="3"/>
        </w:numPr>
        <w:spacing w:line="22" w:lineRule="atLeast"/>
        <w:rPr>
          <w:rFonts w:ascii="Arial" w:hAnsi="Arial" w:cs="Arial"/>
        </w:rPr>
      </w:pPr>
      <w:r w:rsidRPr="00517A5A">
        <w:rPr>
          <w:rFonts w:ascii="Arial" w:hAnsi="Arial" w:cs="Arial"/>
        </w:rPr>
        <w:t>Th</w:t>
      </w:r>
      <w:r w:rsidR="00603249">
        <w:rPr>
          <w:rFonts w:ascii="Arial" w:hAnsi="Arial" w:cs="Arial"/>
        </w:rPr>
        <w:t xml:space="preserve">e purpose and scope of the </w:t>
      </w:r>
      <w:r w:rsidRPr="00517A5A">
        <w:rPr>
          <w:rFonts w:ascii="Arial" w:hAnsi="Arial" w:cs="Arial"/>
        </w:rPr>
        <w:t xml:space="preserve">policy </w:t>
      </w:r>
      <w:r w:rsidR="00603249">
        <w:rPr>
          <w:rFonts w:ascii="Arial" w:hAnsi="Arial" w:cs="Arial"/>
        </w:rPr>
        <w:t xml:space="preserve">may be </w:t>
      </w:r>
      <w:r w:rsidR="00553647">
        <w:rPr>
          <w:rFonts w:ascii="Arial" w:hAnsi="Arial" w:cs="Arial"/>
        </w:rPr>
        <w:t>revisited</w:t>
      </w:r>
      <w:r w:rsidR="00603249">
        <w:rPr>
          <w:rFonts w:ascii="Arial" w:hAnsi="Arial" w:cs="Arial"/>
        </w:rPr>
        <w:t xml:space="preserve"> </w:t>
      </w:r>
      <w:r w:rsidRPr="00517A5A">
        <w:rPr>
          <w:rFonts w:ascii="Arial" w:hAnsi="Arial" w:cs="Arial"/>
        </w:rPr>
        <w:t>and updated as necessary to align with changes in regulations, business processes, technology</w:t>
      </w:r>
      <w:r w:rsidR="00603249">
        <w:rPr>
          <w:rFonts w:ascii="Arial" w:hAnsi="Arial" w:cs="Arial"/>
        </w:rPr>
        <w:t xml:space="preserve"> or organisational priorities.  </w:t>
      </w:r>
    </w:p>
    <w:p w14:paraId="74A92A40" w14:textId="6E0D1C6F" w:rsidR="00966B18" w:rsidRPr="005B10FC" w:rsidRDefault="008D7D8C" w:rsidP="005B10FC">
      <w:pPr>
        <w:pStyle w:val="ListParagraph"/>
        <w:numPr>
          <w:ilvl w:val="1"/>
          <w:numId w:val="3"/>
        </w:numPr>
        <w:spacing w:line="22" w:lineRule="atLeast"/>
        <w:rPr>
          <w:rFonts w:ascii="Arial" w:hAnsi="Arial" w:cs="Arial"/>
        </w:rPr>
      </w:pPr>
      <w:r w:rsidRPr="00517A5A">
        <w:rPr>
          <w:rFonts w:ascii="Arial" w:hAnsi="Arial" w:cs="Arial"/>
        </w:rPr>
        <w:t>9.2 Any updates or revisions to this policy shall be communicated promptly to all relevant stakeholders.</w:t>
      </w:r>
    </w:p>
    <w:p w14:paraId="1C7E2466" w14:textId="237EE078" w:rsidR="00305178" w:rsidRPr="00655E96" w:rsidRDefault="00517A5A" w:rsidP="00EA58A3">
      <w:pPr>
        <w:pStyle w:val="ListParagraph"/>
        <w:numPr>
          <w:ilvl w:val="1"/>
          <w:numId w:val="3"/>
        </w:numPr>
        <w:spacing w:line="22" w:lineRule="atLeast"/>
        <w:rPr>
          <w:rFonts w:ascii="Arial" w:hAnsi="Arial" w:cs="Arial"/>
        </w:rPr>
      </w:pPr>
      <w:r>
        <w:rPr>
          <w:rFonts w:ascii="Arial" w:hAnsi="Arial" w:cs="Arial"/>
        </w:rPr>
        <w:t xml:space="preserve">Both parties will </w:t>
      </w:r>
      <w:r w:rsidR="00655E96">
        <w:rPr>
          <w:rFonts w:ascii="Arial" w:hAnsi="Arial" w:cs="Arial"/>
        </w:rPr>
        <w:t xml:space="preserve">endeavour to adhere </w:t>
      </w:r>
      <w:r>
        <w:rPr>
          <w:rFonts w:ascii="Arial" w:hAnsi="Arial" w:cs="Arial"/>
        </w:rPr>
        <w:t>to this policy while data sharing is of mutual benefit</w:t>
      </w:r>
      <w:r w:rsidR="00E043DF">
        <w:rPr>
          <w:rFonts w:ascii="Arial" w:hAnsi="Arial" w:cs="Arial"/>
        </w:rPr>
        <w:t xml:space="preserve"> in the context of overall monitoring requirements.  </w:t>
      </w:r>
    </w:p>
    <w:sectPr w:rsidR="00305178" w:rsidRPr="00655E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0E7C" w14:textId="77777777" w:rsidR="00CB3B55" w:rsidRDefault="00CB3B55" w:rsidP="00FC0ACC">
      <w:r>
        <w:separator/>
      </w:r>
    </w:p>
  </w:endnote>
  <w:endnote w:type="continuationSeparator" w:id="0">
    <w:p w14:paraId="09743809" w14:textId="77777777" w:rsidR="00CB3B55" w:rsidRDefault="00CB3B55" w:rsidP="00FC0ACC">
      <w:r>
        <w:continuationSeparator/>
      </w:r>
    </w:p>
  </w:endnote>
  <w:endnote w:type="continuationNotice" w:id="1">
    <w:p w14:paraId="065EC82B" w14:textId="77777777" w:rsidR="00CB3B55" w:rsidRDefault="00CB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678587"/>
      <w:docPartObj>
        <w:docPartGallery w:val="Page Numbers (Bottom of Page)"/>
        <w:docPartUnique/>
      </w:docPartObj>
    </w:sdtPr>
    <w:sdtEndPr>
      <w:rPr>
        <w:noProof/>
      </w:rPr>
    </w:sdtEndPr>
    <w:sdtContent>
      <w:p w14:paraId="302609EF" w14:textId="0C163809" w:rsidR="00FC0ACC" w:rsidRDefault="00FC0A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E8E7D" w14:textId="621547AE" w:rsidR="00FC0ACC" w:rsidRDefault="006A1CE6">
    <w:pPr>
      <w:pStyle w:val="Footer"/>
    </w:pPr>
    <w:r>
      <w:t>v.August2025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309B" w14:textId="77777777" w:rsidR="00CB3B55" w:rsidRDefault="00CB3B55" w:rsidP="00FC0ACC">
      <w:r>
        <w:separator/>
      </w:r>
    </w:p>
  </w:footnote>
  <w:footnote w:type="continuationSeparator" w:id="0">
    <w:p w14:paraId="0D98E983" w14:textId="77777777" w:rsidR="00CB3B55" w:rsidRDefault="00CB3B55" w:rsidP="00FC0ACC">
      <w:r>
        <w:continuationSeparator/>
      </w:r>
    </w:p>
  </w:footnote>
  <w:footnote w:type="continuationNotice" w:id="1">
    <w:p w14:paraId="2CBF15FC" w14:textId="77777777" w:rsidR="00CB3B55" w:rsidRDefault="00CB3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93A2" w14:textId="337CCE18" w:rsidR="00785126" w:rsidRDefault="00785126">
    <w:pPr>
      <w:pStyle w:val="Header"/>
    </w:pPr>
    <w:r>
      <w:rPr>
        <w:noProof/>
        <w14:ligatures w14:val="none"/>
      </w:rPr>
      <w:drawing>
        <wp:anchor distT="0" distB="0" distL="114300" distR="114300" simplePos="0" relativeHeight="251658240" behindDoc="1" locked="0" layoutInCell="1" allowOverlap="1" wp14:anchorId="55FB390C" wp14:editId="51946B11">
          <wp:simplePos x="0" y="0"/>
          <wp:positionH relativeFrom="page">
            <wp:align>left</wp:align>
          </wp:positionH>
          <wp:positionV relativeFrom="paragraph">
            <wp:posOffset>-380016</wp:posOffset>
          </wp:positionV>
          <wp:extent cx="4283964" cy="1138428"/>
          <wp:effectExtent l="0" t="0" r="2540" b="5080"/>
          <wp:wrapTight wrapText="bothSides">
            <wp:wrapPolygon edited="0">
              <wp:start x="0" y="0"/>
              <wp:lineTo x="0" y="21335"/>
              <wp:lineTo x="21517" y="21335"/>
              <wp:lineTo x="21517" y="0"/>
              <wp:lineTo x="0" y="0"/>
            </wp:wrapPolygon>
          </wp:wrapTight>
          <wp:docPr id="1246775563" name="Picture 1" descr="A logo with a green and black cog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75563" name="Picture 1" descr="A logo with a green and black cogwhe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83964" cy="11384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83169"/>
    <w:multiLevelType w:val="multilevel"/>
    <w:tmpl w:val="8CE816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042818"/>
    <w:multiLevelType w:val="multilevel"/>
    <w:tmpl w:val="F19ED3B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sz w:val="22"/>
      </w:rPr>
    </w:lvl>
    <w:lvl w:ilvl="2">
      <w:start w:val="1"/>
      <w:numFmt w:val="decimal"/>
      <w:isLgl/>
      <w:lvlText w:val="%1.%2.%3"/>
      <w:lvlJc w:val="left"/>
      <w:pPr>
        <w:ind w:left="720" w:hanging="720"/>
      </w:pPr>
      <w:rPr>
        <w:rFonts w:hint="default"/>
        <w:b w:val="0"/>
        <w:sz w:val="22"/>
      </w:rPr>
    </w:lvl>
    <w:lvl w:ilvl="3">
      <w:start w:val="1"/>
      <w:numFmt w:val="decimal"/>
      <w:isLgl/>
      <w:lvlText w:val="%1.%2.%3.%4"/>
      <w:lvlJc w:val="left"/>
      <w:pPr>
        <w:ind w:left="720" w:hanging="720"/>
      </w:pPr>
      <w:rPr>
        <w:rFonts w:hint="default"/>
        <w:b w:val="0"/>
        <w:sz w:val="22"/>
      </w:rPr>
    </w:lvl>
    <w:lvl w:ilvl="4">
      <w:start w:val="1"/>
      <w:numFmt w:val="decimal"/>
      <w:isLgl/>
      <w:lvlText w:val="%1.%2.%3.%4.%5"/>
      <w:lvlJc w:val="left"/>
      <w:pPr>
        <w:ind w:left="1080" w:hanging="1080"/>
      </w:pPr>
      <w:rPr>
        <w:rFonts w:hint="default"/>
        <w:b w:val="0"/>
        <w:sz w:val="22"/>
      </w:rPr>
    </w:lvl>
    <w:lvl w:ilvl="5">
      <w:start w:val="1"/>
      <w:numFmt w:val="decimal"/>
      <w:isLgl/>
      <w:lvlText w:val="%1.%2.%3.%4.%5.%6"/>
      <w:lvlJc w:val="left"/>
      <w:pPr>
        <w:ind w:left="1080" w:hanging="1080"/>
      </w:pPr>
      <w:rPr>
        <w:rFonts w:hint="default"/>
        <w:b w:val="0"/>
        <w:sz w:val="22"/>
      </w:rPr>
    </w:lvl>
    <w:lvl w:ilvl="6">
      <w:start w:val="1"/>
      <w:numFmt w:val="decimal"/>
      <w:isLgl/>
      <w:lvlText w:val="%1.%2.%3.%4.%5.%6.%7"/>
      <w:lvlJc w:val="left"/>
      <w:pPr>
        <w:ind w:left="1440" w:hanging="1440"/>
      </w:pPr>
      <w:rPr>
        <w:rFonts w:hint="default"/>
        <w:b w:val="0"/>
        <w:sz w:val="22"/>
      </w:rPr>
    </w:lvl>
    <w:lvl w:ilvl="7">
      <w:start w:val="1"/>
      <w:numFmt w:val="decimal"/>
      <w:isLgl/>
      <w:lvlText w:val="%1.%2.%3.%4.%5.%6.%7.%8"/>
      <w:lvlJc w:val="left"/>
      <w:pPr>
        <w:ind w:left="1440" w:hanging="1440"/>
      </w:pPr>
      <w:rPr>
        <w:rFonts w:hint="default"/>
        <w:b w:val="0"/>
        <w:sz w:val="22"/>
      </w:rPr>
    </w:lvl>
    <w:lvl w:ilvl="8">
      <w:start w:val="1"/>
      <w:numFmt w:val="decimal"/>
      <w:isLgl/>
      <w:lvlText w:val="%1.%2.%3.%4.%5.%6.%7.%8.%9"/>
      <w:lvlJc w:val="left"/>
      <w:pPr>
        <w:ind w:left="1800" w:hanging="1800"/>
      </w:pPr>
      <w:rPr>
        <w:rFonts w:hint="default"/>
        <w:b w:val="0"/>
        <w:sz w:val="22"/>
      </w:rPr>
    </w:lvl>
  </w:abstractNum>
  <w:abstractNum w:abstractNumId="2" w15:restartNumberingAfterBreak="0">
    <w:nsid w:val="6B9C1F82"/>
    <w:multiLevelType w:val="hybridMultilevel"/>
    <w:tmpl w:val="CE04EDF4"/>
    <w:lvl w:ilvl="0" w:tplc="0ED20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315200">
    <w:abstractNumId w:val="1"/>
  </w:num>
  <w:num w:numId="2" w16cid:durableId="1603957399">
    <w:abstractNumId w:val="2"/>
  </w:num>
  <w:num w:numId="3" w16cid:durableId="49946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zN7c0MTaxNDcyNDZQ0lEKTi0uzszPAykwrAUAE2J6tywAAAA="/>
  </w:docVars>
  <w:rsids>
    <w:rsidRoot w:val="00E70DD0"/>
    <w:rsid w:val="000029D8"/>
    <w:rsid w:val="000130EF"/>
    <w:rsid w:val="00025560"/>
    <w:rsid w:val="000326BB"/>
    <w:rsid w:val="00035067"/>
    <w:rsid w:val="000376AE"/>
    <w:rsid w:val="000557EE"/>
    <w:rsid w:val="00064A45"/>
    <w:rsid w:val="00065BF8"/>
    <w:rsid w:val="000677C6"/>
    <w:rsid w:val="00077574"/>
    <w:rsid w:val="000966D5"/>
    <w:rsid w:val="000A233B"/>
    <w:rsid w:val="000B7D9F"/>
    <w:rsid w:val="000C620D"/>
    <w:rsid w:val="000D3925"/>
    <w:rsid w:val="000D69A4"/>
    <w:rsid w:val="00112DFE"/>
    <w:rsid w:val="00116F3D"/>
    <w:rsid w:val="00137FF6"/>
    <w:rsid w:val="001551ED"/>
    <w:rsid w:val="001679D8"/>
    <w:rsid w:val="001A523C"/>
    <w:rsid w:val="001B47E4"/>
    <w:rsid w:val="001B5755"/>
    <w:rsid w:val="001C2C40"/>
    <w:rsid w:val="001E0739"/>
    <w:rsid w:val="001E4360"/>
    <w:rsid w:val="002004D6"/>
    <w:rsid w:val="00205083"/>
    <w:rsid w:val="002262D4"/>
    <w:rsid w:val="00231EC5"/>
    <w:rsid w:val="00240CFD"/>
    <w:rsid w:val="00272D28"/>
    <w:rsid w:val="002841B0"/>
    <w:rsid w:val="002843A2"/>
    <w:rsid w:val="00293C4E"/>
    <w:rsid w:val="00297CB7"/>
    <w:rsid w:val="002C2B15"/>
    <w:rsid w:val="002D6C85"/>
    <w:rsid w:val="00304F68"/>
    <w:rsid w:val="00305178"/>
    <w:rsid w:val="0031792B"/>
    <w:rsid w:val="003614E2"/>
    <w:rsid w:val="00366C01"/>
    <w:rsid w:val="003708C6"/>
    <w:rsid w:val="003C763E"/>
    <w:rsid w:val="003D1CE6"/>
    <w:rsid w:val="003E4833"/>
    <w:rsid w:val="00403818"/>
    <w:rsid w:val="00435E70"/>
    <w:rsid w:val="00440348"/>
    <w:rsid w:val="00443428"/>
    <w:rsid w:val="004454DE"/>
    <w:rsid w:val="00466E16"/>
    <w:rsid w:val="00470B51"/>
    <w:rsid w:val="00480900"/>
    <w:rsid w:val="004852F6"/>
    <w:rsid w:val="00490E7F"/>
    <w:rsid w:val="004A0C00"/>
    <w:rsid w:val="004B2585"/>
    <w:rsid w:val="004B5226"/>
    <w:rsid w:val="004C7FCA"/>
    <w:rsid w:val="00517A5A"/>
    <w:rsid w:val="005307A2"/>
    <w:rsid w:val="00553647"/>
    <w:rsid w:val="00576809"/>
    <w:rsid w:val="005B10FC"/>
    <w:rsid w:val="005B12A4"/>
    <w:rsid w:val="005C5F0C"/>
    <w:rsid w:val="005D4AD8"/>
    <w:rsid w:val="005E3697"/>
    <w:rsid w:val="00603249"/>
    <w:rsid w:val="00625C0B"/>
    <w:rsid w:val="00650D40"/>
    <w:rsid w:val="00651D99"/>
    <w:rsid w:val="00655E29"/>
    <w:rsid w:val="00655E96"/>
    <w:rsid w:val="006612DC"/>
    <w:rsid w:val="0067172C"/>
    <w:rsid w:val="006900BA"/>
    <w:rsid w:val="00691874"/>
    <w:rsid w:val="006A1CE6"/>
    <w:rsid w:val="006E00A6"/>
    <w:rsid w:val="006F47F6"/>
    <w:rsid w:val="00701261"/>
    <w:rsid w:val="00710CB1"/>
    <w:rsid w:val="007379F2"/>
    <w:rsid w:val="00785126"/>
    <w:rsid w:val="00787CC3"/>
    <w:rsid w:val="0079075C"/>
    <w:rsid w:val="007B147C"/>
    <w:rsid w:val="007B1497"/>
    <w:rsid w:val="007D1F03"/>
    <w:rsid w:val="007E1CDA"/>
    <w:rsid w:val="007F0F90"/>
    <w:rsid w:val="007F6EF3"/>
    <w:rsid w:val="0083535F"/>
    <w:rsid w:val="00840287"/>
    <w:rsid w:val="008852E4"/>
    <w:rsid w:val="008D7D8C"/>
    <w:rsid w:val="008F5A39"/>
    <w:rsid w:val="008F7086"/>
    <w:rsid w:val="00907A02"/>
    <w:rsid w:val="00913FCA"/>
    <w:rsid w:val="0091659A"/>
    <w:rsid w:val="00926697"/>
    <w:rsid w:val="0094164E"/>
    <w:rsid w:val="00942A0B"/>
    <w:rsid w:val="00966B18"/>
    <w:rsid w:val="00971A56"/>
    <w:rsid w:val="009914E2"/>
    <w:rsid w:val="00997E1C"/>
    <w:rsid w:val="009C09B3"/>
    <w:rsid w:val="009D77E6"/>
    <w:rsid w:val="00A257F2"/>
    <w:rsid w:val="00A310D4"/>
    <w:rsid w:val="00A410E3"/>
    <w:rsid w:val="00A5089F"/>
    <w:rsid w:val="00A52074"/>
    <w:rsid w:val="00A751A2"/>
    <w:rsid w:val="00AA1A05"/>
    <w:rsid w:val="00AA5C94"/>
    <w:rsid w:val="00AA73E6"/>
    <w:rsid w:val="00AB64A1"/>
    <w:rsid w:val="00AC1188"/>
    <w:rsid w:val="00AE2777"/>
    <w:rsid w:val="00B03985"/>
    <w:rsid w:val="00B714EC"/>
    <w:rsid w:val="00B84061"/>
    <w:rsid w:val="00B84324"/>
    <w:rsid w:val="00BA129A"/>
    <w:rsid w:val="00BA2ECA"/>
    <w:rsid w:val="00BC2921"/>
    <w:rsid w:val="00BC4E32"/>
    <w:rsid w:val="00BE5826"/>
    <w:rsid w:val="00C2287B"/>
    <w:rsid w:val="00C2293E"/>
    <w:rsid w:val="00C337A6"/>
    <w:rsid w:val="00C419B7"/>
    <w:rsid w:val="00C64F50"/>
    <w:rsid w:val="00C67D5F"/>
    <w:rsid w:val="00C70873"/>
    <w:rsid w:val="00C84576"/>
    <w:rsid w:val="00CA21F2"/>
    <w:rsid w:val="00CB24D8"/>
    <w:rsid w:val="00CB3B55"/>
    <w:rsid w:val="00CC2274"/>
    <w:rsid w:val="00CC7F4A"/>
    <w:rsid w:val="00CD1C6C"/>
    <w:rsid w:val="00CD3186"/>
    <w:rsid w:val="00CE0315"/>
    <w:rsid w:val="00CF609C"/>
    <w:rsid w:val="00CF7CBB"/>
    <w:rsid w:val="00D13B84"/>
    <w:rsid w:val="00D27FD5"/>
    <w:rsid w:val="00D30CD6"/>
    <w:rsid w:val="00D4289A"/>
    <w:rsid w:val="00D676A9"/>
    <w:rsid w:val="00D8197A"/>
    <w:rsid w:val="00DA1F58"/>
    <w:rsid w:val="00DA6866"/>
    <w:rsid w:val="00DB105A"/>
    <w:rsid w:val="00DD29A7"/>
    <w:rsid w:val="00DD74D3"/>
    <w:rsid w:val="00DF76E3"/>
    <w:rsid w:val="00E043DF"/>
    <w:rsid w:val="00E30F7E"/>
    <w:rsid w:val="00E41E96"/>
    <w:rsid w:val="00E5345B"/>
    <w:rsid w:val="00E53F36"/>
    <w:rsid w:val="00E7047C"/>
    <w:rsid w:val="00E70DD0"/>
    <w:rsid w:val="00E73979"/>
    <w:rsid w:val="00E851C7"/>
    <w:rsid w:val="00EA58A3"/>
    <w:rsid w:val="00ED308C"/>
    <w:rsid w:val="00ED64D1"/>
    <w:rsid w:val="00EF4C49"/>
    <w:rsid w:val="00F1558F"/>
    <w:rsid w:val="00F16B29"/>
    <w:rsid w:val="00F20F00"/>
    <w:rsid w:val="00F355E2"/>
    <w:rsid w:val="00F752B6"/>
    <w:rsid w:val="00F81441"/>
    <w:rsid w:val="00F81C05"/>
    <w:rsid w:val="00F97B5A"/>
    <w:rsid w:val="00FB187F"/>
    <w:rsid w:val="00FB57C5"/>
    <w:rsid w:val="00FC0ACC"/>
    <w:rsid w:val="00FD570C"/>
    <w:rsid w:val="00FE47D9"/>
    <w:rsid w:val="00FE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0EB09"/>
  <w15:chartTrackingRefBased/>
  <w15:docId w15:val="{31AD744F-43FC-4BFB-8858-66628D4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DD0"/>
    <w:pPr>
      <w:spacing w:after="0" w:line="240" w:lineRule="auto"/>
    </w:pPr>
    <w:rPr>
      <w:rFonts w:ascii="Calibri" w:hAnsi="Calibri" w:cs="Calibri"/>
      <w:sz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40"/>
    <w:pPr>
      <w:spacing w:after="160" w:line="259" w:lineRule="auto"/>
      <w:ind w:left="720"/>
      <w:contextualSpacing/>
    </w:pPr>
    <w:rPr>
      <w:rFonts w:asciiTheme="minorHAnsi" w:hAnsiTheme="minorHAnsi" w:cstheme="minorBidi"/>
      <w:kern w:val="2"/>
    </w:rPr>
  </w:style>
  <w:style w:type="character" w:styleId="CommentReference">
    <w:name w:val="annotation reference"/>
    <w:basedOn w:val="DefaultParagraphFont"/>
    <w:uiPriority w:val="99"/>
    <w:semiHidden/>
    <w:unhideWhenUsed/>
    <w:rsid w:val="001C2C40"/>
    <w:rPr>
      <w:sz w:val="16"/>
      <w:szCs w:val="16"/>
    </w:rPr>
  </w:style>
  <w:style w:type="paragraph" w:styleId="CommentText">
    <w:name w:val="annotation text"/>
    <w:basedOn w:val="Normal"/>
    <w:link w:val="CommentTextChar"/>
    <w:uiPriority w:val="99"/>
    <w:unhideWhenUsed/>
    <w:rsid w:val="001C2C40"/>
    <w:pPr>
      <w:spacing w:after="160"/>
    </w:pPr>
    <w:rPr>
      <w:rFonts w:asciiTheme="minorHAnsi" w:hAnsiTheme="minorHAnsi" w:cstheme="minorBidi"/>
      <w:kern w:val="2"/>
      <w:sz w:val="20"/>
      <w:szCs w:val="20"/>
    </w:rPr>
  </w:style>
  <w:style w:type="character" w:customStyle="1" w:styleId="CommentTextChar">
    <w:name w:val="Comment Text Char"/>
    <w:basedOn w:val="DefaultParagraphFont"/>
    <w:link w:val="CommentText"/>
    <w:uiPriority w:val="99"/>
    <w:rsid w:val="001C2C40"/>
    <w:rPr>
      <w:rFonts w:asciiTheme="minorHAnsi" w:hAnsiTheme="minorHAnsi"/>
      <w:kern w:val="2"/>
      <w:sz w:val="20"/>
      <w:szCs w:val="20"/>
      <w:lang w:val="en-GB"/>
      <w14:ligatures w14:val="standardContextual"/>
    </w:rPr>
  </w:style>
  <w:style w:type="paragraph" w:customStyle="1" w:styleId="Default">
    <w:name w:val="Default"/>
    <w:rsid w:val="008D7D8C"/>
    <w:pPr>
      <w:autoSpaceDE w:val="0"/>
      <w:autoSpaceDN w:val="0"/>
      <w:adjustRightInd w:val="0"/>
      <w:spacing w:after="0" w:line="240" w:lineRule="auto"/>
    </w:pPr>
    <w:rPr>
      <w:rFonts w:cs="Aria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1551ED"/>
    <w:pPr>
      <w:spacing w:after="0"/>
    </w:pPr>
    <w:rPr>
      <w:rFonts w:ascii="Calibri" w:hAnsi="Calibri" w:cs="Calibri"/>
      <w:b/>
      <w:bCs/>
      <w:kern w:val="0"/>
    </w:rPr>
  </w:style>
  <w:style w:type="character" w:customStyle="1" w:styleId="CommentSubjectChar">
    <w:name w:val="Comment Subject Char"/>
    <w:basedOn w:val="CommentTextChar"/>
    <w:link w:val="CommentSubject"/>
    <w:uiPriority w:val="99"/>
    <w:semiHidden/>
    <w:rsid w:val="001551ED"/>
    <w:rPr>
      <w:rFonts w:ascii="Calibri" w:hAnsi="Calibri" w:cs="Calibri"/>
      <w:b/>
      <w:bCs/>
      <w:kern w:val="2"/>
      <w:sz w:val="20"/>
      <w:szCs w:val="20"/>
      <w:lang w:val="en-GB"/>
      <w14:ligatures w14:val="standardContextual"/>
    </w:rPr>
  </w:style>
  <w:style w:type="paragraph" w:styleId="Header">
    <w:name w:val="header"/>
    <w:basedOn w:val="Normal"/>
    <w:link w:val="HeaderChar"/>
    <w:uiPriority w:val="99"/>
    <w:unhideWhenUsed/>
    <w:rsid w:val="00FC0ACC"/>
    <w:pPr>
      <w:tabs>
        <w:tab w:val="center" w:pos="4513"/>
        <w:tab w:val="right" w:pos="9026"/>
      </w:tabs>
    </w:pPr>
  </w:style>
  <w:style w:type="character" w:customStyle="1" w:styleId="HeaderChar">
    <w:name w:val="Header Char"/>
    <w:basedOn w:val="DefaultParagraphFont"/>
    <w:link w:val="Header"/>
    <w:uiPriority w:val="99"/>
    <w:rsid w:val="00FC0ACC"/>
    <w:rPr>
      <w:rFonts w:ascii="Calibri" w:hAnsi="Calibri" w:cs="Calibri"/>
      <w:sz w:val="22"/>
      <w:lang w:val="en-GB"/>
      <w14:ligatures w14:val="standardContextual"/>
    </w:rPr>
  </w:style>
  <w:style w:type="paragraph" w:styleId="Footer">
    <w:name w:val="footer"/>
    <w:basedOn w:val="Normal"/>
    <w:link w:val="FooterChar"/>
    <w:uiPriority w:val="99"/>
    <w:unhideWhenUsed/>
    <w:rsid w:val="00FC0ACC"/>
    <w:pPr>
      <w:tabs>
        <w:tab w:val="center" w:pos="4513"/>
        <w:tab w:val="right" w:pos="9026"/>
      </w:tabs>
    </w:pPr>
  </w:style>
  <w:style w:type="character" w:customStyle="1" w:styleId="FooterChar">
    <w:name w:val="Footer Char"/>
    <w:basedOn w:val="DefaultParagraphFont"/>
    <w:link w:val="Footer"/>
    <w:uiPriority w:val="99"/>
    <w:rsid w:val="00FC0ACC"/>
    <w:rPr>
      <w:rFonts w:ascii="Calibri" w:hAnsi="Calibri" w:cs="Calibri"/>
      <w:sz w:val="22"/>
      <w:lang w:val="en-GB"/>
      <w14:ligatures w14:val="standardContextual"/>
    </w:rPr>
  </w:style>
  <w:style w:type="character" w:customStyle="1" w:styleId="normaltextrun">
    <w:name w:val="normaltextrun"/>
    <w:basedOn w:val="DefaultParagraphFont"/>
    <w:rsid w:val="00CB24D8"/>
  </w:style>
  <w:style w:type="character" w:customStyle="1" w:styleId="wacimagecontainer">
    <w:name w:val="wacimagecontainer"/>
    <w:basedOn w:val="DefaultParagraphFont"/>
    <w:rsid w:val="00CB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3046">
      <w:bodyDiv w:val="1"/>
      <w:marLeft w:val="0"/>
      <w:marRight w:val="0"/>
      <w:marTop w:val="0"/>
      <w:marBottom w:val="0"/>
      <w:divBdr>
        <w:top w:val="none" w:sz="0" w:space="0" w:color="auto"/>
        <w:left w:val="none" w:sz="0" w:space="0" w:color="auto"/>
        <w:bottom w:val="none" w:sz="0" w:space="0" w:color="auto"/>
        <w:right w:val="none" w:sz="0" w:space="0" w:color="auto"/>
      </w:divBdr>
    </w:div>
    <w:div w:id="18018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75DDABD2CF74DB7EFD41AEA8EBD7B" ma:contentTypeVersion="17" ma:contentTypeDescription="Create a new document." ma:contentTypeScope="" ma:versionID="ec2dfbeb4876a825b6e0b4ea7d6518ba">
  <xsd:schema xmlns:xsd="http://www.w3.org/2001/XMLSchema" xmlns:xs="http://www.w3.org/2001/XMLSchema" xmlns:p="http://schemas.microsoft.com/office/2006/metadata/properties" xmlns:ns2="9c3f0780-e47d-4e4b-b5ba-7f489886651e" xmlns:ns3="f14aa85b-fce2-4acb-97c2-d067939f3c9e" targetNamespace="http://schemas.microsoft.com/office/2006/metadata/properties" ma:root="true" ma:fieldsID="15ce498d06a80d6668283a281dfcd5b6" ns2:_="" ns3:_="">
    <xsd:import namespace="9c3f0780-e47d-4e4b-b5ba-7f489886651e"/>
    <xsd:import namespace="f14aa85b-fce2-4acb-97c2-d067939f3c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0780-e47d-4e4b-b5ba-7f4898866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aa85b-fce2-4acb-97c2-d067939f3c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32533bf-8b44-44ab-bfe8-664926be2336}" ma:internalName="TaxCatchAll" ma:showField="CatchAllData" ma:web="f14aa85b-fce2-4acb-97c2-d067939f3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f0780-e47d-4e4b-b5ba-7f489886651e">
      <Terms xmlns="http://schemas.microsoft.com/office/infopath/2007/PartnerControls"/>
    </lcf76f155ced4ddcb4097134ff3c332f>
    <TaxCatchAll xmlns="f14aa85b-fce2-4acb-97c2-d067939f3c9e" xsi:nil="true"/>
  </documentManagement>
</p:properties>
</file>

<file path=customXml/itemProps1.xml><?xml version="1.0" encoding="utf-8"?>
<ds:datastoreItem xmlns:ds="http://schemas.openxmlformats.org/officeDocument/2006/customXml" ds:itemID="{9EA93A63-7D1C-421C-9515-12AB570C8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0780-e47d-4e4b-b5ba-7f489886651e"/>
    <ds:schemaRef ds:uri="f14aa85b-fce2-4acb-97c2-d067939f3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33145-BE67-4B74-B4A8-500E87C35C68}">
  <ds:schemaRefs>
    <ds:schemaRef ds:uri="http://schemas.microsoft.com/sharepoint/v3/contenttype/forms"/>
  </ds:schemaRefs>
</ds:datastoreItem>
</file>

<file path=customXml/itemProps3.xml><?xml version="1.0" encoding="utf-8"?>
<ds:datastoreItem xmlns:ds="http://schemas.openxmlformats.org/officeDocument/2006/customXml" ds:itemID="{977159C2-4411-424A-9349-CAF8FAB63903}">
  <ds:schemaRefs>
    <ds:schemaRef ds:uri="http://schemas.microsoft.com/office/2006/metadata/properties"/>
    <ds:schemaRef ds:uri="http://schemas.microsoft.com/office/infopath/2007/PartnerControls"/>
    <ds:schemaRef ds:uri="9c3f0780-e47d-4e4b-b5ba-7f489886651e"/>
    <ds:schemaRef ds:uri="f14aa85b-fce2-4acb-97c2-d067939f3c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Jones - EPSRC UKRI</dc:creator>
  <cp:keywords/>
  <dc:description/>
  <cp:lastModifiedBy>Jennifer Smith</cp:lastModifiedBy>
  <cp:revision>2</cp:revision>
  <dcterms:created xsi:type="dcterms:W3CDTF">2025-12-02T11:30:00Z</dcterms:created>
  <dcterms:modified xsi:type="dcterms:W3CDTF">2025-12-02T11:30:00Z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0x01010034E75DDABD2CF74DB7EFD41AEA8EBD7B</vt:lpwstr>
  </property>
  <property fmtid="{D5CDD505-2E9C-101B-9397-08002B2CF9AE}" pid="3" name="MediaServiceImageTags">
    <vt:lpwstr/>
  </property>
</Properties>
</file>