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34ED" w14:textId="77777777" w:rsidR="00DA5C08" w:rsidRDefault="009B6AB1" w:rsidP="003660F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3FD3513" wp14:editId="77FB8E72">
                <wp:simplePos x="0" y="0"/>
                <wp:positionH relativeFrom="column">
                  <wp:posOffset>-82020</wp:posOffset>
                </wp:positionH>
                <wp:positionV relativeFrom="paragraph">
                  <wp:posOffset>109590</wp:posOffset>
                </wp:positionV>
                <wp:extent cx="3416440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0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D3522" w14:textId="383F582A" w:rsidR="008210B8" w:rsidRDefault="003660FD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Reviewing and tracking r</w:t>
                            </w:r>
                            <w:r w:rsidR="008552D8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equisitions</w:t>
                            </w:r>
                            <w:r w:rsidR="002F0F39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63FD3523" w14:textId="77777777" w:rsidR="00784C73" w:rsidRPr="00784C73" w:rsidRDefault="003660FD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3660FD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D3513" id="Rectangle 7" o:spid="_x0000_s1026" style="position:absolute;margin-left:-6.45pt;margin-top:8.65pt;width:269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" stroked="f" strokeweight="1pt">
                <v:fill opacity="54484f"/>
                <v:textbox>
                  <w:txbxContent>
                    <w:p w14:paraId="63FD3522" w14:textId="383F582A" w:rsidR="008210B8" w:rsidRDefault="003660FD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Reviewing and tracking r</w:t>
                      </w:r>
                      <w:r w:rsidR="008552D8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equisitions</w:t>
                      </w:r>
                      <w:r w:rsidR="002F0F39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63FD3523" w14:textId="77777777" w:rsidR="00784C73" w:rsidRPr="00784C73" w:rsidRDefault="003660FD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3660FD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63FD34EE" w14:textId="77777777" w:rsidR="00201941" w:rsidRDefault="00D5154D" w:rsidP="00201941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63FD3515" wp14:editId="63FD3516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</w:t>
      </w:r>
      <w:r w:rsidR="008552D8">
        <w:rPr>
          <w:rFonts w:ascii="Open Sans" w:hAnsi="Open Sans" w:cs="Open Sans"/>
          <w:sz w:val="20"/>
        </w:rPr>
        <w:t>to show</w:t>
      </w:r>
      <w:r w:rsidR="001F3C80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 xml:space="preserve">iProc Requisitioners </w:t>
      </w:r>
      <w:r w:rsidR="008552D8">
        <w:rPr>
          <w:rFonts w:ascii="Open Sans" w:hAnsi="Open Sans" w:cs="Open Sans"/>
          <w:sz w:val="20"/>
        </w:rPr>
        <w:t xml:space="preserve">how to monitor their requisitions in the </w:t>
      </w:r>
      <w:r w:rsidR="00BE0371">
        <w:rPr>
          <w:rFonts w:ascii="Open Sans" w:hAnsi="Open Sans" w:cs="Open Sans"/>
          <w:sz w:val="20"/>
        </w:rPr>
        <w:t>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63FD34EF" w14:textId="77777777" w:rsidR="00201941" w:rsidRDefault="00201941" w:rsidP="00201941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3FD34F0" w14:textId="77777777" w:rsidR="002A68E3" w:rsidRDefault="00201941" w:rsidP="003660FD">
      <w:pPr>
        <w:spacing w:after="12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The </w:t>
      </w:r>
      <w:r w:rsidRPr="00201941">
        <w:rPr>
          <w:rFonts w:ascii="Open Sans" w:hAnsi="Open Sans" w:cs="Open Sans"/>
          <w:b/>
          <w:color w:val="6D009D"/>
          <w:sz w:val="20"/>
        </w:rPr>
        <w:t>Requisitions</w:t>
      </w:r>
      <w:r>
        <w:rPr>
          <w:rFonts w:ascii="Open Sans" w:hAnsi="Open Sans" w:cs="Open Sans"/>
          <w:sz w:val="20"/>
        </w:rPr>
        <w:t xml:space="preserve"> tab </w:t>
      </w:r>
      <w:r w:rsidRPr="00201941">
        <w:rPr>
          <w:rFonts w:ascii="Open Sans" w:hAnsi="Open Sans" w:cs="Open Sans"/>
          <w:sz w:val="20"/>
        </w:rPr>
        <w:t>holds a full list of all of your requisitions and allows you to access most of the features listed below</w:t>
      </w:r>
      <w:r>
        <w:rPr>
          <w:rFonts w:ascii="Open Sans" w:hAnsi="Open Sans" w:cs="Open Sans"/>
          <w:sz w:val="20"/>
        </w:rPr>
        <w:t>. From here y</w:t>
      </w:r>
      <w:r w:rsidR="008552D8" w:rsidRPr="008552D8">
        <w:rPr>
          <w:rFonts w:ascii="Open Sans" w:hAnsi="Open Sans" w:cs="Open Sans"/>
          <w:sz w:val="20"/>
        </w:rPr>
        <w:t xml:space="preserve">ou can </w:t>
      </w:r>
      <w:r w:rsidR="002A68E3">
        <w:rPr>
          <w:rFonts w:ascii="Open Sans" w:hAnsi="Open Sans" w:cs="Open Sans"/>
          <w:sz w:val="20"/>
        </w:rPr>
        <w:t>monitor your requisitions using</w:t>
      </w:r>
      <w:r>
        <w:rPr>
          <w:rFonts w:ascii="Open Sans" w:hAnsi="Open Sans" w:cs="Open Sans"/>
          <w:sz w:val="20"/>
        </w:rPr>
        <w:t xml:space="preserve"> the</w:t>
      </w:r>
      <w:r w:rsidR="002A68E3">
        <w:rPr>
          <w:rFonts w:ascii="Open Sans" w:hAnsi="Open Sans" w:cs="Open Sans"/>
          <w:sz w:val="20"/>
        </w:rPr>
        <w:t>:</w:t>
      </w:r>
    </w:p>
    <w:p w14:paraId="63FD34F1" w14:textId="77777777" w:rsidR="002A68E3" w:rsidRDefault="00201941" w:rsidP="003660FD">
      <w:pPr>
        <w:pStyle w:val="ListParagraph"/>
        <w:numPr>
          <w:ilvl w:val="0"/>
          <w:numId w:val="26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color w:val="6D009D"/>
          <w:sz w:val="20"/>
        </w:rPr>
        <w:t>Requisition Description/Number</w:t>
      </w:r>
      <w:r w:rsidR="002A68E3">
        <w:rPr>
          <w:rFonts w:ascii="Open Sans" w:hAnsi="Open Sans" w:cs="Open Sans"/>
          <w:sz w:val="20"/>
        </w:rPr>
        <w:t xml:space="preserve"> –</w:t>
      </w:r>
      <w:r>
        <w:rPr>
          <w:rFonts w:ascii="Open Sans" w:hAnsi="Open Sans" w:cs="Open Sans"/>
          <w:sz w:val="20"/>
        </w:rPr>
        <w:t xml:space="preserve"> displays more details for the</w:t>
      </w:r>
      <w:r w:rsidR="002A68E3" w:rsidRPr="002A68E3">
        <w:rPr>
          <w:rFonts w:ascii="Open Sans" w:hAnsi="Open Sans" w:cs="Open Sans"/>
          <w:sz w:val="20"/>
        </w:rPr>
        <w:t xml:space="preserve"> requisition</w:t>
      </w:r>
    </w:p>
    <w:p w14:paraId="63FD34F2" w14:textId="77777777" w:rsidR="00201941" w:rsidRPr="00201941" w:rsidRDefault="00201941" w:rsidP="003660FD">
      <w:pPr>
        <w:pStyle w:val="ListParagraph"/>
        <w:numPr>
          <w:ilvl w:val="0"/>
          <w:numId w:val="26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F54F39">
        <w:rPr>
          <w:rFonts w:ascii="Open Sans" w:hAnsi="Open Sans" w:cs="Open Sans"/>
          <w:b/>
          <w:color w:val="6D009D"/>
          <w:sz w:val="20"/>
        </w:rPr>
        <w:t>Status</w:t>
      </w:r>
      <w:r>
        <w:rPr>
          <w:rFonts w:ascii="Open Sans" w:hAnsi="Open Sans" w:cs="Open Sans"/>
          <w:sz w:val="20"/>
        </w:rPr>
        <w:t xml:space="preserve"> – shows</w:t>
      </w:r>
      <w:r w:rsidRPr="00201941">
        <w:rPr>
          <w:rFonts w:ascii="Open Sans" w:hAnsi="Open Sans" w:cs="Open Sans"/>
          <w:sz w:val="20"/>
        </w:rPr>
        <w:t xml:space="preserve"> more de</w:t>
      </w:r>
      <w:r>
        <w:rPr>
          <w:rFonts w:ascii="Open Sans" w:hAnsi="Open Sans" w:cs="Open Sans"/>
          <w:sz w:val="20"/>
        </w:rPr>
        <w:t xml:space="preserve">tail about the approval history, including any notes between the </w:t>
      </w:r>
      <w:r w:rsidR="008E5CEE">
        <w:rPr>
          <w:rFonts w:ascii="Open Sans" w:hAnsi="Open Sans" w:cs="Open Sans"/>
          <w:sz w:val="20"/>
        </w:rPr>
        <w:t>Requisitioner and the A</w:t>
      </w:r>
      <w:r>
        <w:rPr>
          <w:rFonts w:ascii="Open Sans" w:hAnsi="Open Sans" w:cs="Open Sans"/>
          <w:sz w:val="20"/>
        </w:rPr>
        <w:t>pprover</w:t>
      </w:r>
    </w:p>
    <w:p w14:paraId="63FD34F3" w14:textId="79E69C8C" w:rsidR="002A68E3" w:rsidRDefault="002A68E3" w:rsidP="003660FD">
      <w:pPr>
        <w:pStyle w:val="ListParagraph"/>
        <w:numPr>
          <w:ilvl w:val="0"/>
          <w:numId w:val="26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2A68E3">
        <w:rPr>
          <w:rFonts w:ascii="Open Sans" w:hAnsi="Open Sans" w:cs="Open Sans"/>
          <w:b/>
          <w:color w:val="6D009D"/>
          <w:sz w:val="20"/>
        </w:rPr>
        <w:t>Details</w:t>
      </w:r>
      <w:r>
        <w:rPr>
          <w:rFonts w:ascii="Open Sans" w:hAnsi="Open Sans" w:cs="Open Sans"/>
          <w:sz w:val="20"/>
        </w:rPr>
        <w:t xml:space="preserve"> icon – this </w:t>
      </w:r>
      <w:r w:rsidR="000A24AB">
        <w:rPr>
          <w:rFonts w:ascii="Open Sans" w:hAnsi="Open Sans" w:cs="Open Sans"/>
          <w:sz w:val="20"/>
        </w:rPr>
        <w:t>can show</w:t>
      </w:r>
      <w:r>
        <w:rPr>
          <w:rFonts w:ascii="Open Sans" w:hAnsi="Open Sans" w:cs="Open Sans"/>
          <w:sz w:val="20"/>
        </w:rPr>
        <w:t xml:space="preserve"> additional information </w:t>
      </w:r>
      <w:r w:rsidR="000A24AB">
        <w:rPr>
          <w:rFonts w:ascii="Open Sans" w:hAnsi="Open Sans" w:cs="Open Sans"/>
          <w:sz w:val="20"/>
        </w:rPr>
        <w:t xml:space="preserve">about the transaction, </w:t>
      </w:r>
      <w:r>
        <w:rPr>
          <w:rFonts w:ascii="Open Sans" w:hAnsi="Open Sans" w:cs="Open Sans"/>
          <w:sz w:val="20"/>
        </w:rPr>
        <w:t>such a</w:t>
      </w:r>
      <w:r w:rsidR="000A24AB">
        <w:rPr>
          <w:rFonts w:ascii="Open Sans" w:hAnsi="Open Sans" w:cs="Open Sans"/>
          <w:sz w:val="20"/>
        </w:rPr>
        <w:t>s details of the purchase order</w:t>
      </w:r>
      <w:r w:rsidR="00323F0D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receipt</w:t>
      </w:r>
      <w:r w:rsidR="00FE461C">
        <w:rPr>
          <w:rFonts w:ascii="Open Sans" w:hAnsi="Open Sans" w:cs="Open Sans"/>
          <w:sz w:val="20"/>
        </w:rPr>
        <w:t>, finance codes</w:t>
      </w:r>
    </w:p>
    <w:p w14:paraId="63FD34F4" w14:textId="77777777" w:rsidR="000A24AB" w:rsidRPr="000A24AB" w:rsidRDefault="000A24AB" w:rsidP="003660FD">
      <w:pPr>
        <w:pStyle w:val="ListParagraph"/>
        <w:numPr>
          <w:ilvl w:val="0"/>
          <w:numId w:val="26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color w:val="6D009D"/>
          <w:sz w:val="20"/>
        </w:rPr>
        <w:t>Order number</w:t>
      </w:r>
      <w:r w:rsidR="00521BE3">
        <w:rPr>
          <w:rFonts w:ascii="Open Sans" w:hAnsi="Open Sans" w:cs="Open Sans"/>
          <w:sz w:val="20"/>
        </w:rPr>
        <w:t xml:space="preserve"> – when the requisition has been converted into a purchase order (PO) t</w:t>
      </w:r>
      <w:r w:rsidRPr="000A24AB">
        <w:rPr>
          <w:rFonts w:ascii="Open Sans" w:hAnsi="Open Sans" w:cs="Open Sans"/>
          <w:sz w:val="20"/>
        </w:rPr>
        <w:t xml:space="preserve">his </w:t>
      </w:r>
      <w:r w:rsidR="00521BE3">
        <w:rPr>
          <w:rFonts w:ascii="Open Sans" w:hAnsi="Open Sans" w:cs="Open Sans"/>
          <w:sz w:val="20"/>
        </w:rPr>
        <w:t>number shows the purchase order number, along with additional details such as the</w:t>
      </w:r>
      <w:r w:rsidR="00521BE3" w:rsidRPr="00521BE3">
        <w:rPr>
          <w:rFonts w:ascii="Open Sans" w:hAnsi="Open Sans" w:cs="Open Sans"/>
          <w:i/>
          <w:sz w:val="20"/>
        </w:rPr>
        <w:t xml:space="preserve"> Buyer</w:t>
      </w:r>
      <w:r w:rsidR="00521BE3">
        <w:rPr>
          <w:rFonts w:ascii="Open Sans" w:hAnsi="Open Sans" w:cs="Open Sans"/>
          <w:sz w:val="20"/>
        </w:rPr>
        <w:t xml:space="preserve"> name for this PO</w:t>
      </w:r>
    </w:p>
    <w:p w14:paraId="63FD34F6" w14:textId="77777777" w:rsidR="002A68E3" w:rsidRDefault="002A68E3" w:rsidP="002A68E3">
      <w:pPr>
        <w:spacing w:after="0" w:line="240" w:lineRule="auto"/>
        <w:ind w:left="76"/>
        <w:rPr>
          <w:rFonts w:ascii="Open Sans" w:hAnsi="Open Sans" w:cs="Open Sans"/>
          <w:sz w:val="20"/>
        </w:rPr>
      </w:pPr>
    </w:p>
    <w:p w14:paraId="63FD34F7" w14:textId="77777777" w:rsidR="002A68E3" w:rsidRDefault="002A68E3" w:rsidP="003660FD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The </w:t>
      </w:r>
      <w:r w:rsidRPr="00201941">
        <w:rPr>
          <w:rFonts w:ascii="Open Sans" w:hAnsi="Open Sans" w:cs="Open Sans"/>
          <w:b/>
          <w:color w:val="6D009D"/>
          <w:sz w:val="20"/>
        </w:rPr>
        <w:t>Status</w:t>
      </w:r>
      <w:r>
        <w:rPr>
          <w:rFonts w:ascii="Open Sans" w:hAnsi="Open Sans" w:cs="Open Sans"/>
          <w:sz w:val="20"/>
        </w:rPr>
        <w:t xml:space="preserve"> of a requisition will be one of the following:</w:t>
      </w:r>
    </w:p>
    <w:p w14:paraId="63FD34F8" w14:textId="77777777" w:rsidR="003660FD" w:rsidRDefault="003660FD" w:rsidP="003660FD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3FD34F9" w14:textId="77777777" w:rsidR="002A68E3" w:rsidRPr="00A17BD2" w:rsidRDefault="002A68E3" w:rsidP="003660FD">
      <w:pPr>
        <w:pStyle w:val="ListParagraph"/>
        <w:numPr>
          <w:ilvl w:val="0"/>
          <w:numId w:val="27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b/>
          <w:sz w:val="20"/>
        </w:rPr>
      </w:pPr>
      <w:r w:rsidRPr="00A17BD2">
        <w:rPr>
          <w:rFonts w:ascii="Open Sans" w:hAnsi="Open Sans" w:cs="Open Sans"/>
          <w:b/>
          <w:sz w:val="20"/>
        </w:rPr>
        <w:t>Incomplete</w:t>
      </w:r>
    </w:p>
    <w:p w14:paraId="63FD34FA" w14:textId="77777777" w:rsidR="002A68E3" w:rsidRPr="002A68E3" w:rsidRDefault="000A24AB" w:rsidP="002A68E3">
      <w:pPr>
        <w:pStyle w:val="ListParagraph"/>
        <w:spacing w:after="0" w:line="240" w:lineRule="auto"/>
        <w:ind w:left="436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>T</w:t>
      </w:r>
      <w:r w:rsidR="002A68E3" w:rsidRPr="002A68E3">
        <w:rPr>
          <w:rFonts w:ascii="Open Sans" w:hAnsi="Open Sans" w:cs="Open Sans"/>
          <w:sz w:val="20"/>
        </w:rPr>
        <w:t xml:space="preserve">he requisition has been started and saved but has not been submitted for approval by the </w:t>
      </w:r>
      <w:r w:rsidR="008E5CEE" w:rsidRPr="002A68E3">
        <w:rPr>
          <w:rFonts w:ascii="Open Sans" w:hAnsi="Open Sans" w:cs="Open Sans"/>
          <w:sz w:val="20"/>
        </w:rPr>
        <w:t>Requisitioner</w:t>
      </w:r>
      <w:r w:rsidR="002A68E3" w:rsidRPr="002A68E3">
        <w:rPr>
          <w:rFonts w:ascii="Open Sans" w:hAnsi="Open Sans" w:cs="Open Sans"/>
          <w:sz w:val="20"/>
        </w:rPr>
        <w:t>.</w:t>
      </w:r>
      <w:r w:rsidR="002A68E3">
        <w:rPr>
          <w:rFonts w:ascii="Open Sans" w:hAnsi="Open Sans" w:cs="Open Sans"/>
          <w:sz w:val="20"/>
        </w:rPr>
        <w:t xml:space="preserve"> You can either </w:t>
      </w:r>
      <w:r w:rsidR="002A68E3" w:rsidRPr="00BE0B3A">
        <w:rPr>
          <w:rFonts w:ascii="Open Sans" w:hAnsi="Open Sans" w:cs="Open Sans"/>
          <w:b/>
          <w:color w:val="6D009D"/>
          <w:sz w:val="20"/>
        </w:rPr>
        <w:t>Delete</w:t>
      </w:r>
      <w:r w:rsidR="002A68E3">
        <w:rPr>
          <w:rFonts w:ascii="Open Sans" w:hAnsi="Open Sans" w:cs="Open Sans"/>
          <w:sz w:val="20"/>
        </w:rPr>
        <w:t xml:space="preserve"> the incomplete requisition, or continue processing it by clicking </w:t>
      </w:r>
      <w:r w:rsidR="002A68E3" w:rsidRPr="00BE0B3A">
        <w:rPr>
          <w:rFonts w:ascii="Open Sans" w:hAnsi="Open Sans" w:cs="Open Sans"/>
          <w:b/>
          <w:color w:val="6D009D"/>
          <w:sz w:val="20"/>
        </w:rPr>
        <w:t>Complete</w:t>
      </w:r>
      <w:r w:rsidR="002A68E3">
        <w:rPr>
          <w:rFonts w:ascii="Open Sans" w:hAnsi="Open Sans" w:cs="Open Sans"/>
          <w:sz w:val="20"/>
        </w:rPr>
        <w:t>.</w:t>
      </w:r>
    </w:p>
    <w:p w14:paraId="63FD34FB" w14:textId="77777777" w:rsidR="002A68E3" w:rsidRPr="002A68E3" w:rsidRDefault="002A68E3" w:rsidP="002A68E3">
      <w:pPr>
        <w:pStyle w:val="ListParagraph"/>
        <w:spacing w:after="0" w:line="240" w:lineRule="auto"/>
        <w:ind w:left="436"/>
        <w:rPr>
          <w:rFonts w:ascii="Open Sans" w:hAnsi="Open Sans" w:cs="Open Sans"/>
          <w:sz w:val="20"/>
          <w:highlight w:val="yellow"/>
        </w:rPr>
      </w:pPr>
    </w:p>
    <w:p w14:paraId="63FD34FC" w14:textId="77777777" w:rsidR="002A68E3" w:rsidRPr="00201941" w:rsidRDefault="002A68E3" w:rsidP="003660FD">
      <w:pPr>
        <w:pStyle w:val="ListParagraph"/>
        <w:numPr>
          <w:ilvl w:val="0"/>
          <w:numId w:val="27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b/>
          <w:sz w:val="20"/>
        </w:rPr>
      </w:pPr>
      <w:r w:rsidRPr="00201941">
        <w:rPr>
          <w:rFonts w:ascii="Open Sans" w:hAnsi="Open Sans" w:cs="Open Sans"/>
          <w:b/>
          <w:sz w:val="20"/>
        </w:rPr>
        <w:t>In Process</w:t>
      </w:r>
    </w:p>
    <w:p w14:paraId="63FD34FD" w14:textId="77777777" w:rsidR="002A68E3" w:rsidRPr="003660FD" w:rsidRDefault="00201941" w:rsidP="003660FD">
      <w:pPr>
        <w:pStyle w:val="ListParagraph"/>
        <w:spacing w:after="120" w:line="240" w:lineRule="auto"/>
        <w:ind w:left="43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="002A68E3" w:rsidRPr="002A68E3">
        <w:rPr>
          <w:rFonts w:ascii="Open Sans" w:hAnsi="Open Sans" w:cs="Open Sans"/>
          <w:sz w:val="20"/>
        </w:rPr>
        <w:t xml:space="preserve">he requisition has not yet been approved </w:t>
      </w:r>
      <w:r w:rsidR="004D6180">
        <w:rPr>
          <w:rFonts w:ascii="Open Sans" w:hAnsi="Open Sans" w:cs="Open Sans"/>
          <w:sz w:val="20"/>
        </w:rPr>
        <w:t>and is pending with one of the A</w:t>
      </w:r>
      <w:r w:rsidR="002A68E3" w:rsidRPr="002A68E3">
        <w:rPr>
          <w:rFonts w:ascii="Open Sans" w:hAnsi="Open Sans" w:cs="Open Sans"/>
          <w:sz w:val="20"/>
        </w:rPr>
        <w:t>pprovers in the approval list.</w:t>
      </w:r>
      <w:r>
        <w:rPr>
          <w:rFonts w:ascii="Open Sans" w:hAnsi="Open Sans" w:cs="Open Sans"/>
          <w:sz w:val="20"/>
        </w:rPr>
        <w:t xml:space="preserve"> </w:t>
      </w:r>
      <w:r w:rsidR="002A68E3" w:rsidRPr="00201941">
        <w:rPr>
          <w:rFonts w:ascii="Open Sans" w:hAnsi="Open Sans" w:cs="Open Sans"/>
          <w:sz w:val="20"/>
        </w:rPr>
        <w:t>If the requ</w:t>
      </w:r>
      <w:r w:rsidR="008E5CEE">
        <w:rPr>
          <w:rFonts w:ascii="Open Sans" w:hAnsi="Open Sans" w:cs="Open Sans"/>
          <w:sz w:val="20"/>
        </w:rPr>
        <w:t>isition is urgent, contact the A</w:t>
      </w:r>
      <w:r w:rsidR="002A68E3" w:rsidRPr="00201941">
        <w:rPr>
          <w:rFonts w:ascii="Open Sans" w:hAnsi="Open Sans" w:cs="Open Sans"/>
          <w:sz w:val="20"/>
        </w:rPr>
        <w:t xml:space="preserve">pprover to request the requisition is dealt with as soon as possible. </w:t>
      </w:r>
    </w:p>
    <w:p w14:paraId="63FD34FE" w14:textId="77777777" w:rsidR="002A68E3" w:rsidRPr="003660FD" w:rsidRDefault="004D6180" w:rsidP="003660FD">
      <w:pPr>
        <w:pStyle w:val="ListParagraph"/>
        <w:spacing w:after="120" w:line="240" w:lineRule="auto"/>
        <w:ind w:left="43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If the A</w:t>
      </w:r>
      <w:r w:rsidR="002A68E3" w:rsidRPr="002A68E3">
        <w:rPr>
          <w:rFonts w:ascii="Open Sans" w:hAnsi="Open Sans" w:cs="Open Sans"/>
          <w:sz w:val="20"/>
        </w:rPr>
        <w:t>pprove</w:t>
      </w:r>
      <w:r>
        <w:rPr>
          <w:rFonts w:ascii="Open Sans" w:hAnsi="Open Sans" w:cs="Open Sans"/>
          <w:sz w:val="20"/>
        </w:rPr>
        <w:t>r is on a planned absence, the A</w:t>
      </w:r>
      <w:r w:rsidR="002A68E3" w:rsidRPr="002A68E3">
        <w:rPr>
          <w:rFonts w:ascii="Open Sans" w:hAnsi="Open Sans" w:cs="Open Sans"/>
          <w:sz w:val="20"/>
        </w:rPr>
        <w:t xml:space="preserve">pprover should have set their </w:t>
      </w:r>
      <w:r w:rsidR="002A68E3" w:rsidRPr="002A68E3">
        <w:rPr>
          <w:rFonts w:ascii="Open Sans" w:hAnsi="Open Sans" w:cs="Open Sans"/>
          <w:i/>
          <w:sz w:val="20"/>
        </w:rPr>
        <w:t>Vacation Rules</w:t>
      </w:r>
      <w:r w:rsidR="002A68E3" w:rsidRPr="002A68E3">
        <w:rPr>
          <w:rFonts w:ascii="Open Sans" w:hAnsi="Open Sans" w:cs="Open Sans"/>
          <w:sz w:val="20"/>
        </w:rPr>
        <w:t xml:space="preserve"> beforehand. This rule would tell the iProc system to re-direct any of the </w:t>
      </w:r>
      <w:r>
        <w:rPr>
          <w:rFonts w:ascii="Open Sans" w:hAnsi="Open Sans" w:cs="Open Sans"/>
          <w:sz w:val="20"/>
        </w:rPr>
        <w:t>A</w:t>
      </w:r>
      <w:r w:rsidR="000A24AB" w:rsidRPr="002A68E3">
        <w:rPr>
          <w:rFonts w:ascii="Open Sans" w:hAnsi="Open Sans" w:cs="Open Sans"/>
          <w:sz w:val="20"/>
        </w:rPr>
        <w:t>pprover’s</w:t>
      </w:r>
      <w:r w:rsidR="002A68E3" w:rsidRPr="002A68E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requisitions to an appropriate A</w:t>
      </w:r>
      <w:r w:rsidR="002A68E3" w:rsidRPr="002A68E3">
        <w:rPr>
          <w:rFonts w:ascii="Open Sans" w:hAnsi="Open Sans" w:cs="Open Sans"/>
          <w:sz w:val="20"/>
        </w:rPr>
        <w:t xml:space="preserve">pprover in their absence. </w:t>
      </w:r>
    </w:p>
    <w:p w14:paraId="63FD34FF" w14:textId="77777777" w:rsidR="002A68E3" w:rsidRPr="000A24AB" w:rsidRDefault="004D6180" w:rsidP="000A24AB">
      <w:pPr>
        <w:pStyle w:val="ListParagraph"/>
        <w:spacing w:after="0" w:line="240" w:lineRule="auto"/>
        <w:ind w:left="436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If the A</w:t>
      </w:r>
      <w:r w:rsidR="002A68E3" w:rsidRPr="002A68E3">
        <w:rPr>
          <w:rFonts w:ascii="Open Sans" w:hAnsi="Open Sans" w:cs="Open Sans"/>
          <w:sz w:val="20"/>
        </w:rPr>
        <w:t>pprover is on an unplanned absence, contact your School Accountant who can re-assign the req</w:t>
      </w:r>
      <w:r>
        <w:rPr>
          <w:rFonts w:ascii="Open Sans" w:hAnsi="Open Sans" w:cs="Open Sans"/>
          <w:sz w:val="20"/>
        </w:rPr>
        <w:t>uisition to another A</w:t>
      </w:r>
      <w:r w:rsidR="002A68E3" w:rsidRPr="002A68E3">
        <w:rPr>
          <w:rFonts w:ascii="Open Sans" w:hAnsi="Open Sans" w:cs="Open Sans"/>
          <w:sz w:val="20"/>
        </w:rPr>
        <w:t>pprover who is available.</w:t>
      </w:r>
    </w:p>
    <w:p w14:paraId="63FD3500" w14:textId="77777777" w:rsidR="002A68E3" w:rsidRDefault="002A68E3" w:rsidP="002A68E3">
      <w:pPr>
        <w:pStyle w:val="ListParagraph"/>
        <w:spacing w:after="0" w:line="240" w:lineRule="auto"/>
        <w:ind w:left="436"/>
        <w:rPr>
          <w:rFonts w:ascii="Open Sans" w:hAnsi="Open Sans" w:cs="Open Sans"/>
          <w:sz w:val="20"/>
        </w:rPr>
      </w:pPr>
    </w:p>
    <w:p w14:paraId="63FD3501" w14:textId="77777777" w:rsidR="000A24AB" w:rsidRDefault="000A24AB" w:rsidP="000A24AB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b/>
          <w:sz w:val="20"/>
        </w:rPr>
      </w:pPr>
      <w:r w:rsidRPr="003660FD">
        <w:rPr>
          <w:rFonts w:ascii="Open Sans" w:hAnsi="Open Sans" w:cs="Open Sans"/>
          <w:b/>
          <w:sz w:val="20"/>
        </w:rPr>
        <w:t>Approved without an Order number</w:t>
      </w:r>
    </w:p>
    <w:p w14:paraId="4E04B77F" w14:textId="6053C9F4" w:rsidR="008D2309" w:rsidRPr="00444A14" w:rsidRDefault="00913064" w:rsidP="008D2309">
      <w:pPr>
        <w:spacing w:after="0" w:line="240" w:lineRule="auto"/>
        <w:ind w:left="436"/>
        <w:rPr>
          <w:rFonts w:ascii="Open Sans" w:hAnsi="Open Sans" w:cs="Open Sans"/>
          <w:bCs/>
          <w:sz w:val="20"/>
        </w:rPr>
      </w:pPr>
      <w:r w:rsidRPr="00444A14">
        <w:rPr>
          <w:rFonts w:ascii="Open Sans" w:hAnsi="Open Sans" w:cs="Open Sans"/>
          <w:bCs/>
          <w:sz w:val="20"/>
        </w:rPr>
        <w:t>The requisition has not yet been converted to a Purchase Order, contact your local Operational Buyer</w:t>
      </w:r>
      <w:r w:rsidR="00444A14" w:rsidRPr="00444A14">
        <w:rPr>
          <w:rFonts w:ascii="Open Sans" w:hAnsi="Open Sans" w:cs="Open Sans"/>
          <w:bCs/>
          <w:sz w:val="20"/>
        </w:rPr>
        <w:t>.</w:t>
      </w:r>
    </w:p>
    <w:p w14:paraId="63FD3502" w14:textId="77777777" w:rsidR="000A24AB" w:rsidRDefault="000A24AB" w:rsidP="003660FD">
      <w:pPr>
        <w:spacing w:after="0" w:line="240" w:lineRule="auto"/>
        <w:rPr>
          <w:rFonts w:ascii="Open Sans" w:hAnsi="Open Sans" w:cs="Open Sans"/>
          <w:sz w:val="20"/>
        </w:rPr>
      </w:pPr>
    </w:p>
    <w:p w14:paraId="72DE88A8" w14:textId="77777777" w:rsidR="003244A6" w:rsidRDefault="003244A6" w:rsidP="003660FD">
      <w:pPr>
        <w:spacing w:after="0" w:line="240" w:lineRule="auto"/>
        <w:rPr>
          <w:rFonts w:ascii="Open Sans" w:hAnsi="Open Sans" w:cs="Open Sans"/>
          <w:sz w:val="20"/>
        </w:rPr>
      </w:pPr>
    </w:p>
    <w:p w14:paraId="1450214E" w14:textId="77777777" w:rsidR="003244A6" w:rsidRDefault="003244A6" w:rsidP="003660FD">
      <w:pPr>
        <w:spacing w:after="0" w:line="240" w:lineRule="auto"/>
        <w:rPr>
          <w:rFonts w:ascii="Open Sans" w:hAnsi="Open Sans" w:cs="Open Sans"/>
          <w:sz w:val="20"/>
        </w:rPr>
      </w:pPr>
    </w:p>
    <w:p w14:paraId="4D346F65" w14:textId="77777777" w:rsidR="003244A6" w:rsidRDefault="003244A6" w:rsidP="003660FD">
      <w:pPr>
        <w:spacing w:after="0" w:line="240" w:lineRule="auto"/>
        <w:rPr>
          <w:rFonts w:ascii="Open Sans" w:hAnsi="Open Sans" w:cs="Open Sans"/>
          <w:sz w:val="20"/>
        </w:rPr>
      </w:pPr>
    </w:p>
    <w:p w14:paraId="43A9255C" w14:textId="77777777" w:rsidR="003244A6" w:rsidRDefault="003244A6" w:rsidP="003660FD">
      <w:pPr>
        <w:spacing w:after="0" w:line="240" w:lineRule="auto"/>
        <w:rPr>
          <w:rFonts w:ascii="Open Sans" w:hAnsi="Open Sans" w:cs="Open Sans"/>
          <w:sz w:val="20"/>
        </w:rPr>
      </w:pPr>
    </w:p>
    <w:p w14:paraId="02012C6E" w14:textId="77777777" w:rsidR="003244A6" w:rsidRDefault="003244A6" w:rsidP="003660FD">
      <w:pPr>
        <w:spacing w:after="0" w:line="240" w:lineRule="auto"/>
        <w:rPr>
          <w:rFonts w:ascii="Open Sans" w:hAnsi="Open Sans" w:cs="Open Sans"/>
          <w:sz w:val="20"/>
        </w:rPr>
      </w:pPr>
    </w:p>
    <w:p w14:paraId="0FD3E573" w14:textId="77777777" w:rsidR="003244A6" w:rsidRDefault="003244A6" w:rsidP="003660FD">
      <w:pPr>
        <w:spacing w:after="0" w:line="240" w:lineRule="auto"/>
        <w:rPr>
          <w:rFonts w:ascii="Open Sans" w:hAnsi="Open Sans" w:cs="Open Sans"/>
          <w:sz w:val="20"/>
        </w:rPr>
      </w:pPr>
    </w:p>
    <w:p w14:paraId="1F221E53" w14:textId="77777777" w:rsidR="003244A6" w:rsidRPr="003660FD" w:rsidRDefault="003244A6" w:rsidP="003660FD">
      <w:pPr>
        <w:spacing w:after="0" w:line="240" w:lineRule="auto"/>
        <w:rPr>
          <w:rFonts w:ascii="Open Sans" w:hAnsi="Open Sans" w:cs="Open Sans"/>
          <w:sz w:val="20"/>
        </w:rPr>
      </w:pPr>
    </w:p>
    <w:p w14:paraId="63FD3503" w14:textId="77777777" w:rsidR="00BD3105" w:rsidRPr="000A24AB" w:rsidRDefault="00BD3105" w:rsidP="003660FD">
      <w:pPr>
        <w:pStyle w:val="ListParagraph"/>
        <w:numPr>
          <w:ilvl w:val="0"/>
          <w:numId w:val="27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0A24AB">
        <w:rPr>
          <w:rFonts w:ascii="Open Sans" w:hAnsi="Open Sans" w:cs="Open Sans"/>
          <w:b/>
          <w:sz w:val="20"/>
        </w:rPr>
        <w:t>Approved with an Order Number</w:t>
      </w:r>
    </w:p>
    <w:p w14:paraId="63FD3504" w14:textId="4AB3DD0A" w:rsidR="00BD3105" w:rsidRPr="003660FD" w:rsidRDefault="00BD3105" w:rsidP="003660FD">
      <w:pPr>
        <w:pStyle w:val="ListParagraph"/>
        <w:spacing w:after="120" w:line="240" w:lineRule="auto"/>
        <w:ind w:left="43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</w:t>
      </w:r>
      <w:r w:rsidRPr="00BD3105">
        <w:rPr>
          <w:rFonts w:ascii="Open Sans" w:hAnsi="Open Sans" w:cs="Open Sans"/>
          <w:sz w:val="20"/>
        </w:rPr>
        <w:t>nce a requisition has been</w:t>
      </w:r>
      <w:r>
        <w:rPr>
          <w:rFonts w:ascii="Open Sans" w:hAnsi="Open Sans" w:cs="Open Sans"/>
          <w:sz w:val="20"/>
        </w:rPr>
        <w:t xml:space="preserve"> approved and converted into a purchase o</w:t>
      </w:r>
      <w:r w:rsidRPr="00BD3105">
        <w:rPr>
          <w:rFonts w:ascii="Open Sans" w:hAnsi="Open Sans" w:cs="Open Sans"/>
          <w:sz w:val="20"/>
        </w:rPr>
        <w:t>rder by</w:t>
      </w:r>
      <w:r w:rsidR="00FE461C">
        <w:rPr>
          <w:rFonts w:ascii="Open Sans" w:hAnsi="Open Sans" w:cs="Open Sans"/>
          <w:sz w:val="20"/>
        </w:rPr>
        <w:t xml:space="preserve"> the Procurement Hub</w:t>
      </w:r>
      <w:r w:rsidRPr="00BD3105">
        <w:rPr>
          <w:rFonts w:ascii="Open Sans" w:hAnsi="Open Sans" w:cs="Open Sans"/>
          <w:sz w:val="20"/>
        </w:rPr>
        <w:t xml:space="preserve">, the </w:t>
      </w:r>
      <w:r w:rsidRPr="00BD3105">
        <w:rPr>
          <w:rFonts w:ascii="Open Sans" w:hAnsi="Open Sans" w:cs="Open Sans"/>
          <w:i/>
          <w:sz w:val="20"/>
        </w:rPr>
        <w:t>Order</w:t>
      </w:r>
      <w:r w:rsidRPr="00BD3105">
        <w:rPr>
          <w:rFonts w:ascii="Open Sans" w:hAnsi="Open Sans" w:cs="Open Sans"/>
          <w:sz w:val="20"/>
        </w:rPr>
        <w:t xml:space="preserve"> number will be displayed.</w:t>
      </w:r>
    </w:p>
    <w:p w14:paraId="63FD3505" w14:textId="77777777" w:rsidR="00BD3105" w:rsidRDefault="00BD3105" w:rsidP="003660FD">
      <w:pPr>
        <w:pStyle w:val="ListParagraph"/>
        <w:spacing w:after="120" w:line="240" w:lineRule="auto"/>
        <w:ind w:left="-284" w:firstLine="720"/>
        <w:contextualSpacing w:val="0"/>
        <w:rPr>
          <w:rFonts w:ascii="Open Sans" w:hAnsi="Open Sans" w:cs="Open Sans"/>
          <w:sz w:val="20"/>
        </w:rPr>
      </w:pPr>
      <w:r w:rsidRPr="00BD3105">
        <w:rPr>
          <w:rFonts w:ascii="Open Sans" w:hAnsi="Open Sans" w:cs="Open Sans"/>
          <w:sz w:val="20"/>
        </w:rPr>
        <w:t xml:space="preserve">If the </w:t>
      </w:r>
      <w:r w:rsidRPr="00BD3105">
        <w:rPr>
          <w:rFonts w:ascii="Open Sans" w:hAnsi="Open Sans" w:cs="Open Sans"/>
          <w:i/>
          <w:sz w:val="20"/>
        </w:rPr>
        <w:t>Order</w:t>
      </w:r>
      <w:r w:rsidRPr="00BD3105">
        <w:rPr>
          <w:rFonts w:ascii="Open Sans" w:hAnsi="Open Sans" w:cs="Open Sans"/>
          <w:sz w:val="20"/>
        </w:rPr>
        <w:t xml:space="preserve"> number is </w:t>
      </w:r>
      <w:r w:rsidRPr="00BD3105">
        <w:rPr>
          <w:rFonts w:ascii="Open Sans" w:hAnsi="Open Sans" w:cs="Open Sans"/>
          <w:b/>
          <w:sz w:val="20"/>
        </w:rPr>
        <w:t>black</w:t>
      </w:r>
      <w:r w:rsidRPr="00BD3105">
        <w:rPr>
          <w:rFonts w:ascii="Open Sans" w:hAnsi="Open Sans" w:cs="Open Sans"/>
          <w:sz w:val="20"/>
        </w:rPr>
        <w:t xml:space="preserve"> the associated purchase order is incomplete.</w:t>
      </w:r>
    </w:p>
    <w:p w14:paraId="63FD3506" w14:textId="328EF547" w:rsidR="00BD3105" w:rsidRPr="00BD3105" w:rsidRDefault="00BD3105" w:rsidP="000A24AB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If the </w:t>
      </w:r>
      <w:r w:rsidRPr="00BD3105">
        <w:rPr>
          <w:rFonts w:ascii="Open Sans" w:hAnsi="Open Sans" w:cs="Open Sans"/>
          <w:i/>
          <w:sz w:val="20"/>
        </w:rPr>
        <w:t>Order</w:t>
      </w:r>
      <w:r>
        <w:rPr>
          <w:rFonts w:ascii="Open Sans" w:hAnsi="Open Sans" w:cs="Open Sans"/>
          <w:sz w:val="20"/>
        </w:rPr>
        <w:t xml:space="preserve"> number </w:t>
      </w:r>
      <w:r w:rsidRPr="00BD3105">
        <w:rPr>
          <w:rFonts w:ascii="Open Sans" w:hAnsi="Open Sans" w:cs="Open Sans"/>
          <w:sz w:val="20"/>
        </w:rPr>
        <w:t xml:space="preserve">shows as </w:t>
      </w:r>
      <w:r w:rsidRPr="00BD3105">
        <w:rPr>
          <w:rFonts w:ascii="Open Sans" w:hAnsi="Open Sans" w:cs="Open Sans"/>
          <w:b/>
          <w:i/>
          <w:sz w:val="20"/>
        </w:rPr>
        <w:t>Multiple</w:t>
      </w:r>
      <w:r w:rsidRPr="00BD3105">
        <w:rPr>
          <w:rFonts w:ascii="Open Sans" w:hAnsi="Open Sans" w:cs="Open Sans"/>
          <w:sz w:val="20"/>
        </w:rPr>
        <w:t xml:space="preserve"> this means that </w:t>
      </w:r>
      <w:r w:rsidR="00752878">
        <w:rPr>
          <w:rFonts w:ascii="Open Sans" w:hAnsi="Open Sans" w:cs="Open Sans"/>
          <w:sz w:val="20"/>
        </w:rPr>
        <w:t xml:space="preserve">there are multiple suppliers and therefore multiple Purchase Order numbers associated with the </w:t>
      </w:r>
      <w:r w:rsidR="00BF11D6">
        <w:rPr>
          <w:rFonts w:ascii="Open Sans" w:hAnsi="Open Sans" w:cs="Open Sans"/>
          <w:sz w:val="20"/>
        </w:rPr>
        <w:t xml:space="preserve">single </w:t>
      </w:r>
      <w:r w:rsidR="00752878">
        <w:rPr>
          <w:rFonts w:ascii="Open Sans" w:hAnsi="Open Sans" w:cs="Open Sans"/>
          <w:sz w:val="20"/>
        </w:rPr>
        <w:t>requisition.</w:t>
      </w:r>
    </w:p>
    <w:p w14:paraId="63FD3507" w14:textId="77777777" w:rsidR="00863126" w:rsidRDefault="00863126" w:rsidP="00863126">
      <w:pPr>
        <w:spacing w:after="120" w:line="240" w:lineRule="auto"/>
        <w:rPr>
          <w:rFonts w:ascii="Open Sans" w:hAnsi="Open Sans" w:cs="Open Sans"/>
          <w:b/>
          <w:i/>
          <w:sz w:val="20"/>
        </w:rPr>
      </w:pPr>
    </w:p>
    <w:p w14:paraId="63FD3508" w14:textId="77777777" w:rsidR="00F97113" w:rsidRPr="003660FD" w:rsidRDefault="00F97113" w:rsidP="00863126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 w:rsidRPr="003660FD">
        <w:rPr>
          <w:rFonts w:ascii="Open Sans" w:hAnsi="Open Sans" w:cs="Open Sans"/>
          <w:b/>
          <w:i/>
          <w:sz w:val="20"/>
        </w:rPr>
        <w:t>More than one Approver</w:t>
      </w:r>
    </w:p>
    <w:p w14:paraId="63FD3509" w14:textId="77777777" w:rsidR="00F97113" w:rsidRDefault="004C1A56" w:rsidP="008E5CEE">
      <w:pPr>
        <w:spacing w:after="12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A requisition may requi</w:t>
      </w:r>
      <w:r w:rsidR="008E5CEE">
        <w:rPr>
          <w:rFonts w:ascii="Open Sans" w:hAnsi="Open Sans" w:cs="Open Sans"/>
          <w:sz w:val="20"/>
        </w:rPr>
        <w:t>re approval from more than one A</w:t>
      </w:r>
      <w:r>
        <w:rPr>
          <w:rFonts w:ascii="Open Sans" w:hAnsi="Open Sans" w:cs="Open Sans"/>
          <w:sz w:val="20"/>
        </w:rPr>
        <w:t>pprover because more than one finance code (Activity/Project) has been used on the requisition, or because the requisition requires high level approval due to the requisition total.</w:t>
      </w:r>
    </w:p>
    <w:p w14:paraId="63FD350A" w14:textId="77777777" w:rsidR="004C1A56" w:rsidRPr="003660FD" w:rsidRDefault="003660FD" w:rsidP="003660FD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Pr="00F54F39">
        <w:rPr>
          <w:rFonts w:ascii="Open Sans" w:hAnsi="Open Sans" w:cs="Open Sans"/>
          <w:sz w:val="20"/>
        </w:rPr>
        <w:t>o see more de</w:t>
      </w:r>
      <w:r>
        <w:rPr>
          <w:rFonts w:ascii="Open Sans" w:hAnsi="Open Sans" w:cs="Open Sans"/>
          <w:sz w:val="20"/>
        </w:rPr>
        <w:t>tail about the approval history, f</w:t>
      </w:r>
      <w:r w:rsidR="00F54F39" w:rsidRPr="003660FD">
        <w:rPr>
          <w:rFonts w:ascii="Open Sans" w:hAnsi="Open Sans" w:cs="Open Sans"/>
          <w:color w:val="000000" w:themeColor="text1"/>
          <w:sz w:val="20"/>
        </w:rPr>
        <w:t xml:space="preserve">ind the requisition in the </w:t>
      </w:r>
      <w:r w:rsidR="00F54F39" w:rsidRPr="003660FD">
        <w:rPr>
          <w:rFonts w:ascii="Open Sans" w:hAnsi="Open Sans" w:cs="Open Sans"/>
          <w:b/>
          <w:color w:val="6D009D"/>
          <w:sz w:val="20"/>
        </w:rPr>
        <w:t>Requisitions</w:t>
      </w:r>
      <w:r>
        <w:rPr>
          <w:rFonts w:ascii="Open Sans" w:hAnsi="Open Sans" w:cs="Open Sans"/>
          <w:color w:val="000000" w:themeColor="text1"/>
          <w:sz w:val="20"/>
        </w:rPr>
        <w:t xml:space="preserve"> tab and then c</w:t>
      </w:r>
      <w:r w:rsidR="004C1A56" w:rsidRPr="003660FD">
        <w:rPr>
          <w:rFonts w:ascii="Open Sans" w:hAnsi="Open Sans" w:cs="Open Sans"/>
          <w:sz w:val="20"/>
        </w:rPr>
        <w:t xml:space="preserve">lick on the </w:t>
      </w:r>
      <w:r w:rsidR="004C1A56" w:rsidRPr="003660FD">
        <w:rPr>
          <w:rFonts w:ascii="Open Sans" w:hAnsi="Open Sans" w:cs="Open Sans"/>
          <w:b/>
          <w:color w:val="6D009D"/>
          <w:sz w:val="20"/>
        </w:rPr>
        <w:t>Status</w:t>
      </w:r>
      <w:r>
        <w:rPr>
          <w:rFonts w:ascii="Open Sans" w:hAnsi="Open Sans" w:cs="Open Sans"/>
          <w:sz w:val="20"/>
        </w:rPr>
        <w:t>.</w:t>
      </w:r>
    </w:p>
    <w:p w14:paraId="63FD350B" w14:textId="77777777" w:rsidR="00F54F39" w:rsidRPr="00F54F39" w:rsidRDefault="00F54F39" w:rsidP="00F97113">
      <w:pPr>
        <w:pStyle w:val="ListParagraph"/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3FD350C" w14:textId="77777777" w:rsidR="00F97113" w:rsidRDefault="00F97113" w:rsidP="00F97113">
      <w:pPr>
        <w:pStyle w:val="ListParagraph"/>
        <w:spacing w:after="0" w:line="240" w:lineRule="auto"/>
        <w:ind w:left="-284"/>
        <w:rPr>
          <w:rFonts w:ascii="Open Sans" w:hAnsi="Open Sans" w:cs="Open Sans"/>
          <w:b/>
          <w:i/>
          <w:sz w:val="20"/>
        </w:rPr>
      </w:pPr>
    </w:p>
    <w:p w14:paraId="63FD350D" w14:textId="77777777" w:rsidR="00F97113" w:rsidRPr="003660FD" w:rsidRDefault="004C1A56" w:rsidP="003660FD">
      <w:pPr>
        <w:pStyle w:val="ListParagraph"/>
        <w:spacing w:after="120" w:line="240" w:lineRule="auto"/>
        <w:ind w:left="-284"/>
        <w:contextualSpacing w:val="0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b/>
          <w:i/>
          <w:sz w:val="20"/>
        </w:rPr>
        <w:t xml:space="preserve">In Process and </w:t>
      </w:r>
      <w:r w:rsidR="00F97113">
        <w:rPr>
          <w:rFonts w:ascii="Open Sans" w:hAnsi="Open Sans" w:cs="Open Sans"/>
          <w:b/>
          <w:i/>
          <w:sz w:val="20"/>
        </w:rPr>
        <w:t>Delegated</w:t>
      </w:r>
    </w:p>
    <w:p w14:paraId="63FD350E" w14:textId="77777777" w:rsidR="003660FD" w:rsidRDefault="00F97113" w:rsidP="003660FD">
      <w:pPr>
        <w:spacing w:after="12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If</w:t>
      </w:r>
      <w:r w:rsidR="004C1A56">
        <w:rPr>
          <w:rFonts w:ascii="Open Sans" w:hAnsi="Open Sans" w:cs="Open Sans"/>
          <w:sz w:val="20"/>
        </w:rPr>
        <w:t xml:space="preserve"> the approval history screen shows that a requisition has been </w:t>
      </w:r>
      <w:r w:rsidR="004C1A56" w:rsidRPr="004C1A56">
        <w:rPr>
          <w:rFonts w:ascii="Open Sans" w:hAnsi="Open Sans" w:cs="Open Sans"/>
          <w:i/>
          <w:sz w:val="20"/>
        </w:rPr>
        <w:t>Delegated</w:t>
      </w:r>
      <w:r w:rsidR="004C1A56">
        <w:rPr>
          <w:rFonts w:ascii="Open Sans" w:hAnsi="Open Sans" w:cs="Open Sans"/>
          <w:sz w:val="20"/>
        </w:rPr>
        <w:t>, this either means that:</w:t>
      </w:r>
    </w:p>
    <w:p w14:paraId="63FD350F" w14:textId="77777777" w:rsidR="00FA6FE3" w:rsidRPr="003660FD" w:rsidRDefault="008E5CEE" w:rsidP="003660FD">
      <w:pPr>
        <w:pStyle w:val="ListParagraph"/>
        <w:numPr>
          <w:ilvl w:val="0"/>
          <w:numId w:val="25"/>
        </w:numPr>
        <w:spacing w:after="12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The A</w:t>
      </w:r>
      <w:r w:rsidR="004C1A56" w:rsidRPr="00FA6FE3">
        <w:rPr>
          <w:rFonts w:ascii="Open Sans" w:hAnsi="Open Sans" w:cs="Open Sans"/>
          <w:sz w:val="20"/>
        </w:rPr>
        <w:t xml:space="preserve">pprover has set up their </w:t>
      </w:r>
      <w:r w:rsidR="004C1A56" w:rsidRPr="00FA6FE3">
        <w:rPr>
          <w:rFonts w:ascii="Open Sans" w:hAnsi="Open Sans" w:cs="Open Sans"/>
          <w:i/>
          <w:sz w:val="20"/>
        </w:rPr>
        <w:t>Vacation Rule</w:t>
      </w:r>
      <w:r w:rsidR="004C1A56" w:rsidRPr="00FA6FE3">
        <w:rPr>
          <w:rFonts w:ascii="Open Sans" w:hAnsi="Open Sans" w:cs="Open Sans"/>
          <w:sz w:val="20"/>
        </w:rPr>
        <w:t xml:space="preserve"> for a planned absence and so any requisitions raised to a finance code they are resp</w:t>
      </w:r>
      <w:r w:rsidR="00FA6FE3">
        <w:rPr>
          <w:rFonts w:ascii="Open Sans" w:hAnsi="Open Sans" w:cs="Open Sans"/>
          <w:sz w:val="20"/>
        </w:rPr>
        <w:t xml:space="preserve">onsible for will be directed to an </w:t>
      </w:r>
      <w:r w:rsidR="00FA6FE3" w:rsidRPr="00FA6FE3">
        <w:rPr>
          <w:rFonts w:ascii="Open Sans" w:hAnsi="Open Sans" w:cs="Open Sans"/>
          <w:sz w:val="20"/>
        </w:rPr>
        <w:t xml:space="preserve">appropriate </w:t>
      </w:r>
      <w:r w:rsidR="004D6180">
        <w:rPr>
          <w:rFonts w:ascii="Open Sans" w:hAnsi="Open Sans" w:cs="Open Sans"/>
          <w:sz w:val="20"/>
        </w:rPr>
        <w:t>A</w:t>
      </w:r>
      <w:r w:rsidR="00FA6FE3" w:rsidRPr="00FA6FE3">
        <w:rPr>
          <w:rFonts w:ascii="Open Sans" w:hAnsi="Open Sans" w:cs="Open Sans"/>
          <w:sz w:val="20"/>
        </w:rPr>
        <w:t>pprover in their area who will approve requisitions on their behalf whilst they are unavailable.</w:t>
      </w:r>
    </w:p>
    <w:p w14:paraId="63FD3510" w14:textId="395BAC03" w:rsidR="00FA6FE3" w:rsidRPr="004D6180" w:rsidRDefault="00FA6FE3" w:rsidP="004D6180">
      <w:pPr>
        <w:pStyle w:val="ListParagraph"/>
        <w:numPr>
          <w:ilvl w:val="0"/>
          <w:numId w:val="25"/>
        </w:numPr>
        <w:spacing w:after="0" w:line="240" w:lineRule="auto"/>
        <w:rPr>
          <w:rFonts w:ascii="Open Sans" w:hAnsi="Open Sans" w:cs="Open Sans"/>
          <w:sz w:val="20"/>
        </w:rPr>
      </w:pPr>
      <w:r w:rsidRPr="00FA6FE3">
        <w:rPr>
          <w:rFonts w:ascii="Open Sans" w:hAnsi="Open Sans" w:cs="Open Sans"/>
          <w:sz w:val="20"/>
        </w:rPr>
        <w:t xml:space="preserve">If </w:t>
      </w:r>
      <w:r w:rsidR="008E5CEE">
        <w:rPr>
          <w:rFonts w:ascii="Open Sans" w:hAnsi="Open Sans" w:cs="Open Sans"/>
          <w:sz w:val="20"/>
        </w:rPr>
        <w:t>the A</w:t>
      </w:r>
      <w:r w:rsidRPr="008E5CEE">
        <w:rPr>
          <w:rFonts w:ascii="Open Sans" w:hAnsi="Open Sans" w:cs="Open Sans"/>
          <w:sz w:val="20"/>
        </w:rPr>
        <w:t xml:space="preserve">pprover has not set their </w:t>
      </w:r>
      <w:r w:rsidRPr="008E5CEE">
        <w:rPr>
          <w:rFonts w:ascii="Open Sans" w:hAnsi="Open Sans" w:cs="Open Sans"/>
          <w:i/>
          <w:sz w:val="20"/>
        </w:rPr>
        <w:t>Vacation Rule</w:t>
      </w:r>
      <w:r w:rsidRPr="008E5CEE">
        <w:rPr>
          <w:rFonts w:ascii="Open Sans" w:hAnsi="Open Sans" w:cs="Open Sans"/>
          <w:sz w:val="20"/>
        </w:rPr>
        <w:t xml:space="preserve"> then the requisition approvals</w:t>
      </w:r>
      <w:r w:rsidR="004D6180">
        <w:rPr>
          <w:rFonts w:ascii="Open Sans" w:hAnsi="Open Sans" w:cs="Open Sans"/>
          <w:sz w:val="20"/>
        </w:rPr>
        <w:t xml:space="preserve"> will still be received by the A</w:t>
      </w:r>
      <w:r w:rsidRPr="004D6180">
        <w:rPr>
          <w:rFonts w:ascii="Open Sans" w:hAnsi="Open Sans" w:cs="Open Sans"/>
          <w:sz w:val="20"/>
        </w:rPr>
        <w:t xml:space="preserve">pprover of the code/s even if they are unavailable. Requisitioners should notify </w:t>
      </w:r>
      <w:r w:rsidR="00406700">
        <w:rPr>
          <w:rFonts w:ascii="Open Sans" w:hAnsi="Open Sans" w:cs="Open Sans"/>
          <w:sz w:val="20"/>
        </w:rPr>
        <w:t xml:space="preserve">Finance Helpdesk </w:t>
      </w:r>
      <w:r w:rsidR="003244A6">
        <w:rPr>
          <w:rFonts w:ascii="Open Sans" w:hAnsi="Open Sans" w:cs="Open Sans"/>
          <w:sz w:val="20"/>
        </w:rPr>
        <w:t xml:space="preserve">if </w:t>
      </w:r>
      <w:r w:rsidRPr="004D6180">
        <w:rPr>
          <w:rFonts w:ascii="Open Sans" w:hAnsi="Open Sans" w:cs="Open Sans"/>
          <w:sz w:val="20"/>
        </w:rPr>
        <w:t>this is the case to reass</w:t>
      </w:r>
      <w:r w:rsidR="008E5CEE" w:rsidRPr="004D6180">
        <w:rPr>
          <w:rFonts w:ascii="Open Sans" w:hAnsi="Open Sans" w:cs="Open Sans"/>
          <w:sz w:val="20"/>
        </w:rPr>
        <w:t>ign the requisition to another A</w:t>
      </w:r>
      <w:r w:rsidRPr="004D6180">
        <w:rPr>
          <w:rFonts w:ascii="Open Sans" w:hAnsi="Open Sans" w:cs="Open Sans"/>
          <w:sz w:val="20"/>
        </w:rPr>
        <w:t>pprover. Once reassigned, the requisition status will show as</w:t>
      </w:r>
      <w:r w:rsidRPr="004D6180">
        <w:rPr>
          <w:rFonts w:ascii="Open Sans" w:hAnsi="Open Sans" w:cs="Open Sans"/>
          <w:i/>
          <w:sz w:val="20"/>
        </w:rPr>
        <w:t xml:space="preserve"> Delegated</w:t>
      </w:r>
      <w:r w:rsidRPr="004D6180">
        <w:rPr>
          <w:rFonts w:ascii="Open Sans" w:hAnsi="Open Sans" w:cs="Open Sans"/>
          <w:sz w:val="20"/>
        </w:rPr>
        <w:t>.</w:t>
      </w:r>
    </w:p>
    <w:p w14:paraId="63FD3511" w14:textId="77777777" w:rsidR="00FA6FE3" w:rsidRPr="00FA6FE3" w:rsidRDefault="00FA6FE3" w:rsidP="00FA6FE3">
      <w:pPr>
        <w:spacing w:after="0" w:line="240" w:lineRule="auto"/>
        <w:ind w:left="76"/>
        <w:rPr>
          <w:rFonts w:ascii="Open Sans" w:hAnsi="Open Sans" w:cs="Open Sans"/>
          <w:sz w:val="20"/>
        </w:rPr>
      </w:pPr>
    </w:p>
    <w:p w14:paraId="63FD3512" w14:textId="77777777" w:rsidR="006A3576" w:rsidRPr="001A76CE" w:rsidRDefault="003660FD" w:rsidP="001A76CE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Pr="00F54F39">
        <w:rPr>
          <w:rFonts w:ascii="Open Sans" w:hAnsi="Open Sans" w:cs="Open Sans"/>
          <w:sz w:val="20"/>
        </w:rPr>
        <w:t>o see more de</w:t>
      </w:r>
      <w:r>
        <w:rPr>
          <w:rFonts w:ascii="Open Sans" w:hAnsi="Open Sans" w:cs="Open Sans"/>
          <w:sz w:val="20"/>
        </w:rPr>
        <w:t>tail about the approval history, f</w:t>
      </w:r>
      <w:r w:rsidRPr="003660FD">
        <w:rPr>
          <w:rFonts w:ascii="Open Sans" w:hAnsi="Open Sans" w:cs="Open Sans"/>
          <w:color w:val="000000" w:themeColor="text1"/>
          <w:sz w:val="20"/>
        </w:rPr>
        <w:t xml:space="preserve">ind the requisition in the </w:t>
      </w:r>
      <w:r w:rsidRPr="003660FD">
        <w:rPr>
          <w:rFonts w:ascii="Open Sans" w:hAnsi="Open Sans" w:cs="Open Sans"/>
          <w:b/>
          <w:color w:val="6D009D"/>
          <w:sz w:val="20"/>
        </w:rPr>
        <w:t>Requisitions</w:t>
      </w:r>
      <w:r>
        <w:rPr>
          <w:rFonts w:ascii="Open Sans" w:hAnsi="Open Sans" w:cs="Open Sans"/>
          <w:color w:val="000000" w:themeColor="text1"/>
          <w:sz w:val="20"/>
        </w:rPr>
        <w:t xml:space="preserve"> tab and then c</w:t>
      </w:r>
      <w:r w:rsidRPr="003660FD">
        <w:rPr>
          <w:rFonts w:ascii="Open Sans" w:hAnsi="Open Sans" w:cs="Open Sans"/>
          <w:sz w:val="20"/>
        </w:rPr>
        <w:t xml:space="preserve">lick on the </w:t>
      </w:r>
      <w:r w:rsidRPr="003660FD">
        <w:rPr>
          <w:rFonts w:ascii="Open Sans" w:hAnsi="Open Sans" w:cs="Open Sans"/>
          <w:b/>
          <w:color w:val="6D009D"/>
          <w:sz w:val="20"/>
        </w:rPr>
        <w:t>Status</w:t>
      </w:r>
      <w:r>
        <w:rPr>
          <w:rFonts w:ascii="Open Sans" w:hAnsi="Open Sans" w:cs="Open Sans"/>
          <w:sz w:val="20"/>
        </w:rPr>
        <w:t>.</w:t>
      </w:r>
    </w:p>
    <w:sectPr w:rsidR="006A3576" w:rsidRPr="001A76CE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3519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63FD351A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D351C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981E60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63FD351D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3517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63FD3518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351B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3FD351E" wp14:editId="63FD351F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63FD3520" wp14:editId="63FD3521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680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32FF3"/>
    <w:multiLevelType w:val="hybridMultilevel"/>
    <w:tmpl w:val="854AE8B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270AA1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D013F"/>
    <w:multiLevelType w:val="hybridMultilevel"/>
    <w:tmpl w:val="8F92690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1F4FA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F5E1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C3680C"/>
    <w:multiLevelType w:val="hybridMultilevel"/>
    <w:tmpl w:val="A376510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93056CA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196678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9470">
    <w:abstractNumId w:val="26"/>
  </w:num>
  <w:num w:numId="2" w16cid:durableId="756948662">
    <w:abstractNumId w:val="2"/>
  </w:num>
  <w:num w:numId="3" w16cid:durableId="1632206652">
    <w:abstractNumId w:val="0"/>
  </w:num>
  <w:num w:numId="4" w16cid:durableId="1586039432">
    <w:abstractNumId w:val="25"/>
  </w:num>
  <w:num w:numId="5" w16cid:durableId="564723826">
    <w:abstractNumId w:val="15"/>
  </w:num>
  <w:num w:numId="6" w16cid:durableId="406534967">
    <w:abstractNumId w:val="10"/>
  </w:num>
  <w:num w:numId="7" w16cid:durableId="1485926003">
    <w:abstractNumId w:val="11"/>
  </w:num>
  <w:num w:numId="8" w16cid:durableId="1330674997">
    <w:abstractNumId w:val="8"/>
  </w:num>
  <w:num w:numId="9" w16cid:durableId="739211425">
    <w:abstractNumId w:val="17"/>
  </w:num>
  <w:num w:numId="10" w16cid:durableId="1545368891">
    <w:abstractNumId w:val="22"/>
  </w:num>
  <w:num w:numId="11" w16cid:durableId="1148743735">
    <w:abstractNumId w:val="3"/>
  </w:num>
  <w:num w:numId="12" w16cid:durableId="30887409">
    <w:abstractNumId w:val="24"/>
  </w:num>
  <w:num w:numId="13" w16cid:durableId="1096252200">
    <w:abstractNumId w:val="1"/>
  </w:num>
  <w:num w:numId="14" w16cid:durableId="1418138959">
    <w:abstractNumId w:val="23"/>
  </w:num>
  <w:num w:numId="15" w16cid:durableId="456684499">
    <w:abstractNumId w:val="14"/>
  </w:num>
  <w:num w:numId="16" w16cid:durableId="236943918">
    <w:abstractNumId w:val="12"/>
  </w:num>
  <w:num w:numId="17" w16cid:durableId="1802919985">
    <w:abstractNumId w:val="9"/>
  </w:num>
  <w:num w:numId="18" w16cid:durableId="405228009">
    <w:abstractNumId w:val="16"/>
  </w:num>
  <w:num w:numId="19" w16cid:durableId="1512455940">
    <w:abstractNumId w:val="20"/>
  </w:num>
  <w:num w:numId="20" w16cid:durableId="1114977491">
    <w:abstractNumId w:val="13"/>
  </w:num>
  <w:num w:numId="21" w16cid:durableId="274597861">
    <w:abstractNumId w:val="18"/>
  </w:num>
  <w:num w:numId="22" w16cid:durableId="906067367">
    <w:abstractNumId w:val="6"/>
  </w:num>
  <w:num w:numId="23" w16cid:durableId="877399136">
    <w:abstractNumId w:val="21"/>
  </w:num>
  <w:num w:numId="24" w16cid:durableId="1652127965">
    <w:abstractNumId w:val="4"/>
  </w:num>
  <w:num w:numId="25" w16cid:durableId="1267880558">
    <w:abstractNumId w:val="5"/>
  </w:num>
  <w:num w:numId="26" w16cid:durableId="473454116">
    <w:abstractNumId w:val="19"/>
  </w:num>
  <w:num w:numId="27" w16cid:durableId="575431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61187"/>
    <w:rsid w:val="00087968"/>
    <w:rsid w:val="00095244"/>
    <w:rsid w:val="000A24AB"/>
    <w:rsid w:val="000A2D60"/>
    <w:rsid w:val="000B5108"/>
    <w:rsid w:val="000B6E2E"/>
    <w:rsid w:val="000B6EEE"/>
    <w:rsid w:val="000B7910"/>
    <w:rsid w:val="000C6270"/>
    <w:rsid w:val="001109CD"/>
    <w:rsid w:val="00113875"/>
    <w:rsid w:val="00120BC2"/>
    <w:rsid w:val="001228AB"/>
    <w:rsid w:val="0012682D"/>
    <w:rsid w:val="00126DDE"/>
    <w:rsid w:val="00137FF9"/>
    <w:rsid w:val="00141794"/>
    <w:rsid w:val="00142C0E"/>
    <w:rsid w:val="0015454A"/>
    <w:rsid w:val="00155F01"/>
    <w:rsid w:val="00163081"/>
    <w:rsid w:val="00182E35"/>
    <w:rsid w:val="00185CB5"/>
    <w:rsid w:val="00196600"/>
    <w:rsid w:val="001A55AC"/>
    <w:rsid w:val="001A76CE"/>
    <w:rsid w:val="001B4A90"/>
    <w:rsid w:val="001C79AA"/>
    <w:rsid w:val="001D663F"/>
    <w:rsid w:val="001F3C80"/>
    <w:rsid w:val="002000A5"/>
    <w:rsid w:val="00201941"/>
    <w:rsid w:val="002030D1"/>
    <w:rsid w:val="00204F0F"/>
    <w:rsid w:val="0020720C"/>
    <w:rsid w:val="002139A8"/>
    <w:rsid w:val="00237155"/>
    <w:rsid w:val="002439E4"/>
    <w:rsid w:val="00255805"/>
    <w:rsid w:val="002A68E3"/>
    <w:rsid w:val="002C5209"/>
    <w:rsid w:val="002D4E25"/>
    <w:rsid w:val="002E316F"/>
    <w:rsid w:val="002F0F39"/>
    <w:rsid w:val="002F6472"/>
    <w:rsid w:val="00304EE0"/>
    <w:rsid w:val="00316454"/>
    <w:rsid w:val="00323F0D"/>
    <w:rsid w:val="003244A6"/>
    <w:rsid w:val="003254CE"/>
    <w:rsid w:val="00332FA0"/>
    <w:rsid w:val="003433FC"/>
    <w:rsid w:val="003445E9"/>
    <w:rsid w:val="00352B32"/>
    <w:rsid w:val="003550DD"/>
    <w:rsid w:val="00363F5E"/>
    <w:rsid w:val="003660FD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6F6C"/>
    <w:rsid w:val="00402C57"/>
    <w:rsid w:val="00406700"/>
    <w:rsid w:val="00412879"/>
    <w:rsid w:val="00424F30"/>
    <w:rsid w:val="00424F49"/>
    <w:rsid w:val="00431E4D"/>
    <w:rsid w:val="00433636"/>
    <w:rsid w:val="00440415"/>
    <w:rsid w:val="00444A14"/>
    <w:rsid w:val="0046326A"/>
    <w:rsid w:val="00480C80"/>
    <w:rsid w:val="00484556"/>
    <w:rsid w:val="00485762"/>
    <w:rsid w:val="004A2BC9"/>
    <w:rsid w:val="004B2578"/>
    <w:rsid w:val="004B426F"/>
    <w:rsid w:val="004B5BF3"/>
    <w:rsid w:val="004C1A56"/>
    <w:rsid w:val="004C72B5"/>
    <w:rsid w:val="004C7852"/>
    <w:rsid w:val="004D59AC"/>
    <w:rsid w:val="004D6084"/>
    <w:rsid w:val="004D6180"/>
    <w:rsid w:val="00502594"/>
    <w:rsid w:val="005159B0"/>
    <w:rsid w:val="0051743E"/>
    <w:rsid w:val="00521BE3"/>
    <w:rsid w:val="0052349B"/>
    <w:rsid w:val="0054596C"/>
    <w:rsid w:val="005664C4"/>
    <w:rsid w:val="00567872"/>
    <w:rsid w:val="00581E06"/>
    <w:rsid w:val="005B4F83"/>
    <w:rsid w:val="005C0F4A"/>
    <w:rsid w:val="005D31F2"/>
    <w:rsid w:val="005D492C"/>
    <w:rsid w:val="005D6DCB"/>
    <w:rsid w:val="005F74DE"/>
    <w:rsid w:val="00602031"/>
    <w:rsid w:val="00603274"/>
    <w:rsid w:val="006124A0"/>
    <w:rsid w:val="006171C4"/>
    <w:rsid w:val="00647128"/>
    <w:rsid w:val="00647F89"/>
    <w:rsid w:val="0065770A"/>
    <w:rsid w:val="006607DC"/>
    <w:rsid w:val="006A3576"/>
    <w:rsid w:val="006A467E"/>
    <w:rsid w:val="006B160C"/>
    <w:rsid w:val="006B4B94"/>
    <w:rsid w:val="006C1AE3"/>
    <w:rsid w:val="006C51F0"/>
    <w:rsid w:val="006D4086"/>
    <w:rsid w:val="006D62D7"/>
    <w:rsid w:val="006E26C8"/>
    <w:rsid w:val="00713E90"/>
    <w:rsid w:val="00726A1A"/>
    <w:rsid w:val="007404FC"/>
    <w:rsid w:val="0074239D"/>
    <w:rsid w:val="00744990"/>
    <w:rsid w:val="00745CBA"/>
    <w:rsid w:val="00747507"/>
    <w:rsid w:val="00752878"/>
    <w:rsid w:val="007559F1"/>
    <w:rsid w:val="007636F8"/>
    <w:rsid w:val="00784C73"/>
    <w:rsid w:val="00792EDB"/>
    <w:rsid w:val="00794C95"/>
    <w:rsid w:val="00802B46"/>
    <w:rsid w:val="008210B8"/>
    <w:rsid w:val="00824665"/>
    <w:rsid w:val="0083355B"/>
    <w:rsid w:val="00852D20"/>
    <w:rsid w:val="008552D8"/>
    <w:rsid w:val="00860939"/>
    <w:rsid w:val="00863126"/>
    <w:rsid w:val="00865D2D"/>
    <w:rsid w:val="00883734"/>
    <w:rsid w:val="00891F33"/>
    <w:rsid w:val="008A3FC3"/>
    <w:rsid w:val="008C52B7"/>
    <w:rsid w:val="008D0392"/>
    <w:rsid w:val="008D2309"/>
    <w:rsid w:val="008D2C45"/>
    <w:rsid w:val="008E5CEE"/>
    <w:rsid w:val="008F3B61"/>
    <w:rsid w:val="00913064"/>
    <w:rsid w:val="009278A2"/>
    <w:rsid w:val="00935A92"/>
    <w:rsid w:val="009603C5"/>
    <w:rsid w:val="009636E0"/>
    <w:rsid w:val="00972064"/>
    <w:rsid w:val="0098179F"/>
    <w:rsid w:val="00981E60"/>
    <w:rsid w:val="009A6791"/>
    <w:rsid w:val="009B290F"/>
    <w:rsid w:val="009B6AB1"/>
    <w:rsid w:val="009E723D"/>
    <w:rsid w:val="009F7A1F"/>
    <w:rsid w:val="00A10207"/>
    <w:rsid w:val="00A119C1"/>
    <w:rsid w:val="00A17BD2"/>
    <w:rsid w:val="00A23F8C"/>
    <w:rsid w:val="00A30261"/>
    <w:rsid w:val="00A34F5D"/>
    <w:rsid w:val="00A417AB"/>
    <w:rsid w:val="00A50809"/>
    <w:rsid w:val="00A52CD7"/>
    <w:rsid w:val="00A70A84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707ED"/>
    <w:rsid w:val="00B804D8"/>
    <w:rsid w:val="00B837CB"/>
    <w:rsid w:val="00B86114"/>
    <w:rsid w:val="00B96F15"/>
    <w:rsid w:val="00BA3896"/>
    <w:rsid w:val="00BB0D82"/>
    <w:rsid w:val="00BD122A"/>
    <w:rsid w:val="00BD3105"/>
    <w:rsid w:val="00BD385C"/>
    <w:rsid w:val="00BE0371"/>
    <w:rsid w:val="00BE0B3A"/>
    <w:rsid w:val="00BF11D6"/>
    <w:rsid w:val="00C013B0"/>
    <w:rsid w:val="00C15E33"/>
    <w:rsid w:val="00C166A0"/>
    <w:rsid w:val="00C16F32"/>
    <w:rsid w:val="00C25A1D"/>
    <w:rsid w:val="00C265B4"/>
    <w:rsid w:val="00C4459A"/>
    <w:rsid w:val="00C508B0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601C"/>
    <w:rsid w:val="00E01070"/>
    <w:rsid w:val="00E25A71"/>
    <w:rsid w:val="00E30579"/>
    <w:rsid w:val="00E338A9"/>
    <w:rsid w:val="00E74F84"/>
    <w:rsid w:val="00E95212"/>
    <w:rsid w:val="00EA0CF8"/>
    <w:rsid w:val="00EA25FB"/>
    <w:rsid w:val="00EC4052"/>
    <w:rsid w:val="00ED29D8"/>
    <w:rsid w:val="00F03034"/>
    <w:rsid w:val="00F15830"/>
    <w:rsid w:val="00F161EE"/>
    <w:rsid w:val="00F230C8"/>
    <w:rsid w:val="00F2678F"/>
    <w:rsid w:val="00F54F39"/>
    <w:rsid w:val="00F631E2"/>
    <w:rsid w:val="00F76A20"/>
    <w:rsid w:val="00F911B6"/>
    <w:rsid w:val="00F97113"/>
    <w:rsid w:val="00F9782B"/>
    <w:rsid w:val="00FA5AC7"/>
    <w:rsid w:val="00FA6FE3"/>
    <w:rsid w:val="00FC55BC"/>
    <w:rsid w:val="00FD2DE6"/>
    <w:rsid w:val="00FE461C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3FD34ED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0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11EE7-E87D-46F4-A2C4-2805150B3F43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6BED09F5-E3F3-443D-A76B-D56992AEC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608CC-D411-4E98-AF18-5355089D2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D2B52-FFF6-44AF-B660-57ED270A7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14</cp:revision>
  <cp:lastPrinted>2015-07-01T11:13:00Z</cp:lastPrinted>
  <dcterms:created xsi:type="dcterms:W3CDTF">2018-06-12T14:18:00Z</dcterms:created>
  <dcterms:modified xsi:type="dcterms:W3CDTF">2025-03-27T15:29:00Z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