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4C0C9" w14:textId="6AFB7DDB" w:rsidR="005B4886" w:rsidRDefault="00731E68" w:rsidP="001F6A4B">
      <w:pPr>
        <w:jc w:val="center"/>
      </w:pPr>
      <w:r>
        <w:rPr>
          <w:noProof/>
          <w:lang w:eastAsia="en-GB"/>
        </w:rPr>
        <mc:AlternateContent>
          <mc:Choice Requires="wps">
            <w:drawing>
              <wp:anchor distT="0" distB="0" distL="114300" distR="114300" simplePos="0" relativeHeight="251659264" behindDoc="0" locked="0" layoutInCell="1" allowOverlap="1" wp14:anchorId="42D0194F" wp14:editId="0714DC08">
                <wp:simplePos x="0" y="0"/>
                <wp:positionH relativeFrom="column">
                  <wp:posOffset>-561975</wp:posOffset>
                </wp:positionH>
                <wp:positionV relativeFrom="paragraph">
                  <wp:posOffset>771525</wp:posOffset>
                </wp:positionV>
                <wp:extent cx="6875104" cy="7343775"/>
                <wp:effectExtent l="0" t="0" r="2540" b="9525"/>
                <wp:wrapNone/>
                <wp:docPr id="490646557" name="Text Box 2"/>
                <wp:cNvGraphicFramePr/>
                <a:graphic xmlns:a="http://schemas.openxmlformats.org/drawingml/2006/main">
                  <a:graphicData uri="http://schemas.microsoft.com/office/word/2010/wordprocessingShape">
                    <wps:wsp>
                      <wps:cNvSpPr txBox="1"/>
                      <wps:spPr>
                        <a:xfrm>
                          <a:off x="0" y="0"/>
                          <a:ext cx="6875104" cy="7343775"/>
                        </a:xfrm>
                        <a:prstGeom prst="rect">
                          <a:avLst/>
                        </a:prstGeom>
                        <a:solidFill>
                          <a:schemeClr val="bg1">
                            <a:alpha val="80000"/>
                          </a:schemeClr>
                        </a:solidFill>
                        <a:ln w="6350">
                          <a:noFill/>
                        </a:ln>
                      </wps:spPr>
                      <wps:txbx>
                        <w:txbxContent>
                          <w:p w14:paraId="4C80060B" w14:textId="09199CB9" w:rsidR="001F6A4B" w:rsidRPr="00422F9F" w:rsidRDefault="001F6A4B" w:rsidP="001F6A4B">
                            <w:pPr>
                              <w:jc w:val="both"/>
                              <w:rPr>
                                <w:sz w:val="23"/>
                                <w:szCs w:val="23"/>
                              </w:rPr>
                            </w:pPr>
                            <w:r w:rsidRPr="00422F9F">
                              <w:rPr>
                                <w:sz w:val="23"/>
                                <w:szCs w:val="23"/>
                              </w:rPr>
                              <w:t xml:space="preserve">The </w:t>
                            </w:r>
                            <w:hyperlink r:id="rId7" w:history="1">
                              <w:r w:rsidRPr="00422F9F">
                                <w:rPr>
                                  <w:rStyle w:val="Hyperlink"/>
                                  <w:i/>
                                  <w:iCs/>
                                  <w:sz w:val="23"/>
                                  <w:szCs w:val="23"/>
                                </w:rPr>
                                <w:t>Sleeping Well in the Early Modern World</w:t>
                              </w:r>
                            </w:hyperlink>
                            <w:r w:rsidRPr="00422F9F">
                              <w:rPr>
                                <w:i/>
                                <w:iCs/>
                                <w:sz w:val="23"/>
                                <w:szCs w:val="23"/>
                              </w:rPr>
                              <w:t xml:space="preserve"> </w:t>
                            </w:r>
                            <w:r w:rsidRPr="00422F9F">
                              <w:rPr>
                                <w:sz w:val="23"/>
                                <w:szCs w:val="23"/>
                              </w:rPr>
                              <w:t xml:space="preserve">team invites </w:t>
                            </w:r>
                            <w:bookmarkStart w:id="0" w:name="_GoBack"/>
                            <w:r w:rsidRPr="00422F9F">
                              <w:rPr>
                                <w:sz w:val="23"/>
                                <w:szCs w:val="23"/>
                              </w:rPr>
                              <w:t>papers for our end-of-project conference on the topic of ‘Bodies and Environments’ in early modernity.</w:t>
                            </w:r>
                          </w:p>
                          <w:p w14:paraId="6674BA32" w14:textId="77777777" w:rsidR="001F6A4B" w:rsidRPr="00422F9F" w:rsidRDefault="001F6A4B" w:rsidP="001F6A4B">
                            <w:pPr>
                              <w:jc w:val="both"/>
                              <w:rPr>
                                <w:sz w:val="23"/>
                                <w:szCs w:val="23"/>
                              </w:rPr>
                            </w:pPr>
                          </w:p>
                          <w:p w14:paraId="27180714" w14:textId="4A5EED8D" w:rsidR="001F6A4B" w:rsidRPr="00422F9F" w:rsidRDefault="001F6A4B" w:rsidP="001F6A4B">
                            <w:pPr>
                              <w:jc w:val="both"/>
                              <w:rPr>
                                <w:sz w:val="23"/>
                                <w:szCs w:val="23"/>
                              </w:rPr>
                            </w:pPr>
                            <w:r w:rsidRPr="00422F9F">
                              <w:rPr>
                                <w:sz w:val="23"/>
                                <w:szCs w:val="23"/>
                              </w:rPr>
                              <w:t xml:space="preserve">Scholarship on early modern embodiment has emphasised the body’s porosity, permeability and instability. Early modern bodies did not end at the skin, but rather their interior and exterior worlds were in constant material exchange. Close engagement with, and management of, the body’s surroundings was </w:t>
                            </w:r>
                            <w:r w:rsidR="009351D6">
                              <w:rPr>
                                <w:sz w:val="23"/>
                                <w:szCs w:val="23"/>
                              </w:rPr>
                              <w:t xml:space="preserve">thus </w:t>
                            </w:r>
                            <w:r w:rsidRPr="00422F9F">
                              <w:rPr>
                                <w:sz w:val="23"/>
                                <w:szCs w:val="23"/>
                              </w:rPr>
                              <w:t>essential for ensuring health and wellbeing. European theories of embodiment drew on Hippocratic-Galenic medical teachings in which bodies shared a common elemental make-up with the world around them. Healthcare knowledge and practice could be localised and geo-specific,</w:t>
                            </w:r>
                            <w:r w:rsidR="009351D6">
                              <w:rPr>
                                <w:sz w:val="23"/>
                                <w:szCs w:val="23"/>
                              </w:rPr>
                              <w:t xml:space="preserve"> therefore,</w:t>
                            </w:r>
                            <w:r w:rsidRPr="00422F9F">
                              <w:rPr>
                                <w:sz w:val="23"/>
                                <w:szCs w:val="23"/>
                              </w:rPr>
                              <w:t xml:space="preserve"> as the ecological profiles of different places informed a ‘geo-humoral’ health paradigm in which bodies were understood to become accustomed to particular locales over time. Other cultures conceptualised the relationship between bodies and their surroundings differently. Indigenous communities across the Atlantic, for example, placed greater emphasis on the permeability and interconnectedness of all beings and understood animals and plants as relations to, rather than resources for, human bodies. In a variety of global contexts, flora and fauna were enfolded in practices of health preservation and restoration in diverse ways, often with broader environmental implications. The interdependencies of bodies and environments meant that processes of environmental change likewise impacted on healthcare knowledge and practice.</w:t>
                            </w:r>
                          </w:p>
                          <w:p w14:paraId="5FD447DB" w14:textId="77777777" w:rsidR="001F6A4B" w:rsidRPr="00422F9F" w:rsidRDefault="001F6A4B" w:rsidP="001F6A4B">
                            <w:pPr>
                              <w:jc w:val="both"/>
                              <w:rPr>
                                <w:sz w:val="23"/>
                                <w:szCs w:val="23"/>
                              </w:rPr>
                            </w:pPr>
                          </w:p>
                          <w:p w14:paraId="6DD5823C" w14:textId="5AD9FE0C" w:rsidR="001F6A4B" w:rsidRPr="00422F9F" w:rsidRDefault="001F6A4B" w:rsidP="001F6A4B">
                            <w:pPr>
                              <w:jc w:val="both"/>
                              <w:rPr>
                                <w:sz w:val="23"/>
                                <w:szCs w:val="23"/>
                              </w:rPr>
                            </w:pPr>
                            <w:r w:rsidRPr="00422F9F">
                              <w:rPr>
                                <w:sz w:val="23"/>
                                <w:szCs w:val="23"/>
                              </w:rPr>
                              <w:t xml:space="preserve">The entanglement of early modern bodies and environments lies at the heart of our research for the </w:t>
                            </w:r>
                            <w:r w:rsidRPr="00422F9F">
                              <w:rPr>
                                <w:i/>
                                <w:iCs/>
                                <w:sz w:val="23"/>
                                <w:szCs w:val="23"/>
                              </w:rPr>
                              <w:t xml:space="preserve">Sleeping Well </w:t>
                            </w:r>
                            <w:r w:rsidRPr="00422F9F">
                              <w:rPr>
                                <w:sz w:val="23"/>
                                <w:szCs w:val="23"/>
                              </w:rPr>
                              <w:t>project, as we investigate how early modern people engaged with their physical surroundings in an effort to sleep well. Our project has uncovered an environmentally informed culture of ‘sleep care’ in this period, which we approach by applying the concept of ‘environing’ to sleep care practices. We conceptualise environing as processes through which humans and nature co-produce environments, and we examine how early modern people engaged in environing practices to safeguard their health.</w:t>
                            </w:r>
                          </w:p>
                          <w:p w14:paraId="32F2244B" w14:textId="77777777" w:rsidR="001F6A4B" w:rsidRPr="00422F9F" w:rsidRDefault="001F6A4B" w:rsidP="001F6A4B">
                            <w:pPr>
                              <w:jc w:val="both"/>
                              <w:rPr>
                                <w:sz w:val="23"/>
                                <w:szCs w:val="23"/>
                              </w:rPr>
                            </w:pPr>
                          </w:p>
                          <w:p w14:paraId="0E672BB0" w14:textId="77777777" w:rsidR="001F6A4B" w:rsidRPr="00422F9F" w:rsidRDefault="001F6A4B" w:rsidP="001F6A4B">
                            <w:pPr>
                              <w:jc w:val="both"/>
                              <w:rPr>
                                <w:sz w:val="23"/>
                                <w:szCs w:val="23"/>
                              </w:rPr>
                            </w:pPr>
                            <w:r w:rsidRPr="00422F9F">
                              <w:rPr>
                                <w:sz w:val="23"/>
                                <w:szCs w:val="23"/>
                              </w:rPr>
                              <w:t xml:space="preserve">We invite papers examining the relationship between bodies and environments in any context and geographical location c. 1500-1750. Topics may include but are not limited to: </w:t>
                            </w:r>
                          </w:p>
                          <w:p w14:paraId="2703BBA2" w14:textId="77777777" w:rsidR="001F6A4B" w:rsidRPr="00422F9F" w:rsidRDefault="001F6A4B" w:rsidP="001F6A4B">
                            <w:pPr>
                              <w:rPr>
                                <w:sz w:val="23"/>
                                <w:szCs w:val="23"/>
                              </w:rPr>
                            </w:pPr>
                          </w:p>
                          <w:p w14:paraId="5541EE46" w14:textId="77777777" w:rsidR="001F6A4B" w:rsidRPr="00422F9F" w:rsidRDefault="001F6A4B" w:rsidP="001F6A4B">
                            <w:pPr>
                              <w:pStyle w:val="ListParagraph"/>
                              <w:numPr>
                                <w:ilvl w:val="0"/>
                                <w:numId w:val="1"/>
                              </w:numPr>
                              <w:rPr>
                                <w:sz w:val="23"/>
                                <w:szCs w:val="23"/>
                              </w:rPr>
                            </w:pPr>
                            <w:r w:rsidRPr="00422F9F">
                              <w:rPr>
                                <w:sz w:val="23"/>
                                <w:szCs w:val="23"/>
                              </w:rPr>
                              <w:t xml:space="preserve">Practices of ‘environing’ (or human engagements with physical surroundings) aimed at preserving or restoring health </w:t>
                            </w:r>
                          </w:p>
                          <w:p w14:paraId="5D5EC4A7" w14:textId="77777777" w:rsidR="001F6A4B" w:rsidRPr="00422F9F" w:rsidRDefault="001F6A4B" w:rsidP="001F6A4B">
                            <w:pPr>
                              <w:pStyle w:val="ListParagraph"/>
                              <w:numPr>
                                <w:ilvl w:val="0"/>
                                <w:numId w:val="1"/>
                              </w:numPr>
                              <w:rPr>
                                <w:sz w:val="23"/>
                                <w:szCs w:val="23"/>
                              </w:rPr>
                            </w:pPr>
                            <w:r w:rsidRPr="00422F9F">
                              <w:rPr>
                                <w:sz w:val="23"/>
                                <w:szCs w:val="23"/>
                              </w:rPr>
                              <w:t>The health or embodied consequences of environmental interventions or ‘improvements’</w:t>
                            </w:r>
                          </w:p>
                          <w:p w14:paraId="17AB109D" w14:textId="77777777" w:rsidR="001F6A4B" w:rsidRPr="00422F9F" w:rsidRDefault="001F6A4B" w:rsidP="001F6A4B">
                            <w:pPr>
                              <w:pStyle w:val="ListParagraph"/>
                              <w:numPr>
                                <w:ilvl w:val="0"/>
                                <w:numId w:val="1"/>
                              </w:numPr>
                              <w:rPr>
                                <w:sz w:val="23"/>
                                <w:szCs w:val="23"/>
                              </w:rPr>
                            </w:pPr>
                            <w:r w:rsidRPr="00422F9F">
                              <w:rPr>
                                <w:sz w:val="23"/>
                                <w:szCs w:val="23"/>
                              </w:rPr>
                              <w:t>The use of place-specific materials for practices of bodily management and health preservation</w:t>
                            </w:r>
                          </w:p>
                          <w:p w14:paraId="18A917A0" w14:textId="77777777" w:rsidR="001F6A4B" w:rsidRPr="00422F9F" w:rsidRDefault="001F6A4B" w:rsidP="001F6A4B">
                            <w:pPr>
                              <w:pStyle w:val="ListParagraph"/>
                              <w:numPr>
                                <w:ilvl w:val="0"/>
                                <w:numId w:val="1"/>
                              </w:numPr>
                              <w:rPr>
                                <w:sz w:val="23"/>
                                <w:szCs w:val="23"/>
                              </w:rPr>
                            </w:pPr>
                            <w:r w:rsidRPr="00422F9F">
                              <w:rPr>
                                <w:sz w:val="23"/>
                                <w:szCs w:val="23"/>
                              </w:rPr>
                              <w:t>Multispecies approaches to health and wellbeing</w:t>
                            </w:r>
                          </w:p>
                          <w:p w14:paraId="29FC1EA2" w14:textId="77777777" w:rsidR="001F6A4B" w:rsidRPr="00422F9F" w:rsidRDefault="001F6A4B" w:rsidP="001F6A4B">
                            <w:pPr>
                              <w:pStyle w:val="ListParagraph"/>
                              <w:numPr>
                                <w:ilvl w:val="0"/>
                                <w:numId w:val="1"/>
                              </w:numPr>
                              <w:rPr>
                                <w:sz w:val="23"/>
                                <w:szCs w:val="23"/>
                              </w:rPr>
                            </w:pPr>
                            <w:r w:rsidRPr="00422F9F">
                              <w:rPr>
                                <w:sz w:val="23"/>
                                <w:szCs w:val="23"/>
                              </w:rPr>
                              <w:t>‘Geo-humoral’ concepts of embodiment</w:t>
                            </w:r>
                          </w:p>
                          <w:p w14:paraId="482FE798" w14:textId="77777777" w:rsidR="001F6A4B" w:rsidRPr="00422F9F" w:rsidRDefault="001F6A4B" w:rsidP="001F6A4B">
                            <w:pPr>
                              <w:rPr>
                                <w:sz w:val="23"/>
                                <w:szCs w:val="23"/>
                              </w:rPr>
                            </w:pPr>
                          </w:p>
                          <w:p w14:paraId="70D49BA4" w14:textId="322276E8" w:rsidR="001F6A4B" w:rsidRPr="00422F9F" w:rsidRDefault="001F6A4B" w:rsidP="005C5844">
                            <w:pPr>
                              <w:jc w:val="both"/>
                              <w:rPr>
                                <w:sz w:val="23"/>
                                <w:szCs w:val="23"/>
                              </w:rPr>
                            </w:pPr>
                            <w:r w:rsidRPr="00422F9F">
                              <w:rPr>
                                <w:sz w:val="23"/>
                                <w:szCs w:val="23"/>
                              </w:rPr>
                              <w:t xml:space="preserve">Please send an abstract </w:t>
                            </w:r>
                            <w:r w:rsidR="005C5844" w:rsidRPr="00422F9F">
                              <w:rPr>
                                <w:sz w:val="23"/>
                                <w:szCs w:val="23"/>
                              </w:rPr>
                              <w:t>(max</w:t>
                            </w:r>
                            <w:r w:rsidR="00B778B7" w:rsidRPr="00422F9F">
                              <w:rPr>
                                <w:sz w:val="23"/>
                                <w:szCs w:val="23"/>
                              </w:rPr>
                              <w:t>.</w:t>
                            </w:r>
                            <w:r w:rsidR="005C5844" w:rsidRPr="00422F9F">
                              <w:rPr>
                                <w:sz w:val="23"/>
                                <w:szCs w:val="23"/>
                              </w:rPr>
                              <w:t xml:space="preserve"> </w:t>
                            </w:r>
                            <w:r w:rsidRPr="00422F9F">
                              <w:rPr>
                                <w:sz w:val="23"/>
                                <w:szCs w:val="23"/>
                              </w:rPr>
                              <w:t>300 words</w:t>
                            </w:r>
                            <w:r w:rsidR="005C5844" w:rsidRPr="00422F9F">
                              <w:rPr>
                                <w:sz w:val="23"/>
                                <w:szCs w:val="23"/>
                              </w:rPr>
                              <w:t>)</w:t>
                            </w:r>
                            <w:r w:rsidRPr="00422F9F">
                              <w:rPr>
                                <w:sz w:val="23"/>
                                <w:szCs w:val="23"/>
                              </w:rPr>
                              <w:t xml:space="preserve"> and a short bio </w:t>
                            </w:r>
                            <w:r w:rsidR="005C5844" w:rsidRPr="00422F9F">
                              <w:rPr>
                                <w:sz w:val="23"/>
                                <w:szCs w:val="23"/>
                              </w:rPr>
                              <w:t>(</w:t>
                            </w:r>
                            <w:r w:rsidRPr="00422F9F">
                              <w:rPr>
                                <w:sz w:val="23"/>
                                <w:szCs w:val="23"/>
                              </w:rPr>
                              <w:t>100 words</w:t>
                            </w:r>
                            <w:r w:rsidR="005C5844" w:rsidRPr="00422F9F">
                              <w:rPr>
                                <w:sz w:val="23"/>
                                <w:szCs w:val="23"/>
                              </w:rPr>
                              <w:t>)</w:t>
                            </w:r>
                            <w:r w:rsidRPr="00422F9F">
                              <w:rPr>
                                <w:sz w:val="23"/>
                                <w:szCs w:val="23"/>
                              </w:rPr>
                              <w:t xml:space="preserve"> to </w:t>
                            </w:r>
                            <w:hyperlink r:id="rId8" w:history="1">
                              <w:r w:rsidRPr="00422F9F">
                                <w:rPr>
                                  <w:rStyle w:val="Hyperlink"/>
                                  <w:sz w:val="23"/>
                                  <w:szCs w:val="23"/>
                                </w:rPr>
                                <w:t>eleanor.shaw@manchester.ac.uk</w:t>
                              </w:r>
                            </w:hyperlink>
                            <w:r w:rsidRPr="00422F9F">
                              <w:rPr>
                                <w:sz w:val="23"/>
                                <w:szCs w:val="23"/>
                              </w:rPr>
                              <w:t xml:space="preserve"> by </w:t>
                            </w:r>
                            <w:r w:rsidR="00224A25" w:rsidRPr="00422F9F">
                              <w:rPr>
                                <w:b/>
                                <w:bCs/>
                                <w:sz w:val="23"/>
                                <w:szCs w:val="23"/>
                              </w:rPr>
                              <w:t>3</w:t>
                            </w:r>
                            <w:r w:rsidRPr="00422F9F">
                              <w:rPr>
                                <w:b/>
                                <w:bCs/>
                                <w:sz w:val="23"/>
                                <w:szCs w:val="23"/>
                              </w:rPr>
                              <w:t xml:space="preserve"> February 2025</w:t>
                            </w:r>
                            <w:r w:rsidRPr="00422F9F">
                              <w:rPr>
                                <w:sz w:val="23"/>
                                <w:szCs w:val="23"/>
                              </w:rPr>
                              <w:t xml:space="preserve">. PhD students and ECRs are particularly encouraged to apply. </w:t>
                            </w:r>
                            <w:r w:rsidR="00B778B7" w:rsidRPr="00422F9F">
                              <w:rPr>
                                <w:sz w:val="23"/>
                                <w:szCs w:val="23"/>
                              </w:rPr>
                              <w:t xml:space="preserve">Reasonable </w:t>
                            </w:r>
                            <w:r w:rsidRPr="00422F9F">
                              <w:rPr>
                                <w:sz w:val="23"/>
                                <w:szCs w:val="23"/>
                              </w:rPr>
                              <w:t>travel and accommodation expenses</w:t>
                            </w:r>
                            <w:r w:rsidR="00422F9F" w:rsidRPr="00422F9F">
                              <w:rPr>
                                <w:sz w:val="23"/>
                                <w:szCs w:val="23"/>
                              </w:rPr>
                              <w:t xml:space="preserve"> for speakers</w:t>
                            </w:r>
                            <w:r w:rsidR="00B778B7" w:rsidRPr="00422F9F">
                              <w:rPr>
                                <w:sz w:val="23"/>
                                <w:szCs w:val="23"/>
                              </w:rPr>
                              <w:t xml:space="preserve"> will be covered.</w:t>
                            </w:r>
                          </w:p>
                          <w:p w14:paraId="2763D239" w14:textId="77777777" w:rsidR="001F6A4B" w:rsidRPr="00422F9F" w:rsidRDefault="001F6A4B" w:rsidP="001F6A4B">
                            <w:pPr>
                              <w:rPr>
                                <w:sz w:val="23"/>
                                <w:szCs w:val="23"/>
                              </w:rPr>
                            </w:pPr>
                          </w:p>
                          <w:p w14:paraId="3B84A0E9" w14:textId="453A0117" w:rsidR="001F6A4B" w:rsidRPr="00422F9F" w:rsidRDefault="001F6A4B" w:rsidP="00D24242">
                            <w:pPr>
                              <w:rPr>
                                <w:b/>
                                <w:bCs/>
                                <w:sz w:val="23"/>
                                <w:szCs w:val="23"/>
                              </w:rPr>
                            </w:pPr>
                            <w:r w:rsidRPr="00422F9F">
                              <w:rPr>
                                <w:b/>
                                <w:bCs/>
                                <w:sz w:val="23"/>
                                <w:szCs w:val="23"/>
                              </w:rPr>
                              <w:t>Keynote speakers: Marcy Norton (University of Pennsylvania) &amp; Sara Miglietti (The Warburg Institute</w:t>
                            </w:r>
                            <w:r w:rsidR="00422F9F" w:rsidRPr="00422F9F">
                              <w:rPr>
                                <w:b/>
                                <w:bCs/>
                                <w:sz w:val="23"/>
                                <w:szCs w:val="23"/>
                              </w:rPr>
                              <w:t>)</w:t>
                            </w:r>
                          </w:p>
                          <w:p w14:paraId="1015A0C1" w14:textId="77777777" w:rsidR="001F6A4B" w:rsidRPr="00422F9F" w:rsidRDefault="001F6A4B">
                            <w:pPr>
                              <w:rPr>
                                <w:sz w:val="23"/>
                                <w:szCs w:val="23"/>
                              </w:rPr>
                            </w:pPr>
                          </w:p>
                          <w:bookmarkEnd w:id="0"/>
                          <w:p w14:paraId="1F7CFE9F" w14:textId="77777777" w:rsidR="00224A25" w:rsidRPr="00422F9F" w:rsidRDefault="00224A25">
                            <w:pPr>
                              <w:rPr>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0194F" id="_x0000_t202" coordsize="21600,21600" o:spt="202" path="m,l,21600r21600,l21600,xe">
                <v:stroke joinstyle="miter"/>
                <v:path gradientshapeok="t" o:connecttype="rect"/>
              </v:shapetype>
              <v:shape id="Text Box 2" o:spid="_x0000_s1026" type="#_x0000_t202" style="position:absolute;left:0;text-align:left;margin-left:-44.25pt;margin-top:60.75pt;width:541.35pt;height:5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" fillcolor="white [3212]" stroked="f" strokeweight=".5pt">
                <v:fill opacity="52428f"/>
                <v:textbox>
                  <w:txbxContent>
                    <w:p w14:paraId="4C80060B" w14:textId="09199CB9" w:rsidR="001F6A4B" w:rsidRPr="00422F9F" w:rsidRDefault="001F6A4B" w:rsidP="001F6A4B">
                      <w:pPr>
                        <w:jc w:val="both"/>
                        <w:rPr>
                          <w:sz w:val="23"/>
                          <w:szCs w:val="23"/>
                        </w:rPr>
                      </w:pPr>
                      <w:r w:rsidRPr="00422F9F">
                        <w:rPr>
                          <w:sz w:val="23"/>
                          <w:szCs w:val="23"/>
                        </w:rPr>
                        <w:t xml:space="preserve">The </w:t>
                      </w:r>
                      <w:hyperlink r:id="rId9" w:history="1">
                        <w:r w:rsidRPr="00422F9F">
                          <w:rPr>
                            <w:rStyle w:val="Hyperlink"/>
                            <w:i/>
                            <w:iCs/>
                            <w:sz w:val="23"/>
                            <w:szCs w:val="23"/>
                          </w:rPr>
                          <w:t>Sleeping Well in the Early Modern World</w:t>
                        </w:r>
                      </w:hyperlink>
                      <w:r w:rsidRPr="00422F9F">
                        <w:rPr>
                          <w:i/>
                          <w:iCs/>
                          <w:sz w:val="23"/>
                          <w:szCs w:val="23"/>
                        </w:rPr>
                        <w:t xml:space="preserve"> </w:t>
                      </w:r>
                      <w:r w:rsidRPr="00422F9F">
                        <w:rPr>
                          <w:sz w:val="23"/>
                          <w:szCs w:val="23"/>
                        </w:rPr>
                        <w:t xml:space="preserve">team invites </w:t>
                      </w:r>
                      <w:bookmarkStart w:id="1" w:name="_GoBack"/>
                      <w:r w:rsidRPr="00422F9F">
                        <w:rPr>
                          <w:sz w:val="23"/>
                          <w:szCs w:val="23"/>
                        </w:rPr>
                        <w:t>papers for our end-of-project conference on the topic of ‘Bodies and Environments’ in early modernity.</w:t>
                      </w:r>
                    </w:p>
                    <w:p w14:paraId="6674BA32" w14:textId="77777777" w:rsidR="001F6A4B" w:rsidRPr="00422F9F" w:rsidRDefault="001F6A4B" w:rsidP="001F6A4B">
                      <w:pPr>
                        <w:jc w:val="both"/>
                        <w:rPr>
                          <w:sz w:val="23"/>
                          <w:szCs w:val="23"/>
                        </w:rPr>
                      </w:pPr>
                    </w:p>
                    <w:p w14:paraId="27180714" w14:textId="4A5EED8D" w:rsidR="001F6A4B" w:rsidRPr="00422F9F" w:rsidRDefault="001F6A4B" w:rsidP="001F6A4B">
                      <w:pPr>
                        <w:jc w:val="both"/>
                        <w:rPr>
                          <w:sz w:val="23"/>
                          <w:szCs w:val="23"/>
                        </w:rPr>
                      </w:pPr>
                      <w:r w:rsidRPr="00422F9F">
                        <w:rPr>
                          <w:sz w:val="23"/>
                          <w:szCs w:val="23"/>
                        </w:rPr>
                        <w:t xml:space="preserve">Scholarship on early modern embodiment has emphasised the body’s porosity, permeability and instability. Early modern bodies did not end at the skin, but rather their interior and exterior worlds were in constant material exchange. Close engagement with, and management of, the body’s surroundings was </w:t>
                      </w:r>
                      <w:r w:rsidR="009351D6">
                        <w:rPr>
                          <w:sz w:val="23"/>
                          <w:szCs w:val="23"/>
                        </w:rPr>
                        <w:t xml:space="preserve">thus </w:t>
                      </w:r>
                      <w:r w:rsidRPr="00422F9F">
                        <w:rPr>
                          <w:sz w:val="23"/>
                          <w:szCs w:val="23"/>
                        </w:rPr>
                        <w:t>essential for ensuring health and wellbeing. European theories of embodiment drew on Hippocratic-Galenic medical teachings in which bodies shared a common elemental make-up with the world around them. Healthcare knowledge and practice could be localised and geo-specific,</w:t>
                      </w:r>
                      <w:r w:rsidR="009351D6">
                        <w:rPr>
                          <w:sz w:val="23"/>
                          <w:szCs w:val="23"/>
                        </w:rPr>
                        <w:t xml:space="preserve"> therefore,</w:t>
                      </w:r>
                      <w:r w:rsidRPr="00422F9F">
                        <w:rPr>
                          <w:sz w:val="23"/>
                          <w:szCs w:val="23"/>
                        </w:rPr>
                        <w:t xml:space="preserve"> as the ecological profiles of different places informed a ‘geo-humoral’ health paradigm in which bodies were understood to become accustomed to particular locales over time. Other cultures conceptualised the relationship between bodies and their surroundings differently. Indigenous communities across the Atlantic, for example, placed greater emphasis on the permeability and interconnectedness of all beings and understood animals and plants as relations to, rather than resources for, human bodies. In a variety of global contexts, flora and fauna were enfolded in practices of health preservation and restoration in diverse ways, often with broader environmental implications. The interdependencies of bodies and environments meant that processes of environmental change likewise impacted on healthcare knowledge and practice.</w:t>
                      </w:r>
                    </w:p>
                    <w:p w14:paraId="5FD447DB" w14:textId="77777777" w:rsidR="001F6A4B" w:rsidRPr="00422F9F" w:rsidRDefault="001F6A4B" w:rsidP="001F6A4B">
                      <w:pPr>
                        <w:jc w:val="both"/>
                        <w:rPr>
                          <w:sz w:val="23"/>
                          <w:szCs w:val="23"/>
                        </w:rPr>
                      </w:pPr>
                    </w:p>
                    <w:p w14:paraId="6DD5823C" w14:textId="5AD9FE0C" w:rsidR="001F6A4B" w:rsidRPr="00422F9F" w:rsidRDefault="001F6A4B" w:rsidP="001F6A4B">
                      <w:pPr>
                        <w:jc w:val="both"/>
                        <w:rPr>
                          <w:sz w:val="23"/>
                          <w:szCs w:val="23"/>
                        </w:rPr>
                      </w:pPr>
                      <w:r w:rsidRPr="00422F9F">
                        <w:rPr>
                          <w:sz w:val="23"/>
                          <w:szCs w:val="23"/>
                        </w:rPr>
                        <w:t xml:space="preserve">The entanglement of early modern bodies and environments lies at the heart of our research for the </w:t>
                      </w:r>
                      <w:r w:rsidRPr="00422F9F">
                        <w:rPr>
                          <w:i/>
                          <w:iCs/>
                          <w:sz w:val="23"/>
                          <w:szCs w:val="23"/>
                        </w:rPr>
                        <w:t xml:space="preserve">Sleeping Well </w:t>
                      </w:r>
                      <w:r w:rsidRPr="00422F9F">
                        <w:rPr>
                          <w:sz w:val="23"/>
                          <w:szCs w:val="23"/>
                        </w:rPr>
                        <w:t>project, as we investigate how early modern people engaged with their physical surroundings in an effort to sleep well. Our project has uncovered an environmentally informed culture of ‘sleep care’ in this period, which we approach by applying the concept of ‘environing’ to sleep care practices. We conceptualise environing as processes through which humans and nature co-produce environments, and we examine how early modern people engaged in environing practices to safeguard their health.</w:t>
                      </w:r>
                    </w:p>
                    <w:p w14:paraId="32F2244B" w14:textId="77777777" w:rsidR="001F6A4B" w:rsidRPr="00422F9F" w:rsidRDefault="001F6A4B" w:rsidP="001F6A4B">
                      <w:pPr>
                        <w:jc w:val="both"/>
                        <w:rPr>
                          <w:sz w:val="23"/>
                          <w:szCs w:val="23"/>
                        </w:rPr>
                      </w:pPr>
                    </w:p>
                    <w:p w14:paraId="0E672BB0" w14:textId="77777777" w:rsidR="001F6A4B" w:rsidRPr="00422F9F" w:rsidRDefault="001F6A4B" w:rsidP="001F6A4B">
                      <w:pPr>
                        <w:jc w:val="both"/>
                        <w:rPr>
                          <w:sz w:val="23"/>
                          <w:szCs w:val="23"/>
                        </w:rPr>
                      </w:pPr>
                      <w:r w:rsidRPr="00422F9F">
                        <w:rPr>
                          <w:sz w:val="23"/>
                          <w:szCs w:val="23"/>
                        </w:rPr>
                        <w:t xml:space="preserve">We invite papers examining the relationship between bodies and environments in any context and geographical location c. 1500-1750. Topics may include but are not limited to: </w:t>
                      </w:r>
                    </w:p>
                    <w:p w14:paraId="2703BBA2" w14:textId="77777777" w:rsidR="001F6A4B" w:rsidRPr="00422F9F" w:rsidRDefault="001F6A4B" w:rsidP="001F6A4B">
                      <w:pPr>
                        <w:rPr>
                          <w:sz w:val="23"/>
                          <w:szCs w:val="23"/>
                        </w:rPr>
                      </w:pPr>
                    </w:p>
                    <w:p w14:paraId="5541EE46" w14:textId="77777777" w:rsidR="001F6A4B" w:rsidRPr="00422F9F" w:rsidRDefault="001F6A4B" w:rsidP="001F6A4B">
                      <w:pPr>
                        <w:pStyle w:val="ListParagraph"/>
                        <w:numPr>
                          <w:ilvl w:val="0"/>
                          <w:numId w:val="1"/>
                        </w:numPr>
                        <w:rPr>
                          <w:sz w:val="23"/>
                          <w:szCs w:val="23"/>
                        </w:rPr>
                      </w:pPr>
                      <w:r w:rsidRPr="00422F9F">
                        <w:rPr>
                          <w:sz w:val="23"/>
                          <w:szCs w:val="23"/>
                        </w:rPr>
                        <w:t xml:space="preserve">Practices of ‘environing’ (or human engagements with physical surroundings) aimed at preserving or restoring health </w:t>
                      </w:r>
                    </w:p>
                    <w:p w14:paraId="5D5EC4A7" w14:textId="77777777" w:rsidR="001F6A4B" w:rsidRPr="00422F9F" w:rsidRDefault="001F6A4B" w:rsidP="001F6A4B">
                      <w:pPr>
                        <w:pStyle w:val="ListParagraph"/>
                        <w:numPr>
                          <w:ilvl w:val="0"/>
                          <w:numId w:val="1"/>
                        </w:numPr>
                        <w:rPr>
                          <w:sz w:val="23"/>
                          <w:szCs w:val="23"/>
                        </w:rPr>
                      </w:pPr>
                      <w:r w:rsidRPr="00422F9F">
                        <w:rPr>
                          <w:sz w:val="23"/>
                          <w:szCs w:val="23"/>
                        </w:rPr>
                        <w:t>The health or embodied consequences of environmental interventions or ‘improvements’</w:t>
                      </w:r>
                    </w:p>
                    <w:p w14:paraId="17AB109D" w14:textId="77777777" w:rsidR="001F6A4B" w:rsidRPr="00422F9F" w:rsidRDefault="001F6A4B" w:rsidP="001F6A4B">
                      <w:pPr>
                        <w:pStyle w:val="ListParagraph"/>
                        <w:numPr>
                          <w:ilvl w:val="0"/>
                          <w:numId w:val="1"/>
                        </w:numPr>
                        <w:rPr>
                          <w:sz w:val="23"/>
                          <w:szCs w:val="23"/>
                        </w:rPr>
                      </w:pPr>
                      <w:r w:rsidRPr="00422F9F">
                        <w:rPr>
                          <w:sz w:val="23"/>
                          <w:szCs w:val="23"/>
                        </w:rPr>
                        <w:t>The use of place-specific materials for practices of bodily management and health preservation</w:t>
                      </w:r>
                    </w:p>
                    <w:p w14:paraId="18A917A0" w14:textId="77777777" w:rsidR="001F6A4B" w:rsidRPr="00422F9F" w:rsidRDefault="001F6A4B" w:rsidP="001F6A4B">
                      <w:pPr>
                        <w:pStyle w:val="ListParagraph"/>
                        <w:numPr>
                          <w:ilvl w:val="0"/>
                          <w:numId w:val="1"/>
                        </w:numPr>
                        <w:rPr>
                          <w:sz w:val="23"/>
                          <w:szCs w:val="23"/>
                        </w:rPr>
                      </w:pPr>
                      <w:r w:rsidRPr="00422F9F">
                        <w:rPr>
                          <w:sz w:val="23"/>
                          <w:szCs w:val="23"/>
                        </w:rPr>
                        <w:t>Multispecies approaches to health and wellbeing</w:t>
                      </w:r>
                    </w:p>
                    <w:p w14:paraId="29FC1EA2" w14:textId="77777777" w:rsidR="001F6A4B" w:rsidRPr="00422F9F" w:rsidRDefault="001F6A4B" w:rsidP="001F6A4B">
                      <w:pPr>
                        <w:pStyle w:val="ListParagraph"/>
                        <w:numPr>
                          <w:ilvl w:val="0"/>
                          <w:numId w:val="1"/>
                        </w:numPr>
                        <w:rPr>
                          <w:sz w:val="23"/>
                          <w:szCs w:val="23"/>
                        </w:rPr>
                      </w:pPr>
                      <w:r w:rsidRPr="00422F9F">
                        <w:rPr>
                          <w:sz w:val="23"/>
                          <w:szCs w:val="23"/>
                        </w:rPr>
                        <w:t>‘Geo-humoral’ concepts of embodiment</w:t>
                      </w:r>
                    </w:p>
                    <w:p w14:paraId="482FE798" w14:textId="77777777" w:rsidR="001F6A4B" w:rsidRPr="00422F9F" w:rsidRDefault="001F6A4B" w:rsidP="001F6A4B">
                      <w:pPr>
                        <w:rPr>
                          <w:sz w:val="23"/>
                          <w:szCs w:val="23"/>
                        </w:rPr>
                      </w:pPr>
                    </w:p>
                    <w:p w14:paraId="70D49BA4" w14:textId="322276E8" w:rsidR="001F6A4B" w:rsidRPr="00422F9F" w:rsidRDefault="001F6A4B" w:rsidP="005C5844">
                      <w:pPr>
                        <w:jc w:val="both"/>
                        <w:rPr>
                          <w:sz w:val="23"/>
                          <w:szCs w:val="23"/>
                        </w:rPr>
                      </w:pPr>
                      <w:r w:rsidRPr="00422F9F">
                        <w:rPr>
                          <w:sz w:val="23"/>
                          <w:szCs w:val="23"/>
                        </w:rPr>
                        <w:t xml:space="preserve">Please send an abstract </w:t>
                      </w:r>
                      <w:r w:rsidR="005C5844" w:rsidRPr="00422F9F">
                        <w:rPr>
                          <w:sz w:val="23"/>
                          <w:szCs w:val="23"/>
                        </w:rPr>
                        <w:t>(max</w:t>
                      </w:r>
                      <w:r w:rsidR="00B778B7" w:rsidRPr="00422F9F">
                        <w:rPr>
                          <w:sz w:val="23"/>
                          <w:szCs w:val="23"/>
                        </w:rPr>
                        <w:t>.</w:t>
                      </w:r>
                      <w:r w:rsidR="005C5844" w:rsidRPr="00422F9F">
                        <w:rPr>
                          <w:sz w:val="23"/>
                          <w:szCs w:val="23"/>
                        </w:rPr>
                        <w:t xml:space="preserve"> </w:t>
                      </w:r>
                      <w:r w:rsidRPr="00422F9F">
                        <w:rPr>
                          <w:sz w:val="23"/>
                          <w:szCs w:val="23"/>
                        </w:rPr>
                        <w:t>300 words</w:t>
                      </w:r>
                      <w:r w:rsidR="005C5844" w:rsidRPr="00422F9F">
                        <w:rPr>
                          <w:sz w:val="23"/>
                          <w:szCs w:val="23"/>
                        </w:rPr>
                        <w:t>)</w:t>
                      </w:r>
                      <w:r w:rsidRPr="00422F9F">
                        <w:rPr>
                          <w:sz w:val="23"/>
                          <w:szCs w:val="23"/>
                        </w:rPr>
                        <w:t xml:space="preserve"> and a short bio </w:t>
                      </w:r>
                      <w:r w:rsidR="005C5844" w:rsidRPr="00422F9F">
                        <w:rPr>
                          <w:sz w:val="23"/>
                          <w:szCs w:val="23"/>
                        </w:rPr>
                        <w:t>(</w:t>
                      </w:r>
                      <w:r w:rsidRPr="00422F9F">
                        <w:rPr>
                          <w:sz w:val="23"/>
                          <w:szCs w:val="23"/>
                        </w:rPr>
                        <w:t>100 words</w:t>
                      </w:r>
                      <w:r w:rsidR="005C5844" w:rsidRPr="00422F9F">
                        <w:rPr>
                          <w:sz w:val="23"/>
                          <w:szCs w:val="23"/>
                        </w:rPr>
                        <w:t>)</w:t>
                      </w:r>
                      <w:r w:rsidRPr="00422F9F">
                        <w:rPr>
                          <w:sz w:val="23"/>
                          <w:szCs w:val="23"/>
                        </w:rPr>
                        <w:t xml:space="preserve"> to </w:t>
                      </w:r>
                      <w:hyperlink r:id="rId10" w:history="1">
                        <w:r w:rsidRPr="00422F9F">
                          <w:rPr>
                            <w:rStyle w:val="Hyperlink"/>
                            <w:sz w:val="23"/>
                            <w:szCs w:val="23"/>
                          </w:rPr>
                          <w:t>eleanor.shaw@manchester.ac.uk</w:t>
                        </w:r>
                      </w:hyperlink>
                      <w:r w:rsidRPr="00422F9F">
                        <w:rPr>
                          <w:sz w:val="23"/>
                          <w:szCs w:val="23"/>
                        </w:rPr>
                        <w:t xml:space="preserve"> by </w:t>
                      </w:r>
                      <w:r w:rsidR="00224A25" w:rsidRPr="00422F9F">
                        <w:rPr>
                          <w:b/>
                          <w:bCs/>
                          <w:sz w:val="23"/>
                          <w:szCs w:val="23"/>
                        </w:rPr>
                        <w:t>3</w:t>
                      </w:r>
                      <w:r w:rsidRPr="00422F9F">
                        <w:rPr>
                          <w:b/>
                          <w:bCs/>
                          <w:sz w:val="23"/>
                          <w:szCs w:val="23"/>
                        </w:rPr>
                        <w:t xml:space="preserve"> February 2025</w:t>
                      </w:r>
                      <w:r w:rsidRPr="00422F9F">
                        <w:rPr>
                          <w:sz w:val="23"/>
                          <w:szCs w:val="23"/>
                        </w:rPr>
                        <w:t xml:space="preserve">. PhD students and ECRs are particularly encouraged to apply. </w:t>
                      </w:r>
                      <w:r w:rsidR="00B778B7" w:rsidRPr="00422F9F">
                        <w:rPr>
                          <w:sz w:val="23"/>
                          <w:szCs w:val="23"/>
                        </w:rPr>
                        <w:t xml:space="preserve">Reasonable </w:t>
                      </w:r>
                      <w:r w:rsidRPr="00422F9F">
                        <w:rPr>
                          <w:sz w:val="23"/>
                          <w:szCs w:val="23"/>
                        </w:rPr>
                        <w:t>travel and accommodation expenses</w:t>
                      </w:r>
                      <w:r w:rsidR="00422F9F" w:rsidRPr="00422F9F">
                        <w:rPr>
                          <w:sz w:val="23"/>
                          <w:szCs w:val="23"/>
                        </w:rPr>
                        <w:t xml:space="preserve"> for speakers</w:t>
                      </w:r>
                      <w:r w:rsidR="00B778B7" w:rsidRPr="00422F9F">
                        <w:rPr>
                          <w:sz w:val="23"/>
                          <w:szCs w:val="23"/>
                        </w:rPr>
                        <w:t xml:space="preserve"> will be covered.</w:t>
                      </w:r>
                    </w:p>
                    <w:p w14:paraId="2763D239" w14:textId="77777777" w:rsidR="001F6A4B" w:rsidRPr="00422F9F" w:rsidRDefault="001F6A4B" w:rsidP="001F6A4B">
                      <w:pPr>
                        <w:rPr>
                          <w:sz w:val="23"/>
                          <w:szCs w:val="23"/>
                        </w:rPr>
                      </w:pPr>
                    </w:p>
                    <w:p w14:paraId="3B84A0E9" w14:textId="453A0117" w:rsidR="001F6A4B" w:rsidRPr="00422F9F" w:rsidRDefault="001F6A4B" w:rsidP="00D24242">
                      <w:pPr>
                        <w:rPr>
                          <w:b/>
                          <w:bCs/>
                          <w:sz w:val="23"/>
                          <w:szCs w:val="23"/>
                        </w:rPr>
                      </w:pPr>
                      <w:r w:rsidRPr="00422F9F">
                        <w:rPr>
                          <w:b/>
                          <w:bCs/>
                          <w:sz w:val="23"/>
                          <w:szCs w:val="23"/>
                        </w:rPr>
                        <w:t>Keynote speakers: Marcy Norton (University of Pennsylvania) &amp; Sara Miglietti (The Warburg Institute</w:t>
                      </w:r>
                      <w:r w:rsidR="00422F9F" w:rsidRPr="00422F9F">
                        <w:rPr>
                          <w:b/>
                          <w:bCs/>
                          <w:sz w:val="23"/>
                          <w:szCs w:val="23"/>
                        </w:rPr>
                        <w:t>)</w:t>
                      </w:r>
                    </w:p>
                    <w:p w14:paraId="1015A0C1" w14:textId="77777777" w:rsidR="001F6A4B" w:rsidRPr="00422F9F" w:rsidRDefault="001F6A4B">
                      <w:pPr>
                        <w:rPr>
                          <w:sz w:val="23"/>
                          <w:szCs w:val="23"/>
                        </w:rPr>
                      </w:pPr>
                    </w:p>
                    <w:bookmarkEnd w:id="1"/>
                    <w:p w14:paraId="1F7CFE9F" w14:textId="77777777" w:rsidR="00224A25" w:rsidRPr="00422F9F" w:rsidRDefault="00224A25">
                      <w:pPr>
                        <w:rPr>
                          <w:sz w:val="23"/>
                          <w:szCs w:val="23"/>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781412B8" wp14:editId="6C069277">
                <wp:simplePos x="0" y="0"/>
                <wp:positionH relativeFrom="column">
                  <wp:posOffset>-466725</wp:posOffset>
                </wp:positionH>
                <wp:positionV relativeFrom="paragraph">
                  <wp:posOffset>-723900</wp:posOffset>
                </wp:positionV>
                <wp:extent cx="6652895" cy="1533525"/>
                <wp:effectExtent l="0" t="0" r="0" b="0"/>
                <wp:wrapNone/>
                <wp:docPr id="826008334" name="Text Box 3"/>
                <wp:cNvGraphicFramePr/>
                <a:graphic xmlns:a="http://schemas.openxmlformats.org/drawingml/2006/main">
                  <a:graphicData uri="http://schemas.microsoft.com/office/word/2010/wordprocessingShape">
                    <wps:wsp>
                      <wps:cNvSpPr txBox="1"/>
                      <wps:spPr>
                        <a:xfrm>
                          <a:off x="0" y="0"/>
                          <a:ext cx="6652895" cy="1533525"/>
                        </a:xfrm>
                        <a:prstGeom prst="rect">
                          <a:avLst/>
                        </a:prstGeom>
                        <a:noFill/>
                        <a:ln w="6350">
                          <a:noFill/>
                        </a:ln>
                      </wps:spPr>
                      <wps:txbx>
                        <w:txbxContent>
                          <w:p w14:paraId="35B09CC7" w14:textId="0D27D969" w:rsidR="001F6A4B" w:rsidRPr="00235D3E" w:rsidRDefault="001F6A4B" w:rsidP="001F6A4B">
                            <w:pPr>
                              <w:spacing w:after="240"/>
                              <w:jc w:val="center"/>
                              <w:rPr>
                                <w:b/>
                                <w:bCs/>
                                <w:color w:val="FFC700"/>
                                <w:sz w:val="52"/>
                                <w:szCs w:val="52"/>
                              </w:rPr>
                            </w:pPr>
                            <w:r w:rsidRPr="00235D3E">
                              <w:rPr>
                                <w:b/>
                                <w:bCs/>
                                <w:color w:val="FFC700"/>
                                <w:sz w:val="52"/>
                                <w:szCs w:val="52"/>
                              </w:rPr>
                              <w:t xml:space="preserve">Call for Papers: Bodies and Environments in the Early Modern World </w:t>
                            </w:r>
                          </w:p>
                          <w:p w14:paraId="537B5F8D" w14:textId="0946FA94" w:rsidR="001F6A4B" w:rsidRPr="00422F9F" w:rsidRDefault="001F6A4B" w:rsidP="001F6A4B">
                            <w:pPr>
                              <w:spacing w:after="240"/>
                              <w:jc w:val="center"/>
                              <w:rPr>
                                <w:b/>
                                <w:bCs/>
                                <w:color w:val="FFC700"/>
                                <w:sz w:val="36"/>
                                <w:szCs w:val="36"/>
                              </w:rPr>
                            </w:pPr>
                            <w:r w:rsidRPr="00422F9F">
                              <w:rPr>
                                <w:b/>
                                <w:bCs/>
                                <w:color w:val="FFC700"/>
                                <w:sz w:val="36"/>
                                <w:szCs w:val="36"/>
                              </w:rPr>
                              <w:t>9-10 June 2025</w:t>
                            </w:r>
                            <w:r w:rsidR="00422F9F">
                              <w:rPr>
                                <w:b/>
                                <w:bCs/>
                                <w:color w:val="FFC700"/>
                                <w:sz w:val="36"/>
                                <w:szCs w:val="36"/>
                              </w:rPr>
                              <w:t>.</w:t>
                            </w:r>
                            <w:r w:rsidR="00422F9F" w:rsidRPr="00422F9F">
                              <w:rPr>
                                <w:b/>
                                <w:bCs/>
                                <w:color w:val="FFC700"/>
                                <w:sz w:val="36"/>
                                <w:szCs w:val="36"/>
                              </w:rPr>
                              <w:t xml:space="preserve"> John Ryland</w:t>
                            </w:r>
                            <w:r w:rsidR="00493FA8">
                              <w:rPr>
                                <w:b/>
                                <w:bCs/>
                                <w:color w:val="FFC700"/>
                                <w:sz w:val="36"/>
                                <w:szCs w:val="36"/>
                              </w:rPr>
                              <w:t>s</w:t>
                            </w:r>
                            <w:r w:rsidR="00422F9F" w:rsidRPr="00422F9F">
                              <w:rPr>
                                <w:b/>
                                <w:bCs/>
                                <w:color w:val="FFC700"/>
                                <w:sz w:val="36"/>
                                <w:szCs w:val="36"/>
                              </w:rPr>
                              <w:t xml:space="preserve"> Research Institute, Manchester</w:t>
                            </w:r>
                          </w:p>
                          <w:p w14:paraId="5DDE664A" w14:textId="77777777" w:rsidR="001F6A4B" w:rsidRPr="001F6A4B" w:rsidRDefault="001F6A4B">
                            <w:pPr>
                              <w:rPr>
                                <w:color w:val="FFC7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12B8" id="Text Box 3" o:spid="_x0000_s1027" type="#_x0000_t202" style="position:absolute;left:0;text-align:left;margin-left:-36.75pt;margin-top:-57pt;width:523.8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" filled="f" stroked="f" strokeweight=".5pt">
                <v:textbox>
                  <w:txbxContent>
                    <w:p w14:paraId="35B09CC7" w14:textId="0D27D969" w:rsidR="001F6A4B" w:rsidRPr="00235D3E" w:rsidRDefault="001F6A4B" w:rsidP="001F6A4B">
                      <w:pPr>
                        <w:spacing w:after="240"/>
                        <w:jc w:val="center"/>
                        <w:rPr>
                          <w:b/>
                          <w:bCs/>
                          <w:color w:val="FFC700"/>
                          <w:sz w:val="52"/>
                          <w:szCs w:val="52"/>
                        </w:rPr>
                      </w:pPr>
                      <w:r w:rsidRPr="00235D3E">
                        <w:rPr>
                          <w:b/>
                          <w:bCs/>
                          <w:color w:val="FFC700"/>
                          <w:sz w:val="52"/>
                          <w:szCs w:val="52"/>
                        </w:rPr>
                        <w:t xml:space="preserve">Call for Papers: Bodies and Environments in the Early Modern World </w:t>
                      </w:r>
                    </w:p>
                    <w:p w14:paraId="537B5F8D" w14:textId="0946FA94" w:rsidR="001F6A4B" w:rsidRPr="00422F9F" w:rsidRDefault="001F6A4B" w:rsidP="001F6A4B">
                      <w:pPr>
                        <w:spacing w:after="240"/>
                        <w:jc w:val="center"/>
                        <w:rPr>
                          <w:b/>
                          <w:bCs/>
                          <w:color w:val="FFC700"/>
                          <w:sz w:val="36"/>
                          <w:szCs w:val="36"/>
                        </w:rPr>
                      </w:pPr>
                      <w:r w:rsidRPr="00422F9F">
                        <w:rPr>
                          <w:b/>
                          <w:bCs/>
                          <w:color w:val="FFC700"/>
                          <w:sz w:val="36"/>
                          <w:szCs w:val="36"/>
                        </w:rPr>
                        <w:t>9-10 June 2025</w:t>
                      </w:r>
                      <w:r w:rsidR="00422F9F">
                        <w:rPr>
                          <w:b/>
                          <w:bCs/>
                          <w:color w:val="FFC700"/>
                          <w:sz w:val="36"/>
                          <w:szCs w:val="36"/>
                        </w:rPr>
                        <w:t>.</w:t>
                      </w:r>
                      <w:r w:rsidR="00422F9F" w:rsidRPr="00422F9F">
                        <w:rPr>
                          <w:b/>
                          <w:bCs/>
                          <w:color w:val="FFC700"/>
                          <w:sz w:val="36"/>
                          <w:szCs w:val="36"/>
                        </w:rPr>
                        <w:t xml:space="preserve"> John Ryland</w:t>
                      </w:r>
                      <w:r w:rsidR="00493FA8">
                        <w:rPr>
                          <w:b/>
                          <w:bCs/>
                          <w:color w:val="FFC700"/>
                          <w:sz w:val="36"/>
                          <w:szCs w:val="36"/>
                        </w:rPr>
                        <w:t>s</w:t>
                      </w:r>
                      <w:r w:rsidR="00422F9F" w:rsidRPr="00422F9F">
                        <w:rPr>
                          <w:b/>
                          <w:bCs/>
                          <w:color w:val="FFC700"/>
                          <w:sz w:val="36"/>
                          <w:szCs w:val="36"/>
                        </w:rPr>
                        <w:t xml:space="preserve"> Research Institute, Manchester</w:t>
                      </w:r>
                    </w:p>
                    <w:p w14:paraId="5DDE664A" w14:textId="77777777" w:rsidR="001F6A4B" w:rsidRPr="001F6A4B" w:rsidRDefault="001F6A4B">
                      <w:pPr>
                        <w:rPr>
                          <w:color w:val="FFC700"/>
                        </w:rPr>
                      </w:pPr>
                    </w:p>
                  </w:txbxContent>
                </v:textbox>
              </v:shape>
            </w:pict>
          </mc:Fallback>
        </mc:AlternateContent>
      </w:r>
      <w:r w:rsidR="00422F9F">
        <w:rPr>
          <w:noProof/>
          <w:sz w:val="22"/>
          <w:szCs w:val="22"/>
          <w:lang w:eastAsia="en-GB"/>
        </w:rPr>
        <w:drawing>
          <wp:anchor distT="0" distB="0" distL="114300" distR="114300" simplePos="0" relativeHeight="251663360" behindDoc="1" locked="0" layoutInCell="1" allowOverlap="1" wp14:anchorId="05B2E2E7" wp14:editId="1052691F">
            <wp:simplePos x="0" y="0"/>
            <wp:positionH relativeFrom="column">
              <wp:posOffset>-553085</wp:posOffset>
            </wp:positionH>
            <wp:positionV relativeFrom="paragraph">
              <wp:posOffset>8227060</wp:posOffset>
            </wp:positionV>
            <wp:extent cx="704215" cy="704215"/>
            <wp:effectExtent l="0" t="0" r="0" b="0"/>
            <wp:wrapNone/>
            <wp:docPr id="1179493097"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93097" name="Picture 5" descr="A black and white logo&#10;&#10;Description automatically generated"/>
                    <pic:cNvPicPr/>
                  </pic:nvPicPr>
                  <pic:blipFill>
                    <a:blip r:embed="rId11" cstate="print">
                      <a:alphaModFix amt="91000"/>
                      <a:extLst>
                        <a:ext uri="{28A0092B-C50C-407E-A947-70E740481C1C}">
                          <a14:useLocalDpi xmlns:a14="http://schemas.microsoft.com/office/drawing/2010/main" val="0"/>
                        </a:ext>
                      </a:extLst>
                    </a:blip>
                    <a:stretch>
                      <a:fillRect/>
                    </a:stretch>
                  </pic:blipFill>
                  <pic:spPr>
                    <a:xfrm>
                      <a:off x="0" y="0"/>
                      <a:ext cx="704215" cy="704215"/>
                    </a:xfrm>
                    <a:prstGeom prst="rect">
                      <a:avLst/>
                    </a:prstGeom>
                  </pic:spPr>
                </pic:pic>
              </a:graphicData>
            </a:graphic>
            <wp14:sizeRelH relativeFrom="page">
              <wp14:pctWidth>0</wp14:pctWidth>
            </wp14:sizeRelH>
            <wp14:sizeRelV relativeFrom="page">
              <wp14:pctHeight>0</wp14:pctHeight>
            </wp14:sizeRelV>
          </wp:anchor>
        </w:drawing>
      </w:r>
      <w:r w:rsidR="00422F9F">
        <w:rPr>
          <w:noProof/>
          <w:lang w:eastAsia="en-GB"/>
        </w:rPr>
        <w:drawing>
          <wp:anchor distT="0" distB="0" distL="114300" distR="114300" simplePos="0" relativeHeight="251664384" behindDoc="0" locked="0" layoutInCell="1" allowOverlap="1" wp14:anchorId="290A5A17" wp14:editId="67FD69E5">
            <wp:simplePos x="0" y="0"/>
            <wp:positionH relativeFrom="column">
              <wp:posOffset>-569738</wp:posOffset>
            </wp:positionH>
            <wp:positionV relativeFrom="paragraph">
              <wp:posOffset>9093200</wp:posOffset>
            </wp:positionV>
            <wp:extent cx="1336040" cy="565150"/>
            <wp:effectExtent l="0" t="0" r="0" b="6350"/>
            <wp:wrapNone/>
            <wp:docPr id="970719167" name="Picture 1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19167" name="Picture 10" descr="A black text on a white background&#10;&#10;Description automatically generated"/>
                    <pic:cNvPicPr/>
                  </pic:nvPicPr>
                  <pic:blipFill>
                    <a:blip r:embed="rId12" cstate="print">
                      <a:alphaModFix amt="91000"/>
                      <a:extLst>
                        <a:ext uri="{28A0092B-C50C-407E-A947-70E740481C1C}">
                          <a14:useLocalDpi xmlns:a14="http://schemas.microsoft.com/office/drawing/2010/main" val="0"/>
                        </a:ext>
                      </a:extLst>
                    </a:blip>
                    <a:stretch>
                      <a:fillRect/>
                    </a:stretch>
                  </pic:blipFill>
                  <pic:spPr>
                    <a:xfrm>
                      <a:off x="0" y="0"/>
                      <a:ext cx="1336040" cy="565150"/>
                    </a:xfrm>
                    <a:prstGeom prst="rect">
                      <a:avLst/>
                    </a:prstGeom>
                  </pic:spPr>
                </pic:pic>
              </a:graphicData>
            </a:graphic>
            <wp14:sizeRelH relativeFrom="page">
              <wp14:pctWidth>0</wp14:pctWidth>
            </wp14:sizeRelH>
            <wp14:sizeRelV relativeFrom="page">
              <wp14:pctHeight>0</wp14:pctHeight>
            </wp14:sizeRelV>
          </wp:anchor>
        </w:drawing>
      </w:r>
      <w:r w:rsidR="004367A6">
        <w:rPr>
          <w:noProof/>
          <w:lang w:eastAsia="en-GB"/>
        </w:rPr>
        <w:drawing>
          <wp:anchor distT="0" distB="0" distL="114300" distR="114300" simplePos="0" relativeHeight="251660288" behindDoc="1" locked="0" layoutInCell="1" allowOverlap="1" wp14:anchorId="1DB768E5" wp14:editId="59461F56">
            <wp:simplePos x="0" y="0"/>
            <wp:positionH relativeFrom="column">
              <wp:posOffset>-2829742</wp:posOffset>
            </wp:positionH>
            <wp:positionV relativeFrom="paragraph">
              <wp:posOffset>-1044756</wp:posOffset>
            </wp:positionV>
            <wp:extent cx="17183746" cy="11569972"/>
            <wp:effectExtent l="0" t="0" r="0" b="0"/>
            <wp:wrapNone/>
            <wp:docPr id="1339907886" name="Picture 1" descr="A painting of people walk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07886" name="Picture 1" descr="A painting of people walking in a fiel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183746" cy="11569972"/>
                    </a:xfrm>
                    <a:prstGeom prst="rect">
                      <a:avLst/>
                    </a:prstGeom>
                  </pic:spPr>
                </pic:pic>
              </a:graphicData>
            </a:graphic>
            <wp14:sizeRelH relativeFrom="page">
              <wp14:pctWidth>0</wp14:pctWidth>
            </wp14:sizeRelH>
            <wp14:sizeRelV relativeFrom="page">
              <wp14:pctHeight>0</wp14:pctHeight>
            </wp14:sizeRelV>
          </wp:anchor>
        </w:drawing>
      </w:r>
    </w:p>
    <w:sectPr w:rsidR="005B48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3FE55" w14:textId="77777777" w:rsidR="00AA4328" w:rsidRDefault="00AA4328" w:rsidP="0011630D">
      <w:r>
        <w:separator/>
      </w:r>
    </w:p>
  </w:endnote>
  <w:endnote w:type="continuationSeparator" w:id="0">
    <w:p w14:paraId="57018FBD" w14:textId="77777777" w:rsidR="00AA4328" w:rsidRDefault="00AA4328" w:rsidP="0011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281E0" w14:textId="77777777" w:rsidR="00AA4328" w:rsidRDefault="00AA4328" w:rsidP="0011630D">
      <w:r>
        <w:separator/>
      </w:r>
    </w:p>
  </w:footnote>
  <w:footnote w:type="continuationSeparator" w:id="0">
    <w:p w14:paraId="171273AA" w14:textId="77777777" w:rsidR="00AA4328" w:rsidRDefault="00AA4328" w:rsidP="00116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4DFA"/>
    <w:multiLevelType w:val="hybridMultilevel"/>
    <w:tmpl w:val="756AC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61"/>
    <w:rsid w:val="0002003C"/>
    <w:rsid w:val="0003352B"/>
    <w:rsid w:val="00074908"/>
    <w:rsid w:val="000D59BF"/>
    <w:rsid w:val="000E1E2C"/>
    <w:rsid w:val="0010639C"/>
    <w:rsid w:val="0011630D"/>
    <w:rsid w:val="001358E2"/>
    <w:rsid w:val="001F6A4B"/>
    <w:rsid w:val="0021346A"/>
    <w:rsid w:val="00224A25"/>
    <w:rsid w:val="00235D3E"/>
    <w:rsid w:val="002477A9"/>
    <w:rsid w:val="00264F83"/>
    <w:rsid w:val="002B7C97"/>
    <w:rsid w:val="002E18AA"/>
    <w:rsid w:val="003F46BD"/>
    <w:rsid w:val="00422F9F"/>
    <w:rsid w:val="004367A6"/>
    <w:rsid w:val="00437BBE"/>
    <w:rsid w:val="0045058A"/>
    <w:rsid w:val="00453446"/>
    <w:rsid w:val="00463006"/>
    <w:rsid w:val="00493FA8"/>
    <w:rsid w:val="00502891"/>
    <w:rsid w:val="00542B7E"/>
    <w:rsid w:val="005A6EBF"/>
    <w:rsid w:val="005B4886"/>
    <w:rsid w:val="005C5844"/>
    <w:rsid w:val="00625846"/>
    <w:rsid w:val="00626542"/>
    <w:rsid w:val="006624F3"/>
    <w:rsid w:val="00680304"/>
    <w:rsid w:val="006B6A41"/>
    <w:rsid w:val="00731E68"/>
    <w:rsid w:val="0082261E"/>
    <w:rsid w:val="008B2178"/>
    <w:rsid w:val="008F7CA6"/>
    <w:rsid w:val="009351D6"/>
    <w:rsid w:val="00961CEE"/>
    <w:rsid w:val="00991457"/>
    <w:rsid w:val="00A05E81"/>
    <w:rsid w:val="00AA4328"/>
    <w:rsid w:val="00AF088F"/>
    <w:rsid w:val="00AF41C9"/>
    <w:rsid w:val="00B42182"/>
    <w:rsid w:val="00B778B7"/>
    <w:rsid w:val="00B802A0"/>
    <w:rsid w:val="00B90943"/>
    <w:rsid w:val="00C052B1"/>
    <w:rsid w:val="00C072BC"/>
    <w:rsid w:val="00D24242"/>
    <w:rsid w:val="00DD6087"/>
    <w:rsid w:val="00E72F61"/>
    <w:rsid w:val="00EA37DC"/>
    <w:rsid w:val="00EC3315"/>
    <w:rsid w:val="00F14CF8"/>
    <w:rsid w:val="00F15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B4B18"/>
  <w15:chartTrackingRefBased/>
  <w15:docId w15:val="{1347CD85-8A7A-7645-AFAB-EA7A145A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2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F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F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F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F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F61"/>
    <w:rPr>
      <w:rFonts w:eastAsiaTheme="majorEastAsia" w:cstheme="majorBidi"/>
      <w:color w:val="272727" w:themeColor="text1" w:themeTint="D8"/>
    </w:rPr>
  </w:style>
  <w:style w:type="paragraph" w:styleId="Title">
    <w:name w:val="Title"/>
    <w:basedOn w:val="Normal"/>
    <w:next w:val="Normal"/>
    <w:link w:val="TitleChar"/>
    <w:uiPriority w:val="10"/>
    <w:qFormat/>
    <w:rsid w:val="00E72F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F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F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2F61"/>
    <w:rPr>
      <w:i/>
      <w:iCs/>
      <w:color w:val="404040" w:themeColor="text1" w:themeTint="BF"/>
    </w:rPr>
  </w:style>
  <w:style w:type="paragraph" w:styleId="ListParagraph">
    <w:name w:val="List Paragraph"/>
    <w:basedOn w:val="Normal"/>
    <w:uiPriority w:val="34"/>
    <w:qFormat/>
    <w:rsid w:val="00E72F61"/>
    <w:pPr>
      <w:ind w:left="720"/>
      <w:contextualSpacing/>
    </w:pPr>
  </w:style>
  <w:style w:type="character" w:styleId="IntenseEmphasis">
    <w:name w:val="Intense Emphasis"/>
    <w:basedOn w:val="DefaultParagraphFont"/>
    <w:uiPriority w:val="21"/>
    <w:qFormat/>
    <w:rsid w:val="00E72F61"/>
    <w:rPr>
      <w:i/>
      <w:iCs/>
      <w:color w:val="0F4761" w:themeColor="accent1" w:themeShade="BF"/>
    </w:rPr>
  </w:style>
  <w:style w:type="paragraph" w:styleId="IntenseQuote">
    <w:name w:val="Intense Quote"/>
    <w:basedOn w:val="Normal"/>
    <w:next w:val="Normal"/>
    <w:link w:val="IntenseQuoteChar"/>
    <w:uiPriority w:val="30"/>
    <w:qFormat/>
    <w:rsid w:val="00E72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F61"/>
    <w:rPr>
      <w:i/>
      <w:iCs/>
      <w:color w:val="0F4761" w:themeColor="accent1" w:themeShade="BF"/>
    </w:rPr>
  </w:style>
  <w:style w:type="character" w:styleId="IntenseReference">
    <w:name w:val="Intense Reference"/>
    <w:basedOn w:val="DefaultParagraphFont"/>
    <w:uiPriority w:val="32"/>
    <w:qFormat/>
    <w:rsid w:val="00E72F61"/>
    <w:rPr>
      <w:b/>
      <w:bCs/>
      <w:smallCaps/>
      <w:color w:val="0F4761" w:themeColor="accent1" w:themeShade="BF"/>
      <w:spacing w:val="5"/>
    </w:rPr>
  </w:style>
  <w:style w:type="paragraph" w:styleId="Header">
    <w:name w:val="header"/>
    <w:basedOn w:val="Normal"/>
    <w:link w:val="HeaderChar"/>
    <w:uiPriority w:val="99"/>
    <w:unhideWhenUsed/>
    <w:rsid w:val="0011630D"/>
    <w:pPr>
      <w:tabs>
        <w:tab w:val="center" w:pos="4513"/>
        <w:tab w:val="right" w:pos="9026"/>
      </w:tabs>
    </w:pPr>
  </w:style>
  <w:style w:type="character" w:customStyle="1" w:styleId="HeaderChar">
    <w:name w:val="Header Char"/>
    <w:basedOn w:val="DefaultParagraphFont"/>
    <w:link w:val="Header"/>
    <w:uiPriority w:val="99"/>
    <w:rsid w:val="0011630D"/>
  </w:style>
  <w:style w:type="paragraph" w:styleId="Footer">
    <w:name w:val="footer"/>
    <w:basedOn w:val="Normal"/>
    <w:link w:val="FooterChar"/>
    <w:uiPriority w:val="99"/>
    <w:unhideWhenUsed/>
    <w:rsid w:val="0011630D"/>
    <w:pPr>
      <w:tabs>
        <w:tab w:val="center" w:pos="4513"/>
        <w:tab w:val="right" w:pos="9026"/>
      </w:tabs>
    </w:pPr>
  </w:style>
  <w:style w:type="character" w:customStyle="1" w:styleId="FooterChar">
    <w:name w:val="Footer Char"/>
    <w:basedOn w:val="DefaultParagraphFont"/>
    <w:link w:val="Footer"/>
    <w:uiPriority w:val="99"/>
    <w:rsid w:val="0011630D"/>
  </w:style>
  <w:style w:type="character" w:styleId="Hyperlink">
    <w:name w:val="Hyperlink"/>
    <w:basedOn w:val="DefaultParagraphFont"/>
    <w:uiPriority w:val="99"/>
    <w:unhideWhenUsed/>
    <w:rsid w:val="00961CEE"/>
    <w:rPr>
      <w:color w:val="467886" w:themeColor="hyperlink"/>
      <w:u w:val="single"/>
    </w:rPr>
  </w:style>
  <w:style w:type="character" w:customStyle="1" w:styleId="UnresolvedMention">
    <w:name w:val="Unresolved Mention"/>
    <w:basedOn w:val="DefaultParagraphFont"/>
    <w:uiPriority w:val="99"/>
    <w:semiHidden/>
    <w:unhideWhenUsed/>
    <w:rsid w:val="00961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anor.shaw@manchester.ac.uk"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sites.manchester.ac.uk/sleeping-well/home/about/"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leanor.shaw@manchester.ac.uk" TargetMode="External"/><Relationship Id="rId4" Type="http://schemas.openxmlformats.org/officeDocument/2006/relationships/webSettings" Target="webSettings.xml"/><Relationship Id="rId9" Type="http://schemas.openxmlformats.org/officeDocument/2006/relationships/hyperlink" Target="https://sites.manchester.ac.uk/sleeping-well/home/abou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Fletcher</dc:creator>
  <cp:keywords/>
  <dc:description/>
  <cp:lastModifiedBy>Eleanor Shaw</cp:lastModifiedBy>
  <cp:revision>3</cp:revision>
  <dcterms:created xsi:type="dcterms:W3CDTF">2024-12-09T11:51:00Z</dcterms:created>
  <dcterms:modified xsi:type="dcterms:W3CDTF">2024-12-10T08:32:00Z</dcterms:modified>
</cp:coreProperties>
</file>