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5272" w14:textId="60378856" w:rsidR="00236278" w:rsidRPr="006A5E27" w:rsidRDefault="00236278" w:rsidP="006A5E27">
      <w:pPr>
        <w:rPr>
          <w:color w:val="212121"/>
        </w:rPr>
      </w:pPr>
    </w:p>
    <w:p w14:paraId="5017D2C8" w14:textId="09707CBF" w:rsidR="00236278" w:rsidRPr="00236278" w:rsidRDefault="00236278" w:rsidP="00236278">
      <w:pPr>
        <w:jc w:val="center"/>
        <w:rPr>
          <w:b/>
          <w:bCs/>
          <w:color w:val="7030A0"/>
        </w:rPr>
      </w:pPr>
      <w:r w:rsidRPr="00236278">
        <w:rPr>
          <w:b/>
          <w:bCs/>
          <w:color w:val="7030A0"/>
        </w:rPr>
        <w:t xml:space="preserve">Are you yet to decide </w:t>
      </w:r>
      <w:r w:rsidR="0091744F">
        <w:rPr>
          <w:b/>
          <w:bCs/>
          <w:color w:val="7030A0"/>
        </w:rPr>
        <w:t>which</w:t>
      </w:r>
      <w:r w:rsidR="0091744F" w:rsidRPr="00236278">
        <w:rPr>
          <w:b/>
          <w:bCs/>
          <w:color w:val="7030A0"/>
        </w:rPr>
        <w:t xml:space="preserve"> </w:t>
      </w:r>
      <w:r w:rsidRPr="00236278">
        <w:rPr>
          <w:b/>
          <w:bCs/>
          <w:color w:val="7030A0"/>
        </w:rPr>
        <w:t>scheme is suitable for your project?</w:t>
      </w:r>
    </w:p>
    <w:p w14:paraId="5881FA40" w14:textId="07B41C5C" w:rsidR="00FF740E" w:rsidRPr="00236278" w:rsidRDefault="00D51D7A" w:rsidP="000766D9">
      <w:pPr>
        <w:rPr>
          <w:color w:val="212121"/>
        </w:rPr>
      </w:pPr>
      <w:r>
        <w:rPr>
          <w:color w:val="212121"/>
        </w:rPr>
        <w:t>We can help you identify</w:t>
      </w:r>
      <w:r w:rsidR="00BC3E27">
        <w:rPr>
          <w:color w:val="212121"/>
        </w:rPr>
        <w:t xml:space="preserve"> th</w:t>
      </w:r>
      <w:r w:rsidR="0023100A">
        <w:rPr>
          <w:color w:val="212121"/>
        </w:rPr>
        <w:t xml:space="preserve">e </w:t>
      </w:r>
      <w:r w:rsidR="00554E3B">
        <w:rPr>
          <w:color w:val="212121"/>
        </w:rPr>
        <w:t xml:space="preserve">most </w:t>
      </w:r>
      <w:r w:rsidR="004E4018">
        <w:rPr>
          <w:color w:val="212121"/>
        </w:rPr>
        <w:t>suitable scheme for you</w:t>
      </w:r>
      <w:r w:rsidR="00FE6EE7">
        <w:rPr>
          <w:color w:val="212121"/>
        </w:rPr>
        <w:t xml:space="preserve">. </w:t>
      </w:r>
      <w:r w:rsidR="000766D9">
        <w:rPr>
          <w:color w:val="212121"/>
        </w:rPr>
        <w:t xml:space="preserve">Please find below some </w:t>
      </w:r>
      <w:r w:rsidR="003817F3">
        <w:rPr>
          <w:color w:val="212121"/>
        </w:rPr>
        <w:t>information from</w:t>
      </w:r>
      <w:r w:rsidR="000766D9">
        <w:rPr>
          <w:color w:val="212121"/>
        </w:rPr>
        <w:t xml:space="preserve">  </w:t>
      </w:r>
      <w:r w:rsidR="00EC6F37">
        <w:rPr>
          <w:color w:val="212121"/>
        </w:rPr>
        <w:t>the most</w:t>
      </w:r>
      <w:r w:rsidR="001572AF">
        <w:rPr>
          <w:color w:val="212121"/>
        </w:rPr>
        <w:t xml:space="preserve"> relevant</w:t>
      </w:r>
      <w:r w:rsidR="00EC6F37">
        <w:rPr>
          <w:color w:val="212121"/>
        </w:rPr>
        <w:t xml:space="preserve"> </w:t>
      </w:r>
      <w:r w:rsidR="000766D9">
        <w:rPr>
          <w:color w:val="212121"/>
        </w:rPr>
        <w:t xml:space="preserve"> </w:t>
      </w:r>
      <w:r w:rsidR="000766D9">
        <w:rPr>
          <w:b/>
          <w:bCs/>
          <w:color w:val="212121"/>
        </w:rPr>
        <w:t>translational funding schemes</w:t>
      </w:r>
      <w:r w:rsidR="001572AF">
        <w:rPr>
          <w:b/>
          <w:bCs/>
          <w:color w:val="212121"/>
        </w:rPr>
        <w:t xml:space="preserve"> from </w:t>
      </w:r>
      <w:r w:rsidR="005E0B08">
        <w:rPr>
          <w:b/>
          <w:bCs/>
          <w:color w:val="212121"/>
        </w:rPr>
        <w:t>NIHR and MRC</w:t>
      </w:r>
      <w:r w:rsidR="00AF57B9">
        <w:rPr>
          <w:color w:val="212121"/>
        </w:rPr>
        <w:t xml:space="preserve">, </w:t>
      </w:r>
      <w:r w:rsidR="00506261">
        <w:rPr>
          <w:color w:val="212121"/>
        </w:rPr>
        <w:t>but</w:t>
      </w:r>
      <w:r w:rsidR="00AF57B9">
        <w:rPr>
          <w:color w:val="212121"/>
        </w:rPr>
        <w:t xml:space="preserve"> </w:t>
      </w:r>
      <w:r w:rsidR="001468AE">
        <w:rPr>
          <w:color w:val="212121"/>
        </w:rPr>
        <w:t xml:space="preserve">we </w:t>
      </w:r>
      <w:r w:rsidR="000057BB">
        <w:rPr>
          <w:color w:val="212121"/>
        </w:rPr>
        <w:t>support applications</w:t>
      </w:r>
      <w:r w:rsidR="001468AE">
        <w:rPr>
          <w:color w:val="212121"/>
        </w:rPr>
        <w:t xml:space="preserve"> for all translational funding bids including </w:t>
      </w:r>
      <w:hyperlink r:id="rId10" w:history="1">
        <w:proofErr w:type="spellStart"/>
        <w:r w:rsidR="00E76721" w:rsidRPr="00E76721">
          <w:rPr>
            <w:rStyle w:val="Hyperlink"/>
          </w:rPr>
          <w:t>LifeArc</w:t>
        </w:r>
        <w:proofErr w:type="spellEnd"/>
        <w:r w:rsidR="000766D9" w:rsidRPr="00E76721">
          <w:rPr>
            <w:rStyle w:val="Hyperlink"/>
          </w:rPr>
          <w:t> </w:t>
        </w:r>
      </w:hyperlink>
      <w:r w:rsidR="00E76721">
        <w:rPr>
          <w:color w:val="212121"/>
        </w:rPr>
        <w:t xml:space="preserve">and </w:t>
      </w:r>
      <w:hyperlink r:id="rId11" w:history="1">
        <w:r w:rsidR="00E76721" w:rsidRPr="00AD1A68">
          <w:rPr>
            <w:rStyle w:val="Hyperlink"/>
          </w:rPr>
          <w:t>BHF Translational Award</w:t>
        </w:r>
      </w:hyperlink>
      <w:r w:rsidR="00E76721">
        <w:rPr>
          <w:color w:val="212121"/>
        </w:rPr>
        <w:t>.</w:t>
      </w:r>
      <w:r w:rsidR="000766D9">
        <w:rPr>
          <w:color w:val="212121"/>
        </w:rPr>
        <w:t xml:space="preserve"> These awards cover a significant portion of the</w:t>
      </w:r>
      <w:r w:rsidR="000766D9">
        <w:rPr>
          <w:rStyle w:val="apple-converted-space"/>
          <w:color w:val="212121"/>
        </w:rPr>
        <w:t> </w:t>
      </w:r>
      <w:hyperlink r:id="rId12" w:tooltip="http://documents.manchester.ac.uk/display.aspx?DocID=41767" w:history="1">
        <w:r w:rsidR="000766D9">
          <w:rPr>
            <w:rStyle w:val="Hyperlink"/>
            <w:color w:val="0078D7"/>
          </w:rPr>
          <w:t>translational research pathway</w:t>
        </w:r>
      </w:hyperlink>
      <w:r w:rsidR="000766D9">
        <w:rPr>
          <w:rStyle w:val="apple-converted-space"/>
          <w:color w:val="212121"/>
        </w:rPr>
        <w:t> </w:t>
      </w:r>
      <w:r w:rsidR="000766D9">
        <w:rPr>
          <w:color w:val="212121"/>
        </w:rPr>
        <w:t>and are the natural follow-on funding schemes from our internal translational pump priming schemes such as the MRC Impact accelerator Account (IAA) and the Translational Partnership Award Schemes (A2E, C4T) managed by Translation Manchester.</w:t>
      </w:r>
    </w:p>
    <w:tbl>
      <w:tblPr>
        <w:tblStyle w:val="TableGrid"/>
        <w:tblW w:w="9140" w:type="dxa"/>
        <w:tblLayout w:type="fixed"/>
        <w:tblLook w:val="06A0" w:firstRow="1" w:lastRow="0" w:firstColumn="1" w:lastColumn="0" w:noHBand="1" w:noVBand="1"/>
      </w:tblPr>
      <w:tblGrid>
        <w:gridCol w:w="1124"/>
        <w:gridCol w:w="2179"/>
        <w:gridCol w:w="3613"/>
        <w:gridCol w:w="2224"/>
      </w:tblGrid>
      <w:tr w:rsidR="00250197" w:rsidRPr="00236278" w14:paraId="150966C5" w14:textId="77777777" w:rsidTr="0025174B">
        <w:trPr>
          <w:trHeight w:val="397"/>
        </w:trPr>
        <w:tc>
          <w:tcPr>
            <w:tcW w:w="1124" w:type="dxa"/>
            <w:vAlign w:val="center"/>
            <w:hideMark/>
          </w:tcPr>
          <w:p w14:paraId="6933DA24" w14:textId="1302A950" w:rsidR="00250197" w:rsidRPr="00236278" w:rsidRDefault="006A5E2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b/>
                <w:bCs/>
                <w:color w:val="000000"/>
                <w:sz w:val="20"/>
                <w:szCs w:val="20"/>
              </w:rPr>
              <w:t>FUNDER</w:t>
            </w:r>
          </w:p>
        </w:tc>
        <w:tc>
          <w:tcPr>
            <w:tcW w:w="2179" w:type="dxa"/>
            <w:vAlign w:val="center"/>
            <w:hideMark/>
          </w:tcPr>
          <w:p w14:paraId="054493B0" w14:textId="1288D002" w:rsidR="00250197" w:rsidRPr="00236278" w:rsidRDefault="006A5E2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b/>
                <w:bCs/>
                <w:color w:val="000000"/>
                <w:sz w:val="20"/>
                <w:szCs w:val="20"/>
              </w:rPr>
              <w:t>GRANT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NAME AND DETAILS</w:t>
            </w:r>
          </w:p>
        </w:tc>
        <w:tc>
          <w:tcPr>
            <w:tcW w:w="3613" w:type="dxa"/>
            <w:vAlign w:val="center"/>
            <w:hideMark/>
          </w:tcPr>
          <w:p w14:paraId="32E27D09" w14:textId="1D4FDAFA" w:rsidR="00250197" w:rsidRPr="00236278" w:rsidRDefault="006A5E2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224" w:type="dxa"/>
            <w:vAlign w:val="center"/>
            <w:hideMark/>
          </w:tcPr>
          <w:p w14:paraId="35E3A1A7" w14:textId="4A93306C" w:rsidR="00250197" w:rsidRPr="00236278" w:rsidRDefault="006A5E27" w:rsidP="0025174B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NEXT </w:t>
            </w:r>
            <w:r w:rsidRPr="00236278">
              <w:rPr>
                <w:rFonts w:cs="Calibri"/>
                <w:b/>
                <w:bCs/>
                <w:color w:val="000000"/>
                <w:sz w:val="20"/>
                <w:szCs w:val="20"/>
              </w:rPr>
              <w:t>DEADLINE</w:t>
            </w:r>
          </w:p>
        </w:tc>
      </w:tr>
      <w:tr w:rsidR="00250197" w:rsidRPr="00236278" w14:paraId="57FBD1E7" w14:textId="77777777" w:rsidTr="0025174B">
        <w:trPr>
          <w:trHeight w:val="1012"/>
        </w:trPr>
        <w:tc>
          <w:tcPr>
            <w:tcW w:w="1124" w:type="dxa"/>
            <w:vAlign w:val="center"/>
            <w:hideMark/>
          </w:tcPr>
          <w:p w14:paraId="01C409B0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NIHR</w:t>
            </w:r>
          </w:p>
        </w:tc>
        <w:tc>
          <w:tcPr>
            <w:tcW w:w="2179" w:type="dxa"/>
            <w:vAlign w:val="center"/>
            <w:hideMark/>
          </w:tcPr>
          <w:p w14:paraId="645E589E" w14:textId="77777777" w:rsidR="00B358CE" w:rsidRDefault="0078153D" w:rsidP="0025174B">
            <w:pPr>
              <w:rPr>
                <w:sz w:val="20"/>
                <w:szCs w:val="20"/>
              </w:rPr>
            </w:pPr>
            <w:hyperlink r:id="rId13" w:history="1"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Research for Patient Benefit (</w:t>
              </w:r>
              <w:proofErr w:type="spellStart"/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RfPB</w:t>
              </w:r>
              <w:proofErr w:type="spellEnd"/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)</w:t>
              </w:r>
            </w:hyperlink>
            <w:r w:rsidR="00EB0BAF">
              <w:rPr>
                <w:rStyle w:val="Hyperlink"/>
                <w:rFonts w:cs="Calibri"/>
                <w:sz w:val="20"/>
                <w:szCs w:val="20"/>
              </w:rPr>
              <w:br/>
            </w:r>
          </w:p>
          <w:p w14:paraId="58B44DB3" w14:textId="4175EEFE" w:rsidR="00250197" w:rsidRPr="00236278" w:rsidRDefault="00EA6D67" w:rsidP="0025174B">
            <w:pPr>
              <w:rPr>
                <w:sz w:val="20"/>
                <w:szCs w:val="20"/>
              </w:rPr>
            </w:pPr>
            <w:r w:rsidRPr="00C25DC5">
              <w:rPr>
                <w:sz w:val="20"/>
                <w:szCs w:val="20"/>
              </w:rPr>
              <w:t>Up to £500K</w:t>
            </w:r>
            <w:r w:rsidR="00AD5D4B" w:rsidRPr="00C25DC5">
              <w:rPr>
                <w:sz w:val="20"/>
                <w:szCs w:val="20"/>
              </w:rPr>
              <w:t>,</w:t>
            </w:r>
            <w:r w:rsidR="00226F77" w:rsidRPr="00C25DC5">
              <w:rPr>
                <w:sz w:val="20"/>
                <w:szCs w:val="20"/>
              </w:rPr>
              <w:t xml:space="preserve"> </w:t>
            </w:r>
            <w:r w:rsidR="00E04632" w:rsidRPr="00C25DC5">
              <w:rPr>
                <w:sz w:val="20"/>
                <w:szCs w:val="20"/>
              </w:rPr>
              <w:t>up to 36</w:t>
            </w:r>
            <w:r w:rsidR="00C25DC5">
              <w:rPr>
                <w:sz w:val="20"/>
                <w:szCs w:val="20"/>
              </w:rPr>
              <w:t xml:space="preserve"> </w:t>
            </w:r>
            <w:r w:rsidR="00E04632" w:rsidRPr="00C25DC5">
              <w:rPr>
                <w:sz w:val="20"/>
                <w:szCs w:val="20"/>
              </w:rPr>
              <w:t>m</w:t>
            </w:r>
            <w:r w:rsidR="00C25DC5">
              <w:rPr>
                <w:sz w:val="20"/>
                <w:szCs w:val="20"/>
              </w:rPr>
              <w:t xml:space="preserve">onths </w:t>
            </w:r>
            <w:r w:rsidR="006A5E27">
              <w:rPr>
                <w:sz w:val="20"/>
                <w:szCs w:val="20"/>
              </w:rPr>
              <w:t>duration</w:t>
            </w:r>
          </w:p>
        </w:tc>
        <w:tc>
          <w:tcPr>
            <w:tcW w:w="3613" w:type="dxa"/>
            <w:vAlign w:val="center"/>
            <w:hideMark/>
          </w:tcPr>
          <w:p w14:paraId="18159EAE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Funding for health, public health and social care research covering a wide range of health service challenges in England</w:t>
            </w:r>
          </w:p>
        </w:tc>
        <w:tc>
          <w:tcPr>
            <w:tcW w:w="2224" w:type="dxa"/>
            <w:vAlign w:val="center"/>
            <w:hideMark/>
          </w:tcPr>
          <w:p w14:paraId="10752ABE" w14:textId="19B1EE41" w:rsidR="00250197" w:rsidRPr="00236278" w:rsidRDefault="000470C9" w:rsidP="0025174B">
            <w:pPr>
              <w:rPr>
                <w:sz w:val="20"/>
                <w:szCs w:val="20"/>
              </w:rPr>
            </w:pPr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>6th November 2024</w:t>
            </w:r>
          </w:p>
        </w:tc>
      </w:tr>
      <w:tr w:rsidR="00250197" w:rsidRPr="00236278" w14:paraId="3BDDB52A" w14:textId="77777777" w:rsidTr="0025174B">
        <w:trPr>
          <w:trHeight w:val="1350"/>
        </w:trPr>
        <w:tc>
          <w:tcPr>
            <w:tcW w:w="1124" w:type="dxa"/>
            <w:vAlign w:val="center"/>
            <w:hideMark/>
          </w:tcPr>
          <w:p w14:paraId="72B075D6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NIHR</w:t>
            </w:r>
          </w:p>
        </w:tc>
        <w:tc>
          <w:tcPr>
            <w:tcW w:w="2179" w:type="dxa"/>
            <w:vAlign w:val="center"/>
            <w:hideMark/>
          </w:tcPr>
          <w:p w14:paraId="04050F95" w14:textId="77777777" w:rsidR="00B358CE" w:rsidRDefault="0078153D" w:rsidP="0025174B">
            <w:pPr>
              <w:rPr>
                <w:sz w:val="20"/>
                <w:szCs w:val="20"/>
              </w:rPr>
            </w:pPr>
            <w:hyperlink r:id="rId14" w:history="1"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 xml:space="preserve">Efficacy </w:t>
              </w:r>
              <w:proofErr w:type="gramStart"/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and  Mechanism</w:t>
              </w:r>
              <w:proofErr w:type="gramEnd"/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 xml:space="preserve"> Evaluation (EME)</w:t>
              </w:r>
            </w:hyperlink>
            <w:r w:rsidR="00426675">
              <w:rPr>
                <w:rStyle w:val="Hyperlink"/>
                <w:rFonts w:cs="Calibri"/>
                <w:sz w:val="20"/>
                <w:szCs w:val="20"/>
              </w:rPr>
              <w:br/>
            </w:r>
          </w:p>
          <w:p w14:paraId="76A59AA9" w14:textId="127A9725" w:rsidR="00250197" w:rsidRPr="00236278" w:rsidRDefault="00426675" w:rsidP="0025174B">
            <w:pPr>
              <w:rPr>
                <w:sz w:val="20"/>
                <w:szCs w:val="20"/>
              </w:rPr>
            </w:pPr>
            <w:r w:rsidRPr="00C25DC5">
              <w:rPr>
                <w:sz w:val="20"/>
                <w:szCs w:val="20"/>
              </w:rPr>
              <w:t>No limits to funds and duration</w:t>
            </w:r>
          </w:p>
        </w:tc>
        <w:tc>
          <w:tcPr>
            <w:tcW w:w="3613" w:type="dxa"/>
            <w:vAlign w:val="center"/>
            <w:hideMark/>
          </w:tcPr>
          <w:p w14:paraId="4A2B3244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Funding for ambitious studies evaluating interventions with potential to make a step-change in the promotion of health, treatment of disease and improvement of rehabilitation or long-term care</w:t>
            </w:r>
          </w:p>
        </w:tc>
        <w:tc>
          <w:tcPr>
            <w:tcW w:w="2224" w:type="dxa"/>
            <w:vAlign w:val="center"/>
            <w:hideMark/>
          </w:tcPr>
          <w:p w14:paraId="763431B1" w14:textId="3FB7A54F" w:rsidR="00250197" w:rsidRPr="00236278" w:rsidRDefault="00673538" w:rsidP="0025174B">
            <w:pPr>
              <w:rPr>
                <w:sz w:val="20"/>
                <w:szCs w:val="20"/>
              </w:rPr>
            </w:pPr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 xml:space="preserve">10th December </w:t>
            </w:r>
            <w:proofErr w:type="gramStart"/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>2024</w:t>
            </w:r>
            <w:r w:rsidRPr="00673538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 (</w:t>
            </w:r>
            <w:proofErr w:type="gramEnd"/>
            <w:r w:rsidRPr="00673538">
              <w:rPr>
                <w:rFonts w:cs="Calibri"/>
                <w:color w:val="000000"/>
                <w:sz w:val="20"/>
                <w:szCs w:val="20"/>
                <w:u w:val="single"/>
              </w:rPr>
              <w:t>EME Researcher-led)</w:t>
            </w:r>
          </w:p>
        </w:tc>
      </w:tr>
      <w:tr w:rsidR="00250197" w:rsidRPr="00236278" w14:paraId="4CBDFB86" w14:textId="77777777" w:rsidTr="0025174B">
        <w:trPr>
          <w:trHeight w:val="1350"/>
        </w:trPr>
        <w:tc>
          <w:tcPr>
            <w:tcW w:w="1124" w:type="dxa"/>
            <w:vAlign w:val="center"/>
            <w:hideMark/>
          </w:tcPr>
          <w:p w14:paraId="437BF29C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MRC</w:t>
            </w:r>
          </w:p>
        </w:tc>
        <w:tc>
          <w:tcPr>
            <w:tcW w:w="2179" w:type="dxa"/>
            <w:vAlign w:val="center"/>
            <w:hideMark/>
          </w:tcPr>
          <w:p w14:paraId="3D585079" w14:textId="77777777" w:rsidR="00B358CE" w:rsidRDefault="0078153D" w:rsidP="0025174B">
            <w:pPr>
              <w:rPr>
                <w:sz w:val="20"/>
                <w:szCs w:val="20"/>
              </w:rPr>
            </w:pPr>
            <w:hyperlink r:id="rId15" w:history="1"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Experimental medicine</w:t>
              </w:r>
            </w:hyperlink>
            <w:r w:rsidR="000E58A1">
              <w:rPr>
                <w:rStyle w:val="Hyperlink"/>
                <w:rFonts w:cs="Calibri"/>
                <w:sz w:val="20"/>
                <w:szCs w:val="20"/>
              </w:rPr>
              <w:br/>
            </w:r>
          </w:p>
          <w:p w14:paraId="05172929" w14:textId="51336FE4" w:rsidR="00250197" w:rsidRPr="00236278" w:rsidRDefault="000E58A1" w:rsidP="0025174B">
            <w:pPr>
              <w:rPr>
                <w:sz w:val="20"/>
                <w:szCs w:val="20"/>
              </w:rPr>
            </w:pPr>
            <w:r w:rsidRPr="006A5E27">
              <w:rPr>
                <w:sz w:val="20"/>
                <w:szCs w:val="20"/>
              </w:rPr>
              <w:t xml:space="preserve">No limits to funds (but typically </w:t>
            </w:r>
            <w:r w:rsidR="006B18CB" w:rsidRPr="006A5E27">
              <w:rPr>
                <w:sz w:val="20"/>
                <w:szCs w:val="20"/>
              </w:rPr>
              <w:t xml:space="preserve">&gt;1M) </w:t>
            </w:r>
            <w:r w:rsidRPr="006A5E27">
              <w:rPr>
                <w:sz w:val="20"/>
                <w:szCs w:val="20"/>
              </w:rPr>
              <w:t>and duration</w:t>
            </w:r>
          </w:p>
        </w:tc>
        <w:tc>
          <w:tcPr>
            <w:tcW w:w="3613" w:type="dxa"/>
            <w:vAlign w:val="center"/>
            <w:hideMark/>
          </w:tcPr>
          <w:p w14:paraId="6492BF3E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 xml:space="preserve">Investigating the causes, </w:t>
            </w:r>
            <w:r w:rsidRPr="00236278">
              <w:rPr>
                <w:rStyle w:val="grame"/>
                <w:rFonts w:cs="Calibri"/>
                <w:color w:val="000000"/>
                <w:sz w:val="20"/>
                <w:szCs w:val="20"/>
              </w:rPr>
              <w:t>progression</w:t>
            </w:r>
            <w:r w:rsidRPr="00236278">
              <w:rPr>
                <w:rFonts w:cs="Calibri"/>
                <w:color w:val="000000"/>
                <w:sz w:val="20"/>
                <w:szCs w:val="20"/>
              </w:rPr>
              <w:t xml:space="preserve"> and treatment of human disease. Project must include an experimental intervention or challenge in humans, focus on a mechanistic hypothesis, be </w:t>
            </w:r>
            <w:proofErr w:type="gramStart"/>
            <w:r w:rsidRPr="00236278">
              <w:rPr>
                <w:rStyle w:val="grame"/>
                <w:rFonts w:cs="Calibri"/>
                <w:color w:val="000000"/>
                <w:sz w:val="20"/>
                <w:szCs w:val="20"/>
              </w:rPr>
              <w:t>academically-led</w:t>
            </w:r>
            <w:proofErr w:type="gramEnd"/>
          </w:p>
        </w:tc>
        <w:tc>
          <w:tcPr>
            <w:tcW w:w="2224" w:type="dxa"/>
            <w:vAlign w:val="center"/>
            <w:hideMark/>
          </w:tcPr>
          <w:p w14:paraId="6CBF93F3" w14:textId="281D7558" w:rsidR="00250197" w:rsidRPr="00236278" w:rsidRDefault="00935771" w:rsidP="0025174B">
            <w:pPr>
              <w:rPr>
                <w:sz w:val="20"/>
                <w:szCs w:val="20"/>
              </w:rPr>
            </w:pPr>
            <w:r w:rsidRPr="00935771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Application rounds close every April and October. </w:t>
            </w:r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>Next deadline 2nd October</w:t>
            </w:r>
          </w:p>
        </w:tc>
      </w:tr>
      <w:tr w:rsidR="00250197" w:rsidRPr="00236278" w14:paraId="3C012BF3" w14:textId="77777777" w:rsidTr="0025174B">
        <w:trPr>
          <w:trHeight w:val="1012"/>
        </w:trPr>
        <w:tc>
          <w:tcPr>
            <w:tcW w:w="1124" w:type="dxa"/>
            <w:vAlign w:val="center"/>
            <w:hideMark/>
          </w:tcPr>
          <w:p w14:paraId="2F672A7C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MRC</w:t>
            </w:r>
          </w:p>
        </w:tc>
        <w:tc>
          <w:tcPr>
            <w:tcW w:w="2179" w:type="dxa"/>
            <w:vAlign w:val="center"/>
            <w:hideMark/>
          </w:tcPr>
          <w:p w14:paraId="1E17EBA2" w14:textId="77777777" w:rsidR="00B358CE" w:rsidRDefault="0078153D" w:rsidP="0025174B">
            <w:pPr>
              <w:rPr>
                <w:sz w:val="20"/>
                <w:szCs w:val="20"/>
              </w:rPr>
            </w:pPr>
            <w:hyperlink r:id="rId16" w:history="1"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Developmental pathway funding scheme</w:t>
              </w:r>
              <w:r w:rsidR="006A5E27">
                <w:rPr>
                  <w:rStyle w:val="Hyperlink"/>
                  <w:rFonts w:cs="Calibri"/>
                  <w:sz w:val="20"/>
                  <w:szCs w:val="20"/>
                </w:rPr>
                <w:t xml:space="preserve"> </w:t>
              </w:r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(DPFS)</w:t>
              </w:r>
            </w:hyperlink>
            <w:r w:rsidR="0080600B">
              <w:rPr>
                <w:rStyle w:val="Hyperlink"/>
                <w:rFonts w:cs="Calibri"/>
                <w:sz w:val="20"/>
                <w:szCs w:val="20"/>
              </w:rPr>
              <w:br/>
            </w:r>
          </w:p>
          <w:p w14:paraId="23D5929E" w14:textId="00141936" w:rsidR="00250197" w:rsidRPr="00236278" w:rsidRDefault="00BB479A" w:rsidP="0025174B">
            <w:pPr>
              <w:rPr>
                <w:sz w:val="20"/>
                <w:szCs w:val="20"/>
              </w:rPr>
            </w:pPr>
            <w:r w:rsidRPr="006A5E27">
              <w:rPr>
                <w:sz w:val="20"/>
                <w:szCs w:val="20"/>
              </w:rPr>
              <w:t>No limits to funds and duration</w:t>
            </w:r>
          </w:p>
        </w:tc>
        <w:tc>
          <w:tcPr>
            <w:tcW w:w="3613" w:type="dxa"/>
            <w:vAlign w:val="center"/>
            <w:hideMark/>
          </w:tcPr>
          <w:p w14:paraId="53667A62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 xml:space="preserve">To develop and test novel therapeutics, medical devices, </w:t>
            </w:r>
            <w:r w:rsidRPr="00236278">
              <w:rPr>
                <w:rStyle w:val="grame"/>
                <w:rFonts w:cs="Calibri"/>
                <w:color w:val="000000"/>
                <w:sz w:val="20"/>
                <w:szCs w:val="20"/>
              </w:rPr>
              <w:t>diagnostics</w:t>
            </w:r>
            <w:r w:rsidRPr="00236278">
              <w:rPr>
                <w:rFonts w:cs="Calibri"/>
                <w:color w:val="000000"/>
                <w:sz w:val="20"/>
                <w:szCs w:val="20"/>
              </w:rPr>
              <w:t xml:space="preserve"> and other interventions.</w:t>
            </w:r>
          </w:p>
        </w:tc>
        <w:tc>
          <w:tcPr>
            <w:tcW w:w="2224" w:type="dxa"/>
            <w:vAlign w:val="center"/>
            <w:hideMark/>
          </w:tcPr>
          <w:p w14:paraId="1D71EA47" w14:textId="2E908121" w:rsidR="00250197" w:rsidRPr="0078153D" w:rsidRDefault="00935771" w:rsidP="0025174B">
            <w:pPr>
              <w:rPr>
                <w:sz w:val="20"/>
                <w:szCs w:val="20"/>
                <w:u w:val="single"/>
              </w:rPr>
            </w:pPr>
            <w:r w:rsidRPr="0078153D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Application rounds close every March, July and November. </w:t>
            </w:r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>Next deadline 21st November 2024</w:t>
            </w:r>
          </w:p>
        </w:tc>
      </w:tr>
      <w:tr w:rsidR="00250197" w:rsidRPr="00236278" w14:paraId="54EFDA76" w14:textId="77777777" w:rsidTr="0025174B">
        <w:trPr>
          <w:trHeight w:val="1687"/>
        </w:trPr>
        <w:tc>
          <w:tcPr>
            <w:tcW w:w="1124" w:type="dxa"/>
            <w:vAlign w:val="center"/>
            <w:hideMark/>
          </w:tcPr>
          <w:p w14:paraId="13FFD4F5" w14:textId="77777777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MRC</w:t>
            </w:r>
          </w:p>
        </w:tc>
        <w:tc>
          <w:tcPr>
            <w:tcW w:w="2179" w:type="dxa"/>
            <w:vAlign w:val="center"/>
            <w:hideMark/>
          </w:tcPr>
          <w:p w14:paraId="1748F885" w14:textId="77777777" w:rsidR="00B358CE" w:rsidRDefault="0078153D" w:rsidP="0025174B">
            <w:pPr>
              <w:rPr>
                <w:sz w:val="20"/>
                <w:szCs w:val="20"/>
              </w:rPr>
            </w:pPr>
            <w:hyperlink r:id="rId17" w:history="1">
              <w:r w:rsidR="00250197" w:rsidRPr="00236278">
                <w:rPr>
                  <w:rStyle w:val="Hyperlink"/>
                  <w:rFonts w:cs="Calibri"/>
                  <w:sz w:val="20"/>
                  <w:szCs w:val="20"/>
                </w:rPr>
                <w:t>Developmental Pathway Gap Fund (DPGF)</w:t>
              </w:r>
            </w:hyperlink>
            <w:r w:rsidR="00BB479A">
              <w:rPr>
                <w:rStyle w:val="Hyperlink"/>
                <w:rFonts w:cs="Calibri"/>
                <w:sz w:val="20"/>
                <w:szCs w:val="20"/>
              </w:rPr>
              <w:br/>
            </w:r>
          </w:p>
          <w:p w14:paraId="58998003" w14:textId="16B7767B" w:rsidR="00250197" w:rsidRPr="00236278" w:rsidRDefault="00230BFA" w:rsidP="0025174B">
            <w:pPr>
              <w:rPr>
                <w:sz w:val="20"/>
                <w:szCs w:val="20"/>
              </w:rPr>
            </w:pPr>
            <w:r w:rsidRPr="006A5E27">
              <w:rPr>
                <w:sz w:val="20"/>
                <w:szCs w:val="20"/>
              </w:rPr>
              <w:t>Up to £300K, up to 24</w:t>
            </w:r>
            <w:r w:rsidR="006A5E27">
              <w:rPr>
                <w:sz w:val="20"/>
                <w:szCs w:val="20"/>
              </w:rPr>
              <w:t xml:space="preserve"> months duration</w:t>
            </w:r>
          </w:p>
        </w:tc>
        <w:tc>
          <w:tcPr>
            <w:tcW w:w="3613" w:type="dxa"/>
            <w:vAlign w:val="center"/>
            <w:hideMark/>
          </w:tcPr>
          <w:p w14:paraId="13D0D819" w14:textId="7342CE35" w:rsidR="00250197" w:rsidRPr="00236278" w:rsidRDefault="00250197" w:rsidP="0025174B">
            <w:pPr>
              <w:rPr>
                <w:sz w:val="20"/>
                <w:szCs w:val="20"/>
              </w:rPr>
            </w:pPr>
            <w:r w:rsidRPr="00236278">
              <w:rPr>
                <w:rFonts w:cs="Calibri"/>
                <w:color w:val="000000"/>
                <w:sz w:val="20"/>
                <w:szCs w:val="20"/>
              </w:rPr>
              <w:t>To generate critical preliminary data to build confidence in the development strategy for a new medicine, repurposed medicine, medical device, diagnostic test, or other medical intervention development.</w:t>
            </w:r>
            <w:r w:rsidR="00C212D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C212D3" w:rsidRPr="00C212D3">
              <w:rPr>
                <w:rFonts w:cs="Calibri"/>
                <w:color w:val="000000"/>
                <w:sz w:val="20"/>
                <w:szCs w:val="20"/>
              </w:rPr>
              <w:t>The Developmental Pathway Gap Fund (DPGF) sits beyond the smaller Impact Accelerator Account (IAA) funding and before the substantive and longer Developmental Pathway Funding Scheme (DPFS) funding.</w:t>
            </w:r>
          </w:p>
        </w:tc>
        <w:tc>
          <w:tcPr>
            <w:tcW w:w="2224" w:type="dxa"/>
            <w:vAlign w:val="center"/>
            <w:hideMark/>
          </w:tcPr>
          <w:p w14:paraId="4DFEE4DD" w14:textId="75743CF1" w:rsidR="00250197" w:rsidRPr="00236278" w:rsidRDefault="00B92CC1" w:rsidP="0025174B">
            <w:pPr>
              <w:rPr>
                <w:sz w:val="20"/>
                <w:szCs w:val="20"/>
              </w:rPr>
            </w:pPr>
            <w:r w:rsidRPr="00B92CC1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Application rounds close every March, July and November. </w:t>
            </w:r>
            <w:r w:rsidRPr="0078153D">
              <w:rPr>
                <w:rFonts w:cs="Calibri"/>
                <w:color w:val="000000"/>
                <w:sz w:val="20"/>
                <w:szCs w:val="20"/>
                <w:highlight w:val="yellow"/>
                <w:u w:val="single"/>
              </w:rPr>
              <w:t>Next deadline 13th November 2024</w:t>
            </w:r>
          </w:p>
        </w:tc>
      </w:tr>
    </w:tbl>
    <w:p w14:paraId="20FCC959" w14:textId="1083161A" w:rsidR="00C26847" w:rsidRDefault="00C26847" w:rsidP="00196A5D"/>
    <w:sectPr w:rsidR="00C26847" w:rsidSect="00670169">
      <w:headerReference w:type="default" r:id="rId18"/>
      <w:pgSz w:w="11906" w:h="16838"/>
      <w:pgMar w:top="15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9DE3C" w14:textId="77777777" w:rsidR="00AD3BE0" w:rsidRDefault="00AD3BE0" w:rsidP="00327FB5">
      <w:pPr>
        <w:spacing w:after="0" w:line="240" w:lineRule="auto"/>
      </w:pPr>
      <w:r>
        <w:separator/>
      </w:r>
    </w:p>
  </w:endnote>
  <w:endnote w:type="continuationSeparator" w:id="0">
    <w:p w14:paraId="3C10A3C1" w14:textId="77777777" w:rsidR="00AD3BE0" w:rsidRDefault="00AD3BE0" w:rsidP="00327FB5">
      <w:pPr>
        <w:spacing w:after="0" w:line="240" w:lineRule="auto"/>
      </w:pPr>
      <w:r>
        <w:continuationSeparator/>
      </w:r>
    </w:p>
  </w:endnote>
  <w:endnote w:type="continuationNotice" w:id="1">
    <w:p w14:paraId="3AB3E1E8" w14:textId="77777777" w:rsidR="00AD3BE0" w:rsidRDefault="00AD3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EA092" w14:textId="77777777" w:rsidR="00AD3BE0" w:rsidRDefault="00AD3BE0" w:rsidP="00327FB5">
      <w:pPr>
        <w:spacing w:after="0" w:line="240" w:lineRule="auto"/>
      </w:pPr>
      <w:r>
        <w:separator/>
      </w:r>
    </w:p>
  </w:footnote>
  <w:footnote w:type="continuationSeparator" w:id="0">
    <w:p w14:paraId="1F8618C1" w14:textId="77777777" w:rsidR="00AD3BE0" w:rsidRDefault="00AD3BE0" w:rsidP="00327FB5">
      <w:pPr>
        <w:spacing w:after="0" w:line="240" w:lineRule="auto"/>
      </w:pPr>
      <w:r>
        <w:continuationSeparator/>
      </w:r>
    </w:p>
  </w:footnote>
  <w:footnote w:type="continuationNotice" w:id="1">
    <w:p w14:paraId="50024056" w14:textId="77777777" w:rsidR="00AD3BE0" w:rsidRDefault="00AD3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6AC70" w14:textId="6C3CF7A9" w:rsidR="00327FB5" w:rsidRDefault="00C2684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CEA68F7" wp14:editId="62215CD4">
          <wp:simplePos x="0" y="0"/>
          <wp:positionH relativeFrom="column">
            <wp:posOffset>1386975</wp:posOffset>
          </wp:positionH>
          <wp:positionV relativeFrom="paragraph">
            <wp:posOffset>-233680</wp:posOffset>
          </wp:positionV>
          <wp:extent cx="3202161" cy="770562"/>
          <wp:effectExtent l="0" t="0" r="0" b="0"/>
          <wp:wrapNone/>
          <wp:docPr id="579870083" name="Picture 1" descr="A black background with blue and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70083" name="Picture 1" descr="A black background with blue and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161" cy="770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FB5">
      <w:rPr>
        <w:noProof/>
      </w:rPr>
      <w:drawing>
        <wp:anchor distT="0" distB="0" distL="114300" distR="114300" simplePos="0" relativeHeight="251658240" behindDoc="0" locked="0" layoutInCell="1" allowOverlap="1" wp14:anchorId="5F5CB44A" wp14:editId="17F3C424">
          <wp:simplePos x="0" y="0"/>
          <wp:positionH relativeFrom="column">
            <wp:posOffset>4848625</wp:posOffset>
          </wp:positionH>
          <wp:positionV relativeFrom="paragraph">
            <wp:posOffset>-172085</wp:posOffset>
          </wp:positionV>
          <wp:extent cx="1364808" cy="523200"/>
          <wp:effectExtent l="0" t="0" r="0" b="0"/>
          <wp:wrapNone/>
          <wp:docPr id="1290092444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092444" name="Picture 2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08" cy="5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FB5">
      <w:rPr>
        <w:noProof/>
      </w:rPr>
      <w:drawing>
        <wp:anchor distT="0" distB="0" distL="114300" distR="114300" simplePos="0" relativeHeight="251658242" behindDoc="0" locked="0" layoutInCell="1" allowOverlap="1" wp14:anchorId="7D6BD975" wp14:editId="78C46EB0">
          <wp:simplePos x="0" y="0"/>
          <wp:positionH relativeFrom="column">
            <wp:posOffset>-633393</wp:posOffset>
          </wp:positionH>
          <wp:positionV relativeFrom="paragraph">
            <wp:posOffset>-234401</wp:posOffset>
          </wp:positionV>
          <wp:extent cx="1723600" cy="729465"/>
          <wp:effectExtent l="0" t="0" r="3810" b="0"/>
          <wp:wrapNone/>
          <wp:docPr id="1826568563" name="Picture 3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568563" name="Picture 3" descr="A purpl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00" cy="72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FB5">
      <w:fldChar w:fldCharType="begin"/>
    </w:r>
    <w:r w:rsidR="00327FB5">
      <w:instrText xml:space="preserve"> INCLUDEPICTURE "/Users/user/Library/Group Containers/UBF8T346G9.ms/WebArchiveCopyPasteTempFiles/com.microsoft.Word/TAB_col_white_background.png" \* MERGEFORMATINET </w:instrText>
    </w:r>
    <w:r w:rsidR="0078153D">
      <w:fldChar w:fldCharType="separate"/>
    </w:r>
    <w:r w:rsidR="00327FB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C1D59"/>
    <w:multiLevelType w:val="hybridMultilevel"/>
    <w:tmpl w:val="4512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0823"/>
    <w:multiLevelType w:val="hybridMultilevel"/>
    <w:tmpl w:val="91E0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6ACB"/>
    <w:multiLevelType w:val="multilevel"/>
    <w:tmpl w:val="72C6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281860">
    <w:abstractNumId w:val="2"/>
    <w:lvlOverride w:ilvl="0">
      <w:startOverride w:val="1"/>
    </w:lvlOverride>
  </w:num>
  <w:num w:numId="2" w16cid:durableId="934435552">
    <w:abstractNumId w:val="2"/>
    <w:lvlOverride w:ilvl="0">
      <w:startOverride w:val="2"/>
    </w:lvlOverride>
  </w:num>
  <w:num w:numId="3" w16cid:durableId="361246313">
    <w:abstractNumId w:val="2"/>
    <w:lvlOverride w:ilvl="0">
      <w:startOverride w:val="3"/>
    </w:lvlOverride>
  </w:num>
  <w:num w:numId="4" w16cid:durableId="1036201259">
    <w:abstractNumId w:val="2"/>
    <w:lvlOverride w:ilvl="0">
      <w:startOverride w:val="4"/>
    </w:lvlOverride>
  </w:num>
  <w:num w:numId="5" w16cid:durableId="1962418689">
    <w:abstractNumId w:val="2"/>
    <w:lvlOverride w:ilvl="0">
      <w:startOverride w:val="5"/>
    </w:lvlOverride>
  </w:num>
  <w:num w:numId="6" w16cid:durableId="582253451">
    <w:abstractNumId w:val="0"/>
  </w:num>
  <w:num w:numId="7" w16cid:durableId="6412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B5"/>
    <w:rsid w:val="000057BB"/>
    <w:rsid w:val="000242D7"/>
    <w:rsid w:val="000470C9"/>
    <w:rsid w:val="000766D9"/>
    <w:rsid w:val="00092DC4"/>
    <w:rsid w:val="000A4F25"/>
    <w:rsid w:val="000E58A1"/>
    <w:rsid w:val="000F0320"/>
    <w:rsid w:val="001468AE"/>
    <w:rsid w:val="001572AF"/>
    <w:rsid w:val="00190719"/>
    <w:rsid w:val="00196A5D"/>
    <w:rsid w:val="001A30E2"/>
    <w:rsid w:val="001C3C25"/>
    <w:rsid w:val="001F6AF4"/>
    <w:rsid w:val="0020626F"/>
    <w:rsid w:val="0020750B"/>
    <w:rsid w:val="0021452D"/>
    <w:rsid w:val="00226F77"/>
    <w:rsid w:val="00227C67"/>
    <w:rsid w:val="00230BFA"/>
    <w:rsid w:val="0023100A"/>
    <w:rsid w:val="00236278"/>
    <w:rsid w:val="00250197"/>
    <w:rsid w:val="0025174B"/>
    <w:rsid w:val="002578F4"/>
    <w:rsid w:val="002669F7"/>
    <w:rsid w:val="00283587"/>
    <w:rsid w:val="00286513"/>
    <w:rsid w:val="00294468"/>
    <w:rsid w:val="002B6FE8"/>
    <w:rsid w:val="00327FB5"/>
    <w:rsid w:val="003372D9"/>
    <w:rsid w:val="00337930"/>
    <w:rsid w:val="00352F69"/>
    <w:rsid w:val="00372E3C"/>
    <w:rsid w:val="003817F3"/>
    <w:rsid w:val="003C4432"/>
    <w:rsid w:val="003D2363"/>
    <w:rsid w:val="004105BE"/>
    <w:rsid w:val="0042329F"/>
    <w:rsid w:val="00426675"/>
    <w:rsid w:val="00435660"/>
    <w:rsid w:val="0043773F"/>
    <w:rsid w:val="00453C9F"/>
    <w:rsid w:val="004A059B"/>
    <w:rsid w:val="004B640E"/>
    <w:rsid w:val="004D02EC"/>
    <w:rsid w:val="004E4018"/>
    <w:rsid w:val="004F4809"/>
    <w:rsid w:val="00506261"/>
    <w:rsid w:val="005064D3"/>
    <w:rsid w:val="00520A0A"/>
    <w:rsid w:val="00542DE9"/>
    <w:rsid w:val="00554E3B"/>
    <w:rsid w:val="00572CA3"/>
    <w:rsid w:val="005907BB"/>
    <w:rsid w:val="005E0B08"/>
    <w:rsid w:val="005E29D9"/>
    <w:rsid w:val="00670169"/>
    <w:rsid w:val="006720B1"/>
    <w:rsid w:val="0067213E"/>
    <w:rsid w:val="00673538"/>
    <w:rsid w:val="00675309"/>
    <w:rsid w:val="00686F02"/>
    <w:rsid w:val="006A5E27"/>
    <w:rsid w:val="006B18CB"/>
    <w:rsid w:val="006C507D"/>
    <w:rsid w:val="006C5316"/>
    <w:rsid w:val="006D3ADF"/>
    <w:rsid w:val="006D78FB"/>
    <w:rsid w:val="006F4B4E"/>
    <w:rsid w:val="00703261"/>
    <w:rsid w:val="007170B6"/>
    <w:rsid w:val="007262A3"/>
    <w:rsid w:val="007302C0"/>
    <w:rsid w:val="00732C79"/>
    <w:rsid w:val="007401A2"/>
    <w:rsid w:val="00751D96"/>
    <w:rsid w:val="0078153D"/>
    <w:rsid w:val="0078789D"/>
    <w:rsid w:val="007A22C2"/>
    <w:rsid w:val="007A5E07"/>
    <w:rsid w:val="007A7A65"/>
    <w:rsid w:val="007B1054"/>
    <w:rsid w:val="007E7481"/>
    <w:rsid w:val="0080600B"/>
    <w:rsid w:val="00834653"/>
    <w:rsid w:val="008431DC"/>
    <w:rsid w:val="00851C48"/>
    <w:rsid w:val="00857679"/>
    <w:rsid w:val="00865094"/>
    <w:rsid w:val="00877BC4"/>
    <w:rsid w:val="008B092E"/>
    <w:rsid w:val="008B7532"/>
    <w:rsid w:val="008C25AA"/>
    <w:rsid w:val="008E35B0"/>
    <w:rsid w:val="0091744F"/>
    <w:rsid w:val="00917559"/>
    <w:rsid w:val="00925357"/>
    <w:rsid w:val="009273E7"/>
    <w:rsid w:val="00935771"/>
    <w:rsid w:val="00952C0F"/>
    <w:rsid w:val="00984577"/>
    <w:rsid w:val="009A4EE3"/>
    <w:rsid w:val="009B4C3F"/>
    <w:rsid w:val="009E1AF1"/>
    <w:rsid w:val="009E7A12"/>
    <w:rsid w:val="009F6884"/>
    <w:rsid w:val="00A56DFB"/>
    <w:rsid w:val="00A7205A"/>
    <w:rsid w:val="00A82811"/>
    <w:rsid w:val="00A92C69"/>
    <w:rsid w:val="00AD1A68"/>
    <w:rsid w:val="00AD3BE0"/>
    <w:rsid w:val="00AD5D4B"/>
    <w:rsid w:val="00AF1C54"/>
    <w:rsid w:val="00AF57B9"/>
    <w:rsid w:val="00B03CE3"/>
    <w:rsid w:val="00B118E7"/>
    <w:rsid w:val="00B358CE"/>
    <w:rsid w:val="00B40D36"/>
    <w:rsid w:val="00B518E3"/>
    <w:rsid w:val="00B74AAD"/>
    <w:rsid w:val="00B86B05"/>
    <w:rsid w:val="00B92CC1"/>
    <w:rsid w:val="00BB479A"/>
    <w:rsid w:val="00BC3E27"/>
    <w:rsid w:val="00BE783F"/>
    <w:rsid w:val="00C0263D"/>
    <w:rsid w:val="00C212D3"/>
    <w:rsid w:val="00C25DC5"/>
    <w:rsid w:val="00C26847"/>
    <w:rsid w:val="00C34451"/>
    <w:rsid w:val="00C423B7"/>
    <w:rsid w:val="00C450AF"/>
    <w:rsid w:val="00C65B01"/>
    <w:rsid w:val="00C97A2E"/>
    <w:rsid w:val="00CC7D53"/>
    <w:rsid w:val="00CD1463"/>
    <w:rsid w:val="00CE7BE8"/>
    <w:rsid w:val="00D27A80"/>
    <w:rsid w:val="00D51D7A"/>
    <w:rsid w:val="00DB65F0"/>
    <w:rsid w:val="00DC623B"/>
    <w:rsid w:val="00DD1097"/>
    <w:rsid w:val="00DD738F"/>
    <w:rsid w:val="00DE2010"/>
    <w:rsid w:val="00DE34FD"/>
    <w:rsid w:val="00DE4034"/>
    <w:rsid w:val="00DF715F"/>
    <w:rsid w:val="00E0362D"/>
    <w:rsid w:val="00E04632"/>
    <w:rsid w:val="00E5738A"/>
    <w:rsid w:val="00E75DDC"/>
    <w:rsid w:val="00E76721"/>
    <w:rsid w:val="00E80A47"/>
    <w:rsid w:val="00E81C1A"/>
    <w:rsid w:val="00E9184E"/>
    <w:rsid w:val="00EA6D67"/>
    <w:rsid w:val="00EB015C"/>
    <w:rsid w:val="00EB0BAF"/>
    <w:rsid w:val="00EB2F25"/>
    <w:rsid w:val="00EC6F37"/>
    <w:rsid w:val="00ED3322"/>
    <w:rsid w:val="00ED499C"/>
    <w:rsid w:val="00F051F5"/>
    <w:rsid w:val="00F51698"/>
    <w:rsid w:val="00F5311B"/>
    <w:rsid w:val="00F54A97"/>
    <w:rsid w:val="00FA244E"/>
    <w:rsid w:val="00FA2805"/>
    <w:rsid w:val="00FA6275"/>
    <w:rsid w:val="00FB72F4"/>
    <w:rsid w:val="00FE4DA0"/>
    <w:rsid w:val="00FE6EE7"/>
    <w:rsid w:val="00FF5A1B"/>
    <w:rsid w:val="00FF63DF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94248"/>
  <w15:chartTrackingRefBased/>
  <w15:docId w15:val="{CFA90857-69E9-D441-A20C-90D894B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B5"/>
  </w:style>
  <w:style w:type="paragraph" w:styleId="Footer">
    <w:name w:val="footer"/>
    <w:basedOn w:val="Normal"/>
    <w:link w:val="FooterChar"/>
    <w:uiPriority w:val="99"/>
    <w:unhideWhenUsed/>
    <w:rsid w:val="0032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B5"/>
  </w:style>
  <w:style w:type="character" w:styleId="Strong">
    <w:name w:val="Strong"/>
    <w:basedOn w:val="DefaultParagraphFont"/>
    <w:uiPriority w:val="22"/>
    <w:qFormat/>
    <w:rsid w:val="008B7532"/>
    <w:rPr>
      <w:b/>
      <w:bCs/>
    </w:rPr>
  </w:style>
  <w:style w:type="character" w:customStyle="1" w:styleId="apple-converted-space">
    <w:name w:val="apple-converted-space"/>
    <w:basedOn w:val="DefaultParagraphFont"/>
    <w:rsid w:val="008B7532"/>
  </w:style>
  <w:style w:type="paragraph" w:styleId="NormalWeb">
    <w:name w:val="Normal (Web)"/>
    <w:basedOn w:val="Normal"/>
    <w:uiPriority w:val="99"/>
    <w:semiHidden/>
    <w:unhideWhenUsed/>
    <w:rsid w:val="008B092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66D9"/>
    <w:rPr>
      <w:color w:val="467886"/>
      <w:u w:val="single"/>
    </w:rPr>
  </w:style>
  <w:style w:type="character" w:customStyle="1" w:styleId="grame">
    <w:name w:val="grame"/>
    <w:basedOn w:val="DefaultParagraphFont"/>
    <w:rsid w:val="009E1AF1"/>
  </w:style>
  <w:style w:type="character" w:customStyle="1" w:styleId="spelle">
    <w:name w:val="spelle"/>
    <w:basedOn w:val="DefaultParagraphFont"/>
    <w:rsid w:val="009E1AF1"/>
  </w:style>
  <w:style w:type="character" w:styleId="UnresolvedMention">
    <w:name w:val="Unresolved Mention"/>
    <w:basedOn w:val="DefaultParagraphFont"/>
    <w:uiPriority w:val="99"/>
    <w:semiHidden/>
    <w:unhideWhenUsed/>
    <w:rsid w:val="002501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019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481"/>
    <w:pPr>
      <w:spacing w:after="0" w:line="240" w:lineRule="auto"/>
    </w:pPr>
  </w:style>
  <w:style w:type="table" w:styleId="TableGrid">
    <w:name w:val="Table Grid"/>
    <w:basedOn w:val="TableNormal"/>
    <w:uiPriority w:val="39"/>
    <w:rsid w:val="006A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hr.ac.uk/funding/research-for-patient-benefit-competition-54/3563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uments.manchester.ac.uk/display.aspx?DocID=41767" TargetMode="External"/><Relationship Id="rId17" Type="http://schemas.openxmlformats.org/officeDocument/2006/relationships/hyperlink" Target="https://www.ukri.org/opportunity/funding-for-early-stage-development-of-new-healthcare-interven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opportunity/developmental-pathway-funding-schem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hf.org.uk/for-professionals/information-for-researchers/what-we-fund/translational-gra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kri.org/opportunity/experimental-medicine/" TargetMode="External"/><Relationship Id="rId10" Type="http://schemas.openxmlformats.org/officeDocument/2006/relationships/hyperlink" Target="https://www.lifearc.org/what-we-do/partnerships/funding-and-partnership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hr.ac.uk/funding/2439-eme-programme-researcher-led/3588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ffbe63fe55c84361dcf91e85d4726e80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ccaeff71f690c82b3e5ab58ad80b33ce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C8604-042C-4057-8D50-9F2872A13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8AF85-9AE7-4BF4-B21E-C7C67FA7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657D1-8CFA-4297-928F-DDB095E93B3F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476</Words>
  <Characters>2775</Characters>
  <Application>Microsoft Office Word</Application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48" baseType="variant">
      <vt:variant>
        <vt:i4>5439503</vt:i4>
      </vt:variant>
      <vt:variant>
        <vt:i4>21</vt:i4>
      </vt:variant>
      <vt:variant>
        <vt:i4>0</vt:i4>
      </vt:variant>
      <vt:variant>
        <vt:i4>5</vt:i4>
      </vt:variant>
      <vt:variant>
        <vt:lpwstr>https://www.ukri.org/opportunity/funding-for-early-stage-development-of-new-healthcare-interventions/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https://www.ukri.org/opportunity/developmental-pathway-funding-scheme/</vt:lpwstr>
      </vt:variant>
      <vt:variant>
        <vt:lpwstr/>
      </vt:variant>
      <vt:variant>
        <vt:i4>6422631</vt:i4>
      </vt:variant>
      <vt:variant>
        <vt:i4>15</vt:i4>
      </vt:variant>
      <vt:variant>
        <vt:i4>0</vt:i4>
      </vt:variant>
      <vt:variant>
        <vt:i4>5</vt:i4>
      </vt:variant>
      <vt:variant>
        <vt:lpwstr>https://www.ukri.org/opportunity/experimental-medicine/</vt:lpwstr>
      </vt:variant>
      <vt:variant>
        <vt:lpwstr/>
      </vt:variant>
      <vt:variant>
        <vt:i4>7798885</vt:i4>
      </vt:variant>
      <vt:variant>
        <vt:i4>12</vt:i4>
      </vt:variant>
      <vt:variant>
        <vt:i4>0</vt:i4>
      </vt:variant>
      <vt:variant>
        <vt:i4>5</vt:i4>
      </vt:variant>
      <vt:variant>
        <vt:lpwstr>https://www.nihr.ac.uk/funding/2439-eme-programme-researcher-led/35885</vt:lpwstr>
      </vt:variant>
      <vt:variant>
        <vt:lpwstr/>
      </vt:variant>
      <vt:variant>
        <vt:i4>4849693</vt:i4>
      </vt:variant>
      <vt:variant>
        <vt:i4>9</vt:i4>
      </vt:variant>
      <vt:variant>
        <vt:i4>0</vt:i4>
      </vt:variant>
      <vt:variant>
        <vt:i4>5</vt:i4>
      </vt:variant>
      <vt:variant>
        <vt:lpwstr>https://www.nihr.ac.uk/funding/research-for-patient-benefit-competition-54/35634</vt:lpwstr>
      </vt:variant>
      <vt:variant>
        <vt:lpwstr/>
      </vt:variant>
      <vt:variant>
        <vt:i4>1245254</vt:i4>
      </vt:variant>
      <vt:variant>
        <vt:i4>6</vt:i4>
      </vt:variant>
      <vt:variant>
        <vt:i4>0</vt:i4>
      </vt:variant>
      <vt:variant>
        <vt:i4>5</vt:i4>
      </vt:variant>
      <vt:variant>
        <vt:lpwstr>https://www.nihr.ac.uk/funding/invention-for-innovation-product-development-awards-call-28/35829</vt:lpwstr>
      </vt:variant>
      <vt:variant>
        <vt:lpwstr/>
      </vt:variant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http://documents.manchester.ac.uk/display.aspx?DocID=41767</vt:lpwstr>
      </vt:variant>
      <vt:variant>
        <vt:lpwstr/>
      </vt:variant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https://www.eventbrite.co.uk/e/translational-research-funding-application-clinics-tickets-887520276037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Faroni</dc:creator>
  <cp:keywords/>
  <dc:description/>
  <cp:lastModifiedBy>Elli Marinopoulou</cp:lastModifiedBy>
  <cp:revision>67</cp:revision>
  <dcterms:created xsi:type="dcterms:W3CDTF">2024-05-01T09:17:00Z</dcterms:created>
  <dcterms:modified xsi:type="dcterms:W3CDTF">2024-09-24T12:01:00Z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