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18E0B" w14:textId="77777777" w:rsidR="007B24D5" w:rsidRDefault="007B24D5" w:rsidP="005B55A6">
      <w:pPr>
        <w:rPr>
          <w:b/>
          <w:bCs/>
          <w:color w:val="193E72"/>
          <w:sz w:val="56"/>
          <w:szCs w:val="56"/>
        </w:rPr>
      </w:pPr>
    </w:p>
    <w:p w14:paraId="2FA51A4D" w14:textId="65EE1827" w:rsidR="00070374" w:rsidRPr="007B24D5" w:rsidRDefault="00D13CF5" w:rsidP="005B55A6">
      <w:pPr>
        <w:rPr>
          <w:rFonts w:cstheme="minorHAnsi"/>
          <w:b/>
          <w:bCs/>
          <w:color w:val="193E72"/>
          <w:sz w:val="48"/>
          <w:szCs w:val="56"/>
        </w:rPr>
      </w:pPr>
      <w:r w:rsidRPr="007B24D5">
        <w:rPr>
          <w:b/>
          <w:bCs/>
          <w:color w:val="193E72"/>
          <w:sz w:val="48"/>
          <w:szCs w:val="56"/>
        </w:rPr>
        <w:t>I</w:t>
      </w:r>
      <w:r w:rsidR="00401211" w:rsidRPr="007B24D5">
        <w:rPr>
          <w:rFonts w:cstheme="minorHAnsi"/>
          <w:b/>
          <w:bCs/>
          <w:color w:val="193E72"/>
          <w:sz w:val="48"/>
          <w:szCs w:val="56"/>
        </w:rPr>
        <w:t>nitial signals of impact from the urgent and</w:t>
      </w:r>
      <w:r w:rsidR="00373D05" w:rsidRPr="007B24D5">
        <w:rPr>
          <w:rFonts w:cstheme="minorHAnsi"/>
          <w:b/>
          <w:bCs/>
          <w:color w:val="193E72"/>
          <w:sz w:val="48"/>
          <w:szCs w:val="56"/>
        </w:rPr>
        <w:t xml:space="preserve"> emergency care 10 high-impact initiatives</w:t>
      </w:r>
    </w:p>
    <w:p w14:paraId="385AB513" w14:textId="77777777" w:rsidR="007B24D5" w:rsidRPr="007B24D5" w:rsidRDefault="007B24D5" w:rsidP="005B55A6">
      <w:pPr>
        <w:rPr>
          <w:b/>
          <w:bCs/>
          <w:color w:val="193E72"/>
          <w:sz w:val="32"/>
          <w:szCs w:val="36"/>
        </w:rPr>
      </w:pPr>
    </w:p>
    <w:p w14:paraId="0C953E1A" w14:textId="3DC2F3AF" w:rsidR="00373D05" w:rsidRPr="00551FA7" w:rsidRDefault="00D61CB4" w:rsidP="00D61CB4">
      <w:pPr>
        <w:tabs>
          <w:tab w:val="left" w:pos="5640"/>
        </w:tabs>
        <w:rPr>
          <w:b/>
          <w:bCs/>
          <w:color w:val="193E72"/>
          <w:sz w:val="36"/>
          <w:szCs w:val="36"/>
        </w:rPr>
      </w:pPr>
      <w:r>
        <w:rPr>
          <w:b/>
          <w:bCs/>
          <w:color w:val="193E72"/>
          <w:sz w:val="36"/>
          <w:szCs w:val="36"/>
        </w:rPr>
        <w:t xml:space="preserve">30 </w:t>
      </w:r>
      <w:r w:rsidR="00373D05" w:rsidRPr="00551FA7">
        <w:rPr>
          <w:b/>
          <w:bCs/>
          <w:color w:val="193E72"/>
          <w:sz w:val="36"/>
          <w:szCs w:val="36"/>
        </w:rPr>
        <w:t>April 2024</w:t>
      </w:r>
      <w:r>
        <w:rPr>
          <w:b/>
          <w:bCs/>
          <w:color w:val="193E72"/>
          <w:sz w:val="36"/>
          <w:szCs w:val="36"/>
        </w:rPr>
        <w:tab/>
      </w:r>
    </w:p>
    <w:p w14:paraId="7B3B4B8C" w14:textId="07AAC593" w:rsidR="005227FA" w:rsidRDefault="003045C5" w:rsidP="003045C5">
      <w:pPr>
        <w:tabs>
          <w:tab w:val="left" w:pos="5954"/>
        </w:tabs>
      </w:pPr>
      <w:r>
        <w:tab/>
      </w:r>
    </w:p>
    <w:p w14:paraId="3CD824A0" w14:textId="0311E008" w:rsidR="005227FA" w:rsidRPr="005227FA" w:rsidRDefault="005227FA" w:rsidP="00162FAB">
      <w:pPr>
        <w:spacing w:line="240" w:lineRule="auto"/>
        <w:rPr>
          <w:b/>
          <w:bCs/>
          <w:color w:val="193E72"/>
          <w:sz w:val="36"/>
          <w:szCs w:val="36"/>
        </w:rPr>
      </w:pPr>
      <w:r w:rsidRPr="005227FA">
        <w:rPr>
          <w:b/>
          <w:bCs/>
          <w:color w:val="193E72"/>
          <w:sz w:val="36"/>
          <w:szCs w:val="36"/>
        </w:rPr>
        <w:t>Summary</w:t>
      </w:r>
    </w:p>
    <w:p w14:paraId="57055402" w14:textId="77777777" w:rsidR="00162FAB" w:rsidRPr="00162FAB" w:rsidRDefault="00162FAB" w:rsidP="00162FAB">
      <w:pPr>
        <w:spacing w:line="276" w:lineRule="auto"/>
        <w:rPr>
          <w:color w:val="000000" w:themeColor="text1"/>
          <w:sz w:val="24"/>
          <w:szCs w:val="24"/>
        </w:rPr>
      </w:pPr>
    </w:p>
    <w:p w14:paraId="33BBBDD3" w14:textId="77777777" w:rsidR="00F72B22" w:rsidRDefault="00F72B22" w:rsidP="00F72B22">
      <w:pPr>
        <w:pStyle w:val="ListParagraph"/>
        <w:numPr>
          <w:ilvl w:val="0"/>
          <w:numId w:val="4"/>
        </w:numPr>
        <w:spacing w:line="276" w:lineRule="auto"/>
        <w:rPr>
          <w:color w:val="000000" w:themeColor="text1"/>
          <w:sz w:val="24"/>
          <w:szCs w:val="24"/>
        </w:rPr>
      </w:pPr>
      <w:r w:rsidRPr="006B40AE">
        <w:rPr>
          <w:color w:val="000000" w:themeColor="text1"/>
          <w:sz w:val="24"/>
          <w:szCs w:val="24"/>
        </w:rPr>
        <w:t xml:space="preserve">The January 2023 recovery plan for </w:t>
      </w:r>
      <w:r>
        <w:rPr>
          <w:color w:val="000000" w:themeColor="text1"/>
          <w:sz w:val="24"/>
          <w:szCs w:val="24"/>
        </w:rPr>
        <w:t xml:space="preserve">urgent and emergency care </w:t>
      </w:r>
      <w:r w:rsidRPr="006B40AE">
        <w:rPr>
          <w:color w:val="000000" w:themeColor="text1"/>
          <w:sz w:val="24"/>
          <w:szCs w:val="24"/>
        </w:rPr>
        <w:t>was generally well received</w:t>
      </w:r>
      <w:r>
        <w:rPr>
          <w:color w:val="000000" w:themeColor="text1"/>
          <w:sz w:val="24"/>
          <w:szCs w:val="24"/>
        </w:rPr>
        <w:t>. In response, NHS R</w:t>
      </w:r>
      <w:r w:rsidRPr="008A25F4">
        <w:rPr>
          <w:color w:val="000000" w:themeColor="text1"/>
          <w:sz w:val="24"/>
          <w:szCs w:val="24"/>
        </w:rPr>
        <w:t xml:space="preserve">egions, </w:t>
      </w:r>
      <w:r>
        <w:rPr>
          <w:color w:val="000000" w:themeColor="text1"/>
          <w:sz w:val="24"/>
          <w:szCs w:val="24"/>
        </w:rPr>
        <w:t>Systems, and P</w:t>
      </w:r>
      <w:r w:rsidRPr="008A25F4">
        <w:rPr>
          <w:color w:val="000000" w:themeColor="text1"/>
          <w:sz w:val="24"/>
          <w:szCs w:val="24"/>
        </w:rPr>
        <w:t xml:space="preserve">roviders prioritised areas of focus, allocated resources and started implementing plans </w:t>
      </w:r>
      <w:r>
        <w:rPr>
          <w:color w:val="000000" w:themeColor="text1"/>
          <w:sz w:val="24"/>
          <w:szCs w:val="24"/>
        </w:rPr>
        <w:t>by</w:t>
      </w:r>
      <w:r w:rsidRPr="008A25F4">
        <w:rPr>
          <w:color w:val="000000" w:themeColor="text1"/>
          <w:sz w:val="24"/>
          <w:szCs w:val="24"/>
        </w:rPr>
        <w:t xml:space="preserve"> the summer </w:t>
      </w:r>
      <w:r>
        <w:rPr>
          <w:color w:val="000000" w:themeColor="text1"/>
          <w:sz w:val="24"/>
          <w:szCs w:val="24"/>
        </w:rPr>
        <w:t>2023</w:t>
      </w:r>
      <w:r w:rsidRPr="008A25F4">
        <w:rPr>
          <w:color w:val="000000" w:themeColor="text1"/>
          <w:sz w:val="24"/>
          <w:szCs w:val="24"/>
        </w:rPr>
        <w:t>.</w:t>
      </w:r>
    </w:p>
    <w:p w14:paraId="446E1C8C" w14:textId="6AE7E6DB" w:rsidR="00F72B22" w:rsidRPr="00162FAB" w:rsidRDefault="00F72B22" w:rsidP="00F72B22">
      <w:pPr>
        <w:pStyle w:val="ListParagraph"/>
        <w:numPr>
          <w:ilvl w:val="0"/>
          <w:numId w:val="4"/>
        </w:numPr>
        <w:spacing w:line="276" w:lineRule="auto"/>
        <w:rPr>
          <w:color w:val="000000" w:themeColor="text1"/>
          <w:sz w:val="24"/>
          <w:szCs w:val="24"/>
        </w:rPr>
      </w:pPr>
      <w:r w:rsidRPr="008A25F4">
        <w:rPr>
          <w:color w:val="000000" w:themeColor="text1"/>
          <w:sz w:val="24"/>
          <w:szCs w:val="24"/>
        </w:rPr>
        <w:t xml:space="preserve">Respondents report that initiatives were </w:t>
      </w:r>
      <w:r>
        <w:rPr>
          <w:color w:val="000000" w:themeColor="text1"/>
          <w:sz w:val="24"/>
          <w:szCs w:val="24"/>
        </w:rPr>
        <w:t xml:space="preserve">often </w:t>
      </w:r>
      <w:r w:rsidRPr="008A25F4">
        <w:rPr>
          <w:color w:val="000000" w:themeColor="text1"/>
          <w:sz w:val="24"/>
          <w:szCs w:val="24"/>
        </w:rPr>
        <w:t>already in place before the ‘</w:t>
      </w:r>
      <w:r w:rsidR="00DA7203">
        <w:rPr>
          <w:color w:val="000000" w:themeColor="text1"/>
          <w:sz w:val="24"/>
          <w:szCs w:val="24"/>
        </w:rPr>
        <w:t>high-impact</w:t>
      </w:r>
      <w:r w:rsidRPr="008A25F4">
        <w:rPr>
          <w:color w:val="000000" w:themeColor="text1"/>
          <w:sz w:val="24"/>
          <w:szCs w:val="24"/>
        </w:rPr>
        <w:t xml:space="preserve">’ announcement in July 2023. </w:t>
      </w:r>
    </w:p>
    <w:p w14:paraId="4F49F8FB" w14:textId="77777777" w:rsidR="00F72B22" w:rsidRDefault="00F72B22" w:rsidP="00F72B22">
      <w:pPr>
        <w:pStyle w:val="ListParagraph"/>
        <w:numPr>
          <w:ilvl w:val="0"/>
          <w:numId w:val="4"/>
        </w:numPr>
        <w:spacing w:line="276" w:lineRule="auto"/>
        <w:rPr>
          <w:color w:val="000000" w:themeColor="text1"/>
          <w:sz w:val="24"/>
          <w:szCs w:val="24"/>
        </w:rPr>
      </w:pPr>
      <w:r>
        <w:rPr>
          <w:color w:val="000000" w:themeColor="text1"/>
          <w:sz w:val="24"/>
          <w:szCs w:val="24"/>
        </w:rPr>
        <w:t>Same day emergency care</w:t>
      </w:r>
      <w:r w:rsidRPr="008A25F4">
        <w:rPr>
          <w:color w:val="000000" w:themeColor="text1"/>
          <w:sz w:val="24"/>
          <w:szCs w:val="24"/>
        </w:rPr>
        <w:t xml:space="preserve">, acute frailty services, urgent community response and inpatient flow and length of stay are perceived </w:t>
      </w:r>
      <w:r>
        <w:rPr>
          <w:color w:val="000000" w:themeColor="text1"/>
          <w:sz w:val="24"/>
          <w:szCs w:val="24"/>
        </w:rPr>
        <w:t xml:space="preserve">to be making a positive impact </w:t>
      </w:r>
      <w:r w:rsidRPr="008A25F4">
        <w:rPr>
          <w:color w:val="000000" w:themeColor="text1"/>
          <w:sz w:val="24"/>
          <w:szCs w:val="24"/>
        </w:rPr>
        <w:t xml:space="preserve">on </w:t>
      </w:r>
      <w:proofErr w:type="gramStart"/>
      <w:r w:rsidRPr="008A25F4">
        <w:rPr>
          <w:color w:val="000000" w:themeColor="text1"/>
          <w:sz w:val="24"/>
          <w:szCs w:val="24"/>
        </w:rPr>
        <w:t>4 hour</w:t>
      </w:r>
      <w:proofErr w:type="gramEnd"/>
      <w:r w:rsidRPr="008A25F4">
        <w:rPr>
          <w:color w:val="000000" w:themeColor="text1"/>
          <w:sz w:val="24"/>
          <w:szCs w:val="24"/>
        </w:rPr>
        <w:t xml:space="preserve"> A&amp;E wait standards.</w:t>
      </w:r>
    </w:p>
    <w:p w14:paraId="63E19205" w14:textId="77777777" w:rsidR="00F72B22" w:rsidRPr="008A25F4" w:rsidRDefault="00F72B22" w:rsidP="00F72B22">
      <w:pPr>
        <w:pStyle w:val="ListParagraph"/>
        <w:numPr>
          <w:ilvl w:val="0"/>
          <w:numId w:val="4"/>
        </w:numPr>
        <w:rPr>
          <w:color w:val="000000" w:themeColor="text1"/>
          <w:sz w:val="24"/>
          <w:szCs w:val="24"/>
        </w:rPr>
      </w:pPr>
      <w:r>
        <w:rPr>
          <w:color w:val="000000" w:themeColor="text1"/>
          <w:sz w:val="24"/>
          <w:szCs w:val="24"/>
        </w:rPr>
        <w:t>A</w:t>
      </w:r>
      <w:r w:rsidRPr="008A25F4">
        <w:rPr>
          <w:color w:val="000000" w:themeColor="text1"/>
          <w:sz w:val="24"/>
          <w:szCs w:val="24"/>
        </w:rPr>
        <w:t>ctivity around urgent community response and single point of access</w:t>
      </w:r>
      <w:r>
        <w:rPr>
          <w:color w:val="000000" w:themeColor="text1"/>
          <w:sz w:val="24"/>
          <w:szCs w:val="24"/>
        </w:rPr>
        <w:t xml:space="preserve"> is</w:t>
      </w:r>
      <w:r w:rsidRPr="008A25F4">
        <w:rPr>
          <w:color w:val="000000" w:themeColor="text1"/>
          <w:sz w:val="24"/>
          <w:szCs w:val="24"/>
        </w:rPr>
        <w:t xml:space="preserve"> perceived to be contributing to improvements in Category 2 ambulance response times. </w:t>
      </w:r>
    </w:p>
    <w:p w14:paraId="5FABA5AD" w14:textId="77777777" w:rsidR="00F72B22" w:rsidRDefault="00F72B22" w:rsidP="00F72B22">
      <w:pPr>
        <w:pStyle w:val="ListParagraph"/>
        <w:numPr>
          <w:ilvl w:val="0"/>
          <w:numId w:val="4"/>
        </w:numPr>
        <w:spacing w:line="276" w:lineRule="auto"/>
        <w:rPr>
          <w:color w:val="000000" w:themeColor="text1"/>
          <w:sz w:val="24"/>
          <w:szCs w:val="24"/>
        </w:rPr>
      </w:pPr>
      <w:r w:rsidRPr="008A25F4">
        <w:rPr>
          <w:color w:val="000000" w:themeColor="text1"/>
          <w:sz w:val="24"/>
          <w:szCs w:val="24"/>
        </w:rPr>
        <w:lastRenderedPageBreak/>
        <w:t>Virtual wards were not anticipated to have a major impact</w:t>
      </w:r>
      <w:r>
        <w:rPr>
          <w:color w:val="000000" w:themeColor="text1"/>
          <w:sz w:val="24"/>
          <w:szCs w:val="24"/>
        </w:rPr>
        <w:t xml:space="preserve"> on patient flow and discharge but are perceived to have </w:t>
      </w:r>
      <w:r w:rsidRPr="008A25F4">
        <w:rPr>
          <w:color w:val="000000" w:themeColor="text1"/>
          <w:sz w:val="24"/>
          <w:szCs w:val="24"/>
        </w:rPr>
        <w:t>potential value for defined patient groups.</w:t>
      </w:r>
    </w:p>
    <w:p w14:paraId="56FFD236" w14:textId="77777777" w:rsidR="00F72B22" w:rsidRPr="00162FAB" w:rsidRDefault="00F72B22" w:rsidP="00F72B22">
      <w:pPr>
        <w:pStyle w:val="ListParagraph"/>
        <w:numPr>
          <w:ilvl w:val="0"/>
          <w:numId w:val="4"/>
        </w:numPr>
        <w:spacing w:line="276" w:lineRule="auto"/>
        <w:rPr>
          <w:color w:val="000000" w:themeColor="text1"/>
          <w:sz w:val="24"/>
          <w:szCs w:val="24"/>
        </w:rPr>
      </w:pPr>
      <w:r>
        <w:rPr>
          <w:color w:val="000000" w:themeColor="text1"/>
          <w:sz w:val="24"/>
          <w:szCs w:val="24"/>
        </w:rPr>
        <w:t>Respondents believe that they have selected</w:t>
      </w:r>
      <w:r w:rsidRPr="00162FAB">
        <w:rPr>
          <w:color w:val="000000" w:themeColor="text1"/>
          <w:sz w:val="24"/>
          <w:szCs w:val="24"/>
        </w:rPr>
        <w:t xml:space="preserve"> right initiatives </w:t>
      </w:r>
      <w:r>
        <w:rPr>
          <w:color w:val="000000" w:themeColor="text1"/>
          <w:sz w:val="24"/>
          <w:szCs w:val="24"/>
        </w:rPr>
        <w:t>but</w:t>
      </w:r>
      <w:r w:rsidRPr="00162FAB">
        <w:rPr>
          <w:color w:val="000000" w:themeColor="text1"/>
          <w:sz w:val="24"/>
          <w:szCs w:val="24"/>
        </w:rPr>
        <w:t xml:space="preserve"> there is also a sense that </w:t>
      </w:r>
      <w:r>
        <w:rPr>
          <w:color w:val="000000" w:themeColor="text1"/>
          <w:sz w:val="24"/>
          <w:szCs w:val="24"/>
        </w:rPr>
        <w:t xml:space="preserve">for </w:t>
      </w:r>
      <w:r w:rsidRPr="00162FAB">
        <w:rPr>
          <w:color w:val="000000" w:themeColor="text1"/>
          <w:sz w:val="24"/>
          <w:szCs w:val="24"/>
        </w:rPr>
        <w:t xml:space="preserve">improvements </w:t>
      </w:r>
      <w:r>
        <w:rPr>
          <w:color w:val="000000" w:themeColor="text1"/>
          <w:sz w:val="24"/>
          <w:szCs w:val="24"/>
        </w:rPr>
        <w:t>to</w:t>
      </w:r>
      <w:r w:rsidRPr="00162FAB">
        <w:rPr>
          <w:color w:val="000000" w:themeColor="text1"/>
          <w:sz w:val="24"/>
          <w:szCs w:val="24"/>
        </w:rPr>
        <w:t xml:space="preserve"> be fully realised</w:t>
      </w:r>
      <w:r>
        <w:rPr>
          <w:color w:val="000000" w:themeColor="text1"/>
          <w:sz w:val="24"/>
          <w:szCs w:val="24"/>
        </w:rPr>
        <w:t>,</w:t>
      </w:r>
      <w:r w:rsidRPr="00162FAB">
        <w:rPr>
          <w:color w:val="000000" w:themeColor="text1"/>
          <w:sz w:val="24"/>
          <w:szCs w:val="24"/>
        </w:rPr>
        <w:t xml:space="preserve"> there is a need to ‘stick with the plan’ into the medium term.</w:t>
      </w:r>
    </w:p>
    <w:p w14:paraId="2F303ED4" w14:textId="77777777" w:rsidR="00F72B22" w:rsidRDefault="00F72B22" w:rsidP="00F72B22">
      <w:pPr>
        <w:pStyle w:val="ListParagraph"/>
        <w:numPr>
          <w:ilvl w:val="0"/>
          <w:numId w:val="4"/>
        </w:numPr>
        <w:spacing w:line="276" w:lineRule="auto"/>
        <w:rPr>
          <w:color w:val="000000" w:themeColor="text1"/>
          <w:sz w:val="24"/>
          <w:szCs w:val="24"/>
        </w:rPr>
      </w:pPr>
      <w:r>
        <w:rPr>
          <w:color w:val="000000" w:themeColor="text1"/>
          <w:sz w:val="24"/>
          <w:szCs w:val="24"/>
        </w:rPr>
        <w:t xml:space="preserve">NHS England’s </w:t>
      </w:r>
      <w:r w:rsidRPr="006B40AE">
        <w:rPr>
          <w:color w:val="000000" w:themeColor="text1"/>
          <w:sz w:val="24"/>
          <w:szCs w:val="24"/>
        </w:rPr>
        <w:t xml:space="preserve">universal support offer faced criticism for its execution, including issues with </w:t>
      </w:r>
      <w:r>
        <w:rPr>
          <w:color w:val="000000" w:themeColor="text1"/>
          <w:sz w:val="24"/>
          <w:szCs w:val="24"/>
        </w:rPr>
        <w:t>intended audience, timing, content relevance and</w:t>
      </w:r>
      <w:r w:rsidRPr="006B40AE">
        <w:rPr>
          <w:color w:val="000000" w:themeColor="text1"/>
          <w:sz w:val="24"/>
          <w:szCs w:val="24"/>
        </w:rPr>
        <w:t xml:space="preserve"> operational challenges</w:t>
      </w:r>
      <w:r>
        <w:rPr>
          <w:color w:val="000000" w:themeColor="text1"/>
          <w:sz w:val="24"/>
          <w:szCs w:val="24"/>
        </w:rPr>
        <w:t xml:space="preserve"> for those attending the webinars</w:t>
      </w:r>
      <w:r w:rsidRPr="006B40AE">
        <w:rPr>
          <w:color w:val="000000" w:themeColor="text1"/>
          <w:sz w:val="24"/>
          <w:szCs w:val="24"/>
        </w:rPr>
        <w:t>.</w:t>
      </w:r>
    </w:p>
    <w:p w14:paraId="68E7235B" w14:textId="0674707D" w:rsidR="00F72B22" w:rsidRPr="000E5ACF" w:rsidRDefault="00F72B22" w:rsidP="00F72B22">
      <w:pPr>
        <w:pStyle w:val="ListParagraph"/>
        <w:numPr>
          <w:ilvl w:val="0"/>
          <w:numId w:val="4"/>
        </w:numPr>
        <w:spacing w:line="276" w:lineRule="auto"/>
        <w:rPr>
          <w:color w:val="000000" w:themeColor="text1"/>
          <w:sz w:val="24"/>
          <w:szCs w:val="24"/>
        </w:rPr>
      </w:pPr>
      <w:r w:rsidRPr="006B40AE">
        <w:rPr>
          <w:color w:val="000000" w:themeColor="text1"/>
          <w:sz w:val="24"/>
          <w:szCs w:val="24"/>
        </w:rPr>
        <w:t xml:space="preserve">Interviewees expressed a desire for peer-to-peer learning and exchange of successful </w:t>
      </w:r>
      <w:r w:rsidR="00DA7203">
        <w:rPr>
          <w:color w:val="000000" w:themeColor="text1"/>
          <w:sz w:val="24"/>
          <w:szCs w:val="24"/>
        </w:rPr>
        <w:t>high-impact</w:t>
      </w:r>
      <w:r>
        <w:rPr>
          <w:color w:val="000000" w:themeColor="text1"/>
          <w:sz w:val="24"/>
          <w:szCs w:val="24"/>
        </w:rPr>
        <w:t xml:space="preserve"> initiatives </w:t>
      </w:r>
      <w:r w:rsidRPr="006B40AE">
        <w:rPr>
          <w:color w:val="000000" w:themeColor="text1"/>
          <w:sz w:val="24"/>
          <w:szCs w:val="24"/>
        </w:rPr>
        <w:t>implementation experiences across systems and providers.</w:t>
      </w:r>
    </w:p>
    <w:p w14:paraId="4681C0B1" w14:textId="6D0F9304" w:rsidR="007B443A" w:rsidRDefault="00F72B22" w:rsidP="007B443A">
      <w:pPr>
        <w:pStyle w:val="ListParagraph"/>
        <w:numPr>
          <w:ilvl w:val="0"/>
          <w:numId w:val="4"/>
        </w:numPr>
        <w:spacing w:line="276" w:lineRule="auto"/>
        <w:rPr>
          <w:color w:val="000000" w:themeColor="text1"/>
          <w:sz w:val="24"/>
          <w:szCs w:val="24"/>
        </w:rPr>
      </w:pPr>
      <w:r w:rsidRPr="006B40AE">
        <w:rPr>
          <w:color w:val="000000" w:themeColor="text1"/>
          <w:sz w:val="24"/>
          <w:szCs w:val="24"/>
        </w:rPr>
        <w:lastRenderedPageBreak/>
        <w:t>Consistent</w:t>
      </w:r>
      <w:r>
        <w:rPr>
          <w:color w:val="000000" w:themeColor="text1"/>
          <w:sz w:val="24"/>
          <w:szCs w:val="24"/>
        </w:rPr>
        <w:t>ly mentioned</w:t>
      </w:r>
      <w:r w:rsidRPr="006B40AE">
        <w:rPr>
          <w:color w:val="000000" w:themeColor="text1"/>
          <w:sz w:val="24"/>
          <w:szCs w:val="24"/>
        </w:rPr>
        <w:t xml:space="preserve"> </w:t>
      </w:r>
      <w:r>
        <w:rPr>
          <w:color w:val="000000" w:themeColor="text1"/>
          <w:sz w:val="24"/>
          <w:szCs w:val="24"/>
        </w:rPr>
        <w:t>issues</w:t>
      </w:r>
      <w:r w:rsidRPr="006B40AE">
        <w:rPr>
          <w:color w:val="000000" w:themeColor="text1"/>
          <w:sz w:val="24"/>
          <w:szCs w:val="24"/>
        </w:rPr>
        <w:t xml:space="preserve"> included </w:t>
      </w:r>
      <w:r>
        <w:rPr>
          <w:color w:val="000000" w:themeColor="text1"/>
          <w:sz w:val="24"/>
          <w:szCs w:val="24"/>
        </w:rPr>
        <w:t>a</w:t>
      </w:r>
      <w:r w:rsidRPr="006B40AE">
        <w:rPr>
          <w:color w:val="000000" w:themeColor="text1"/>
          <w:sz w:val="24"/>
          <w:szCs w:val="24"/>
        </w:rPr>
        <w:t xml:space="preserve"> lack of focus on people with complex menta</w:t>
      </w:r>
      <w:r>
        <w:rPr>
          <w:color w:val="000000" w:themeColor="text1"/>
          <w:sz w:val="24"/>
          <w:szCs w:val="24"/>
        </w:rPr>
        <w:t>l and physical health needs,</w:t>
      </w:r>
      <w:r w:rsidRPr="006B40AE">
        <w:rPr>
          <w:color w:val="000000" w:themeColor="text1"/>
          <w:sz w:val="24"/>
          <w:szCs w:val="24"/>
        </w:rPr>
        <w:t xml:space="preserve"> insufficient attention to ambulance interventions and alignment with other national programmes.</w:t>
      </w:r>
    </w:p>
    <w:p w14:paraId="0987E157" w14:textId="77777777" w:rsidR="007B443A" w:rsidRPr="007B443A" w:rsidRDefault="007B443A" w:rsidP="007B443A">
      <w:pPr>
        <w:pStyle w:val="ListParagraph"/>
        <w:spacing w:line="276" w:lineRule="auto"/>
        <w:ind w:left="360"/>
        <w:rPr>
          <w:color w:val="000000" w:themeColor="text1"/>
          <w:sz w:val="24"/>
          <w:szCs w:val="24"/>
        </w:rPr>
      </w:pPr>
    </w:p>
    <w:p w14:paraId="26224891" w14:textId="58862C97" w:rsidR="001972A5" w:rsidRDefault="001972A5" w:rsidP="00DA7203">
      <w:pPr>
        <w:pStyle w:val="ListParagraph"/>
        <w:numPr>
          <w:ilvl w:val="0"/>
          <w:numId w:val="2"/>
        </w:numPr>
        <w:spacing w:line="240" w:lineRule="auto"/>
        <w:ind w:left="357" w:hanging="357"/>
        <w:rPr>
          <w:b/>
          <w:bCs/>
          <w:color w:val="193E72"/>
          <w:sz w:val="36"/>
          <w:szCs w:val="36"/>
        </w:rPr>
      </w:pPr>
      <w:r w:rsidRPr="00E0120A">
        <w:rPr>
          <w:b/>
          <w:bCs/>
          <w:color w:val="193E72"/>
          <w:sz w:val="36"/>
          <w:szCs w:val="36"/>
        </w:rPr>
        <w:t>Evaluation context</w:t>
      </w:r>
    </w:p>
    <w:p w14:paraId="55F95644" w14:textId="73424DE8" w:rsidR="001D4DF1" w:rsidRPr="001D4DF1" w:rsidRDefault="001D4DF1" w:rsidP="001B6BE8">
      <w:pPr>
        <w:spacing w:line="276" w:lineRule="auto"/>
        <w:rPr>
          <w:color w:val="000000" w:themeColor="text1"/>
          <w:sz w:val="24"/>
          <w:szCs w:val="24"/>
        </w:rPr>
      </w:pPr>
      <w:r w:rsidRPr="001D4DF1">
        <w:rPr>
          <w:color w:val="000000" w:themeColor="text1"/>
          <w:sz w:val="24"/>
          <w:szCs w:val="24"/>
        </w:rPr>
        <w:t>Hospital occupancy rates in the NHS are consistently high, exacerbated by an aging population with complex health needs and seasonal increases in COVID and flu cases. This places significant strain on bed capacity and affects the delivery of timely care in urgent and emergency care (UEC) settings. Long wait times</w:t>
      </w:r>
      <w:r w:rsidR="009C64E5">
        <w:rPr>
          <w:color w:val="000000" w:themeColor="text1"/>
          <w:sz w:val="24"/>
          <w:szCs w:val="24"/>
        </w:rPr>
        <w:t xml:space="preserve"> are common for those</w:t>
      </w:r>
      <w:r w:rsidRPr="001D4DF1">
        <w:rPr>
          <w:color w:val="000000" w:themeColor="text1"/>
          <w:sz w:val="24"/>
          <w:szCs w:val="24"/>
        </w:rPr>
        <w:t xml:space="preserve"> for those </w:t>
      </w:r>
      <w:r w:rsidR="009C64E5">
        <w:rPr>
          <w:color w:val="000000" w:themeColor="text1"/>
          <w:sz w:val="24"/>
          <w:szCs w:val="24"/>
        </w:rPr>
        <w:t xml:space="preserve">in A&amp;E, including for those arriving </w:t>
      </w:r>
      <w:r w:rsidRPr="001D4DF1">
        <w:rPr>
          <w:color w:val="000000" w:themeColor="text1"/>
          <w:sz w:val="24"/>
          <w:szCs w:val="24"/>
        </w:rPr>
        <w:t>via ambulance</w:t>
      </w:r>
      <w:r w:rsidR="009C64E5">
        <w:rPr>
          <w:color w:val="000000" w:themeColor="text1"/>
          <w:sz w:val="24"/>
          <w:szCs w:val="24"/>
        </w:rPr>
        <w:t xml:space="preserve">. </w:t>
      </w:r>
    </w:p>
    <w:p w14:paraId="1ED13C11" w14:textId="7A734083" w:rsidR="001D4DF1" w:rsidRPr="001D4DF1" w:rsidRDefault="001D4DF1" w:rsidP="001B6BE8">
      <w:pPr>
        <w:spacing w:line="276" w:lineRule="auto"/>
        <w:rPr>
          <w:color w:val="000000" w:themeColor="text1"/>
          <w:sz w:val="24"/>
          <w:szCs w:val="24"/>
        </w:rPr>
      </w:pPr>
      <w:r w:rsidRPr="001D4DF1">
        <w:rPr>
          <w:color w:val="000000" w:themeColor="text1"/>
          <w:sz w:val="24"/>
          <w:szCs w:val="24"/>
        </w:rPr>
        <w:lastRenderedPageBreak/>
        <w:t>Complex interconnections within hospital systems mean that challenges in UEC departments and ambulance services are often linked to broader issues, such as capacity constraints in wards. Timely discharge of patients who no longer require in-patient care is a significant bottleneck.</w:t>
      </w:r>
    </w:p>
    <w:p w14:paraId="22531AB4" w14:textId="1A1BCDF2" w:rsidR="001D4DF1" w:rsidRPr="001D4DF1" w:rsidRDefault="001D4DF1" w:rsidP="00162FAB">
      <w:pPr>
        <w:spacing w:line="276" w:lineRule="auto"/>
        <w:rPr>
          <w:color w:val="000000" w:themeColor="text1"/>
          <w:sz w:val="24"/>
          <w:szCs w:val="24"/>
        </w:rPr>
      </w:pPr>
      <w:r w:rsidRPr="001D4DF1">
        <w:rPr>
          <w:color w:val="000000" w:themeColor="text1"/>
          <w:sz w:val="24"/>
          <w:szCs w:val="24"/>
        </w:rPr>
        <w:t xml:space="preserve">The </w:t>
      </w:r>
      <w:r w:rsidRPr="00385EA2">
        <w:rPr>
          <w:i/>
          <w:color w:val="000000" w:themeColor="text1"/>
          <w:sz w:val="24"/>
          <w:szCs w:val="24"/>
        </w:rPr>
        <w:t>NHS Delivery Plan for Recovering Urgent and Emergency Care Services</w:t>
      </w:r>
      <w:r w:rsidRPr="001D4DF1">
        <w:rPr>
          <w:color w:val="000000" w:themeColor="text1"/>
          <w:sz w:val="24"/>
          <w:szCs w:val="24"/>
        </w:rPr>
        <w:t xml:space="preserve"> is a substantial two-year initiative aimed at enhancing care delivery for both service users and staff. Its primary goals include achieving at least 76% of </w:t>
      </w:r>
      <w:r w:rsidR="007B443A">
        <w:rPr>
          <w:color w:val="000000" w:themeColor="text1"/>
          <w:sz w:val="24"/>
          <w:szCs w:val="24"/>
        </w:rPr>
        <w:t>people</w:t>
      </w:r>
      <w:r w:rsidR="0030326E">
        <w:rPr>
          <w:color w:val="000000" w:themeColor="text1"/>
          <w:sz w:val="24"/>
          <w:szCs w:val="24"/>
        </w:rPr>
        <w:t xml:space="preserve"> coming to </w:t>
      </w:r>
      <w:r w:rsidR="00C0757D">
        <w:rPr>
          <w:color w:val="000000" w:themeColor="text1"/>
          <w:sz w:val="24"/>
          <w:szCs w:val="24"/>
        </w:rPr>
        <w:t>A&amp;E</w:t>
      </w:r>
      <w:r w:rsidRPr="001D4DF1">
        <w:rPr>
          <w:color w:val="000000" w:themeColor="text1"/>
          <w:sz w:val="24"/>
          <w:szCs w:val="24"/>
        </w:rPr>
        <w:t xml:space="preserve"> being admitted, transferred, or discharged within four hours by March 2024, with further improvements anticipated in 2024/25. Additionally, it aims to improve ambulance response times for Category 2 incidents, targeting an average of 30 minutes over 2023/24 and aiming for </w:t>
      </w:r>
      <w:r w:rsidR="00162FAB">
        <w:rPr>
          <w:color w:val="000000" w:themeColor="text1"/>
          <w:sz w:val="24"/>
          <w:szCs w:val="24"/>
        </w:rPr>
        <w:t>pre-pandemic levels by 2024/25.</w:t>
      </w:r>
    </w:p>
    <w:p w14:paraId="140EC898" w14:textId="36E64D4F" w:rsidR="001D4DF1" w:rsidRPr="001D4DF1" w:rsidRDefault="001D4DF1" w:rsidP="001B6BE8">
      <w:pPr>
        <w:spacing w:line="276" w:lineRule="auto"/>
        <w:rPr>
          <w:color w:val="000000" w:themeColor="text1"/>
          <w:sz w:val="24"/>
          <w:szCs w:val="24"/>
        </w:rPr>
      </w:pPr>
      <w:r w:rsidRPr="001D4DF1">
        <w:rPr>
          <w:color w:val="000000" w:themeColor="text1"/>
          <w:sz w:val="24"/>
          <w:szCs w:val="24"/>
        </w:rPr>
        <w:lastRenderedPageBreak/>
        <w:t>The</w:t>
      </w:r>
      <w:r w:rsidR="0030326E">
        <w:rPr>
          <w:color w:val="000000" w:themeColor="text1"/>
          <w:sz w:val="24"/>
          <w:szCs w:val="24"/>
        </w:rPr>
        <w:t xml:space="preserve"> recovery</w:t>
      </w:r>
      <w:r w:rsidRPr="001D4DF1">
        <w:rPr>
          <w:color w:val="000000" w:themeColor="text1"/>
          <w:sz w:val="24"/>
          <w:szCs w:val="24"/>
        </w:rPr>
        <w:t xml:space="preserve"> programme encompasses various focuses, including streamlining discharge processes, expanding community-based care options, and enhancing communication and coordination across the health and care system to optimize patient flow and resource utili</w:t>
      </w:r>
      <w:r w:rsidR="000C2156">
        <w:rPr>
          <w:color w:val="000000" w:themeColor="text1"/>
          <w:sz w:val="24"/>
          <w:szCs w:val="24"/>
        </w:rPr>
        <w:t>s</w:t>
      </w:r>
      <w:r w:rsidRPr="001D4DF1">
        <w:rPr>
          <w:color w:val="000000" w:themeColor="text1"/>
          <w:sz w:val="24"/>
          <w:szCs w:val="24"/>
        </w:rPr>
        <w:t>ation.</w:t>
      </w:r>
    </w:p>
    <w:p w14:paraId="68E4CAF3" w14:textId="722D5699" w:rsidR="00632B0F" w:rsidRPr="00632B0F" w:rsidRDefault="00632B0F" w:rsidP="00632B0F">
      <w:pPr>
        <w:spacing w:line="276" w:lineRule="auto"/>
        <w:rPr>
          <w:color w:val="000000" w:themeColor="text1"/>
          <w:sz w:val="24"/>
          <w:szCs w:val="24"/>
        </w:rPr>
      </w:pPr>
      <w:r>
        <w:rPr>
          <w:color w:val="000000" w:themeColor="text1"/>
          <w:sz w:val="24"/>
          <w:szCs w:val="24"/>
        </w:rPr>
        <w:t>In</w:t>
      </w:r>
      <w:r w:rsidRPr="00632B0F">
        <w:rPr>
          <w:color w:val="000000" w:themeColor="text1"/>
          <w:sz w:val="24"/>
          <w:szCs w:val="24"/>
        </w:rPr>
        <w:t xml:space="preserve"> July 2023, NHS England sent </w:t>
      </w:r>
      <w:r w:rsidR="00242059">
        <w:rPr>
          <w:color w:val="000000" w:themeColor="text1"/>
          <w:sz w:val="24"/>
          <w:szCs w:val="24"/>
        </w:rPr>
        <w:t>the</w:t>
      </w:r>
      <w:r w:rsidRPr="00632B0F">
        <w:rPr>
          <w:color w:val="000000" w:themeColor="text1"/>
          <w:sz w:val="24"/>
          <w:szCs w:val="24"/>
        </w:rPr>
        <w:t xml:space="preserve"> letter </w:t>
      </w:r>
      <w:r w:rsidR="00242059" w:rsidRPr="00242059">
        <w:rPr>
          <w:i/>
          <w:color w:val="000000" w:themeColor="text1"/>
          <w:sz w:val="24"/>
          <w:szCs w:val="24"/>
        </w:rPr>
        <w:t>Delivering operational resilience across the NHS this winter</w:t>
      </w:r>
      <w:r w:rsidR="00242059" w:rsidRPr="00242059">
        <w:rPr>
          <w:color w:val="000000" w:themeColor="text1"/>
          <w:sz w:val="24"/>
          <w:szCs w:val="24"/>
        </w:rPr>
        <w:t xml:space="preserve"> </w:t>
      </w:r>
      <w:r w:rsidRPr="00632B0F">
        <w:rPr>
          <w:color w:val="000000" w:themeColor="text1"/>
          <w:sz w:val="24"/>
          <w:szCs w:val="24"/>
        </w:rPr>
        <w:t xml:space="preserve">to all </w:t>
      </w:r>
      <w:r w:rsidR="00242059">
        <w:rPr>
          <w:color w:val="000000" w:themeColor="text1"/>
          <w:sz w:val="24"/>
          <w:szCs w:val="24"/>
        </w:rPr>
        <w:t>Systems and P</w:t>
      </w:r>
      <w:r w:rsidRPr="00632B0F">
        <w:rPr>
          <w:color w:val="000000" w:themeColor="text1"/>
          <w:sz w:val="24"/>
          <w:szCs w:val="24"/>
        </w:rPr>
        <w:t>roviders on the approach to winter planning for the upcoming 2023/24 winter season. This was accompanied by a ‘system roles and responsibilities’ document which sets out the responsibilities of each part of the system and what actions should be underta</w:t>
      </w:r>
      <w:r w:rsidR="00242059">
        <w:rPr>
          <w:color w:val="000000" w:themeColor="text1"/>
          <w:sz w:val="24"/>
          <w:szCs w:val="24"/>
        </w:rPr>
        <w:t>ken to prepare well for winter. The letter built</w:t>
      </w:r>
      <w:r w:rsidRPr="00632B0F">
        <w:rPr>
          <w:color w:val="000000" w:themeColor="text1"/>
          <w:sz w:val="24"/>
          <w:szCs w:val="24"/>
        </w:rPr>
        <w:t xml:space="preserve"> on the commitments and key ambitions laid out in </w:t>
      </w:r>
      <w:r w:rsidR="00212D5F">
        <w:rPr>
          <w:color w:val="000000" w:themeColor="text1"/>
          <w:sz w:val="24"/>
          <w:szCs w:val="24"/>
        </w:rPr>
        <w:t xml:space="preserve">the </w:t>
      </w:r>
      <w:r w:rsidR="00242059">
        <w:rPr>
          <w:color w:val="000000" w:themeColor="text1"/>
          <w:sz w:val="24"/>
          <w:szCs w:val="24"/>
        </w:rPr>
        <w:t>January plan and set out four areas of focus for S</w:t>
      </w:r>
      <w:r w:rsidRPr="00632B0F">
        <w:rPr>
          <w:color w:val="000000" w:themeColor="text1"/>
          <w:sz w:val="24"/>
          <w:szCs w:val="24"/>
        </w:rPr>
        <w:t>ystems</w:t>
      </w:r>
      <w:r w:rsidR="00212D5F">
        <w:rPr>
          <w:color w:val="000000" w:themeColor="text1"/>
          <w:sz w:val="24"/>
          <w:szCs w:val="24"/>
        </w:rPr>
        <w:t xml:space="preserve"> and Providers</w:t>
      </w:r>
      <w:r w:rsidRPr="00632B0F">
        <w:rPr>
          <w:color w:val="000000" w:themeColor="text1"/>
          <w:sz w:val="24"/>
          <w:szCs w:val="24"/>
        </w:rPr>
        <w:t>:</w:t>
      </w:r>
    </w:p>
    <w:p w14:paraId="59C3D64D" w14:textId="77777777" w:rsidR="00B14CBB" w:rsidRPr="00B14CBB" w:rsidRDefault="00632B0F" w:rsidP="00B14CBB">
      <w:pPr>
        <w:pStyle w:val="ListParagraph"/>
        <w:numPr>
          <w:ilvl w:val="0"/>
          <w:numId w:val="8"/>
        </w:numPr>
        <w:spacing w:line="276" w:lineRule="auto"/>
        <w:rPr>
          <w:color w:val="000000" w:themeColor="text1"/>
          <w:sz w:val="24"/>
          <w:szCs w:val="24"/>
        </w:rPr>
      </w:pPr>
      <w:r w:rsidRPr="00B14CBB">
        <w:rPr>
          <w:color w:val="000000" w:themeColor="text1"/>
          <w:sz w:val="24"/>
          <w:szCs w:val="24"/>
        </w:rPr>
        <w:t>Ensuring high-im</w:t>
      </w:r>
      <w:r w:rsidR="00242059" w:rsidRPr="00B14CBB">
        <w:rPr>
          <w:color w:val="000000" w:themeColor="text1"/>
          <w:sz w:val="24"/>
          <w:szCs w:val="24"/>
        </w:rPr>
        <w:t xml:space="preserve">pact </w:t>
      </w:r>
      <w:r w:rsidR="00B14CBB" w:rsidRPr="00B14CBB">
        <w:rPr>
          <w:color w:val="000000" w:themeColor="text1"/>
          <w:sz w:val="24"/>
          <w:szCs w:val="24"/>
        </w:rPr>
        <w:t>initiatives</w:t>
      </w:r>
      <w:r w:rsidR="00242059" w:rsidRPr="00B14CBB">
        <w:rPr>
          <w:color w:val="000000" w:themeColor="text1"/>
          <w:sz w:val="24"/>
          <w:szCs w:val="24"/>
        </w:rPr>
        <w:t xml:space="preserve"> are in place</w:t>
      </w:r>
    </w:p>
    <w:p w14:paraId="7FEE1E07" w14:textId="309B882C" w:rsidR="00632B0F" w:rsidRPr="00B14CBB" w:rsidRDefault="00632B0F" w:rsidP="00B14CBB">
      <w:pPr>
        <w:pStyle w:val="ListParagraph"/>
        <w:numPr>
          <w:ilvl w:val="0"/>
          <w:numId w:val="8"/>
        </w:numPr>
        <w:spacing w:line="276" w:lineRule="auto"/>
        <w:rPr>
          <w:color w:val="000000" w:themeColor="text1"/>
          <w:sz w:val="24"/>
          <w:szCs w:val="24"/>
        </w:rPr>
      </w:pPr>
      <w:r w:rsidRPr="00B14CBB">
        <w:rPr>
          <w:color w:val="000000" w:themeColor="text1"/>
          <w:sz w:val="24"/>
          <w:szCs w:val="24"/>
        </w:rPr>
        <w:lastRenderedPageBreak/>
        <w:t xml:space="preserve">Completing operational and surge planning </w:t>
      </w:r>
    </w:p>
    <w:p w14:paraId="26393941" w14:textId="77777777" w:rsidR="00242059" w:rsidRPr="00B14CBB" w:rsidRDefault="00242059" w:rsidP="00B14CBB">
      <w:pPr>
        <w:pStyle w:val="ListParagraph"/>
        <w:numPr>
          <w:ilvl w:val="0"/>
          <w:numId w:val="8"/>
        </w:numPr>
        <w:spacing w:line="276" w:lineRule="auto"/>
        <w:rPr>
          <w:color w:val="000000" w:themeColor="text1"/>
          <w:sz w:val="24"/>
          <w:szCs w:val="24"/>
        </w:rPr>
      </w:pPr>
      <w:r w:rsidRPr="00B14CBB">
        <w:rPr>
          <w:color w:val="000000" w:themeColor="text1"/>
          <w:sz w:val="24"/>
          <w:szCs w:val="24"/>
        </w:rPr>
        <w:t>ICBs should ensure effective system working across all parts of the system</w:t>
      </w:r>
    </w:p>
    <w:p w14:paraId="1EA17BAD" w14:textId="6575C062" w:rsidR="00632B0F" w:rsidRPr="00B14CBB" w:rsidRDefault="00632B0F" w:rsidP="00B14CBB">
      <w:pPr>
        <w:pStyle w:val="ListParagraph"/>
        <w:numPr>
          <w:ilvl w:val="0"/>
          <w:numId w:val="8"/>
        </w:numPr>
        <w:spacing w:line="276" w:lineRule="auto"/>
        <w:rPr>
          <w:color w:val="000000" w:themeColor="text1"/>
          <w:sz w:val="24"/>
          <w:szCs w:val="24"/>
        </w:rPr>
      </w:pPr>
      <w:r w:rsidRPr="00B14CBB">
        <w:rPr>
          <w:color w:val="000000" w:themeColor="text1"/>
          <w:sz w:val="24"/>
          <w:szCs w:val="24"/>
        </w:rPr>
        <w:t>Supporting the workforce</w:t>
      </w:r>
      <w:r w:rsidR="00242059" w:rsidRPr="00B14CBB">
        <w:rPr>
          <w:color w:val="000000" w:themeColor="text1"/>
          <w:sz w:val="24"/>
          <w:szCs w:val="24"/>
        </w:rPr>
        <w:t xml:space="preserve"> </w:t>
      </w:r>
    </w:p>
    <w:p w14:paraId="4A13191E" w14:textId="1B7EC732" w:rsidR="00ED5BC3" w:rsidRDefault="00242059" w:rsidP="001B6BE8">
      <w:pPr>
        <w:spacing w:line="276" w:lineRule="auto"/>
        <w:rPr>
          <w:color w:val="000000" w:themeColor="text1"/>
          <w:sz w:val="24"/>
          <w:szCs w:val="24"/>
        </w:rPr>
      </w:pPr>
      <w:r>
        <w:rPr>
          <w:color w:val="000000" w:themeColor="text1"/>
          <w:sz w:val="24"/>
          <w:szCs w:val="24"/>
        </w:rPr>
        <w:t>Ten</w:t>
      </w:r>
      <w:r w:rsidRPr="00242059">
        <w:rPr>
          <w:color w:val="000000" w:themeColor="text1"/>
          <w:sz w:val="24"/>
          <w:szCs w:val="24"/>
        </w:rPr>
        <w:t xml:space="preserve"> </w:t>
      </w:r>
      <w:r w:rsidR="00B14CBB">
        <w:rPr>
          <w:color w:val="000000" w:themeColor="text1"/>
          <w:sz w:val="24"/>
          <w:szCs w:val="24"/>
        </w:rPr>
        <w:t>‘</w:t>
      </w:r>
      <w:r w:rsidRPr="00242059">
        <w:rPr>
          <w:color w:val="000000" w:themeColor="text1"/>
          <w:sz w:val="24"/>
          <w:szCs w:val="24"/>
        </w:rPr>
        <w:t>high-impact</w:t>
      </w:r>
      <w:r w:rsidR="00B14CBB">
        <w:rPr>
          <w:color w:val="000000" w:themeColor="text1"/>
          <w:sz w:val="24"/>
          <w:szCs w:val="24"/>
        </w:rPr>
        <w:t>’</w:t>
      </w:r>
      <w:r w:rsidRPr="00242059">
        <w:rPr>
          <w:color w:val="000000" w:themeColor="text1"/>
          <w:sz w:val="24"/>
          <w:szCs w:val="24"/>
        </w:rPr>
        <w:t xml:space="preserve"> </w:t>
      </w:r>
      <w:r w:rsidR="00B14CBB" w:rsidRPr="00B14CBB">
        <w:rPr>
          <w:color w:val="000000" w:themeColor="text1"/>
          <w:sz w:val="24"/>
          <w:szCs w:val="24"/>
        </w:rPr>
        <w:t>initiatives</w:t>
      </w:r>
      <w:r>
        <w:rPr>
          <w:color w:val="000000" w:themeColor="text1"/>
          <w:sz w:val="24"/>
          <w:szCs w:val="24"/>
        </w:rPr>
        <w:t xml:space="preserve"> </w:t>
      </w:r>
      <w:proofErr w:type="gramStart"/>
      <w:r>
        <w:rPr>
          <w:color w:val="000000" w:themeColor="text1"/>
          <w:sz w:val="24"/>
          <w:szCs w:val="24"/>
        </w:rPr>
        <w:t>were highlighted</w:t>
      </w:r>
      <w:proofErr w:type="gramEnd"/>
      <w:r w:rsidR="00ED5BC3">
        <w:rPr>
          <w:color w:val="000000" w:themeColor="text1"/>
          <w:sz w:val="24"/>
          <w:szCs w:val="24"/>
        </w:rPr>
        <w:t xml:space="preserve"> (see Table1)</w:t>
      </w:r>
      <w:r>
        <w:rPr>
          <w:color w:val="000000" w:themeColor="text1"/>
          <w:sz w:val="24"/>
          <w:szCs w:val="24"/>
        </w:rPr>
        <w:t>. These</w:t>
      </w:r>
      <w:r w:rsidRPr="00242059">
        <w:rPr>
          <w:color w:val="000000" w:themeColor="text1"/>
          <w:sz w:val="24"/>
          <w:szCs w:val="24"/>
        </w:rPr>
        <w:t xml:space="preserve"> focused </w:t>
      </w:r>
      <w:r w:rsidR="007B24D5">
        <w:rPr>
          <w:color w:val="000000" w:themeColor="text1"/>
          <w:sz w:val="24"/>
          <w:szCs w:val="24"/>
        </w:rPr>
        <w:t>on</w:t>
      </w:r>
      <w:r w:rsidRPr="00242059">
        <w:rPr>
          <w:color w:val="000000" w:themeColor="text1"/>
          <w:sz w:val="24"/>
          <w:szCs w:val="24"/>
        </w:rPr>
        <w:t xml:space="preserve"> reducing waiting times for patients and crowding in A&amp;E departments, </w:t>
      </w:r>
      <w:r w:rsidR="007B24D5">
        <w:rPr>
          <w:color w:val="000000" w:themeColor="text1"/>
          <w:sz w:val="24"/>
          <w:szCs w:val="24"/>
        </w:rPr>
        <w:t xml:space="preserve">admission avoidance, </w:t>
      </w:r>
      <w:r w:rsidRPr="00242059">
        <w:rPr>
          <w:color w:val="000000" w:themeColor="text1"/>
          <w:sz w:val="24"/>
          <w:szCs w:val="24"/>
        </w:rPr>
        <w:t>improving flow and reducing length of stay in hospital settings.</w:t>
      </w:r>
      <w:r>
        <w:rPr>
          <w:color w:val="000000" w:themeColor="text1"/>
          <w:sz w:val="24"/>
          <w:szCs w:val="24"/>
        </w:rPr>
        <w:t xml:space="preserve"> </w:t>
      </w:r>
      <w:r w:rsidR="00162FAB">
        <w:rPr>
          <w:color w:val="000000" w:themeColor="text1"/>
          <w:sz w:val="24"/>
          <w:szCs w:val="24"/>
        </w:rPr>
        <w:t xml:space="preserve">NHS </w:t>
      </w:r>
      <w:r w:rsidRPr="00242059">
        <w:rPr>
          <w:color w:val="000000" w:themeColor="text1"/>
          <w:sz w:val="24"/>
          <w:szCs w:val="24"/>
        </w:rPr>
        <w:t xml:space="preserve">Systems and Providers </w:t>
      </w:r>
      <w:r>
        <w:rPr>
          <w:color w:val="000000" w:themeColor="text1"/>
          <w:sz w:val="24"/>
          <w:szCs w:val="24"/>
        </w:rPr>
        <w:t>were expected to</w:t>
      </w:r>
      <w:r w:rsidR="00162FAB">
        <w:rPr>
          <w:color w:val="000000" w:themeColor="text1"/>
          <w:sz w:val="24"/>
          <w:szCs w:val="24"/>
        </w:rPr>
        <w:t xml:space="preserve"> </w:t>
      </w:r>
      <w:r>
        <w:rPr>
          <w:color w:val="000000" w:themeColor="text1"/>
          <w:sz w:val="24"/>
          <w:szCs w:val="24"/>
        </w:rPr>
        <w:t>prioritis</w:t>
      </w:r>
      <w:r w:rsidR="001D4DF1" w:rsidRPr="001D4DF1">
        <w:rPr>
          <w:color w:val="000000" w:themeColor="text1"/>
          <w:sz w:val="24"/>
          <w:szCs w:val="24"/>
        </w:rPr>
        <w:t>e the delivery of at least four of these initiatives to drive improvement efforts locally.</w:t>
      </w:r>
      <w:r w:rsidR="004441F1">
        <w:rPr>
          <w:color w:val="000000" w:themeColor="text1"/>
          <w:sz w:val="24"/>
          <w:szCs w:val="24"/>
        </w:rPr>
        <w:t xml:space="preserve"> </w:t>
      </w:r>
    </w:p>
    <w:p w14:paraId="575AC5FF" w14:textId="77777777" w:rsidR="005619F2" w:rsidRPr="003A1138" w:rsidRDefault="005619F2" w:rsidP="005619F2">
      <w:pPr>
        <w:rPr>
          <w:b/>
          <w:bCs/>
          <w:i/>
          <w:iCs/>
          <w:sz w:val="20"/>
          <w:szCs w:val="20"/>
        </w:rPr>
      </w:pPr>
      <w:r w:rsidRPr="003A1138">
        <w:rPr>
          <w:b/>
          <w:bCs/>
          <w:i/>
          <w:iCs/>
          <w:sz w:val="20"/>
          <w:szCs w:val="20"/>
        </w:rPr>
        <w:t>Table 1: Summary of high-impact initiatives options as part of the UEC recovery plan</w:t>
      </w:r>
    </w:p>
    <w:tbl>
      <w:tblPr>
        <w:tblStyle w:val="TableGrid"/>
        <w:tblW w:w="5000" w:type="pct"/>
        <w:tblLook w:val="04A0" w:firstRow="1" w:lastRow="0" w:firstColumn="1" w:lastColumn="0" w:noHBand="0" w:noVBand="1"/>
      </w:tblPr>
      <w:tblGrid>
        <w:gridCol w:w="1413"/>
        <w:gridCol w:w="3686"/>
        <w:gridCol w:w="3917"/>
      </w:tblGrid>
      <w:tr w:rsidR="005619F2" w:rsidRPr="00162FAB" w14:paraId="25FF2D95" w14:textId="77777777" w:rsidTr="003A1138">
        <w:tc>
          <w:tcPr>
            <w:tcW w:w="784" w:type="pct"/>
          </w:tcPr>
          <w:p w14:paraId="506AAA77"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Initiative</w:t>
            </w:r>
          </w:p>
        </w:tc>
        <w:tc>
          <w:tcPr>
            <w:tcW w:w="2044" w:type="pct"/>
          </w:tcPr>
          <w:p w14:paraId="271A877A"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 xml:space="preserve">Focus </w:t>
            </w:r>
          </w:p>
        </w:tc>
        <w:tc>
          <w:tcPr>
            <w:tcW w:w="2173" w:type="pct"/>
          </w:tcPr>
          <w:p w14:paraId="3FCC0A8B"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Anticipated changes and process impacts</w:t>
            </w:r>
          </w:p>
        </w:tc>
      </w:tr>
      <w:tr w:rsidR="005619F2" w:rsidRPr="00162FAB" w14:paraId="4978B60E" w14:textId="77777777" w:rsidTr="003A1138">
        <w:tc>
          <w:tcPr>
            <w:tcW w:w="784" w:type="pct"/>
          </w:tcPr>
          <w:p w14:paraId="498467B9"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Same day emergency care</w:t>
            </w:r>
          </w:p>
        </w:tc>
        <w:tc>
          <w:tcPr>
            <w:tcW w:w="2044" w:type="pct"/>
          </w:tcPr>
          <w:p w14:paraId="4E4EF9E4" w14:textId="1E5AE98D" w:rsidR="005619F2" w:rsidRPr="00162FAB" w:rsidRDefault="005619F2" w:rsidP="002A3ED1">
            <w:pPr>
              <w:rPr>
                <w:rFonts w:eastAsiaTheme="minorEastAsia" w:cstheme="minorHAnsi"/>
                <w:color w:val="000000" w:themeColor="text1"/>
                <w:sz w:val="20"/>
                <w:szCs w:val="20"/>
              </w:rPr>
            </w:pPr>
            <w:r w:rsidRPr="00162FAB">
              <w:rPr>
                <w:rFonts w:eastAsiaTheme="minorEastAsia" w:cstheme="minorHAnsi"/>
                <w:sz w:val="20"/>
                <w:szCs w:val="20"/>
              </w:rPr>
              <w:t xml:space="preserve">Same day care (assessment, diagnosis, treatment, and discharge) for people with an emergency health issue to avoid a hospital admission. </w:t>
            </w:r>
          </w:p>
        </w:tc>
        <w:tc>
          <w:tcPr>
            <w:tcW w:w="2173" w:type="pct"/>
          </w:tcPr>
          <w:p w14:paraId="46D5764C"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Reducing variation in SDEC provision by providing guidance about operating a variety of SDEC services for at least 12 hours per day, 7 days per week</w:t>
            </w:r>
          </w:p>
        </w:tc>
      </w:tr>
      <w:tr w:rsidR="005619F2" w:rsidRPr="00162FAB" w14:paraId="448E53C7" w14:textId="77777777" w:rsidTr="003A1138">
        <w:tc>
          <w:tcPr>
            <w:tcW w:w="784" w:type="pct"/>
          </w:tcPr>
          <w:p w14:paraId="36ED1AD1"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Acute frailty services</w:t>
            </w:r>
          </w:p>
        </w:tc>
        <w:tc>
          <w:tcPr>
            <w:tcW w:w="2044" w:type="pct"/>
          </w:tcPr>
          <w:p w14:paraId="412A94B3" w14:textId="70AEBFD1" w:rsidR="005619F2" w:rsidRPr="00162FAB" w:rsidRDefault="005619F2" w:rsidP="002A3ED1">
            <w:pPr>
              <w:rPr>
                <w:rFonts w:eastAsiaTheme="minorEastAsia" w:cstheme="minorHAnsi"/>
                <w:color w:val="000000" w:themeColor="text1"/>
                <w:sz w:val="20"/>
                <w:szCs w:val="20"/>
              </w:rPr>
            </w:pPr>
            <w:r w:rsidRPr="00162FAB">
              <w:rPr>
                <w:rFonts w:eastAsiaTheme="minorEastAsia" w:cstheme="minorHAnsi"/>
                <w:sz w:val="20"/>
                <w:szCs w:val="20"/>
              </w:rPr>
              <w:t>Service that identifies and assess frail patients soon after their arrival to hospital.</w:t>
            </w:r>
          </w:p>
          <w:p w14:paraId="19976987" w14:textId="77777777" w:rsidR="005619F2" w:rsidRPr="00162FAB" w:rsidRDefault="005619F2" w:rsidP="002A3ED1">
            <w:pPr>
              <w:rPr>
                <w:rFonts w:eastAsiaTheme="minorEastAsia" w:cstheme="minorHAnsi"/>
                <w:color w:val="444444"/>
                <w:sz w:val="20"/>
                <w:szCs w:val="20"/>
              </w:rPr>
            </w:pPr>
          </w:p>
          <w:p w14:paraId="60B812FE" w14:textId="77777777" w:rsidR="005619F2" w:rsidRPr="00162FAB" w:rsidRDefault="005619F2" w:rsidP="002A3ED1">
            <w:pPr>
              <w:rPr>
                <w:rFonts w:eastAsiaTheme="minorEastAsia" w:cstheme="minorHAnsi"/>
                <w:sz w:val="20"/>
                <w:szCs w:val="20"/>
              </w:rPr>
            </w:pPr>
          </w:p>
        </w:tc>
        <w:tc>
          <w:tcPr>
            <w:tcW w:w="2173" w:type="pct"/>
          </w:tcPr>
          <w:p w14:paraId="10BD87E6"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Reducing variation in acute frailty service provision Improving recognition of cases that could benefit from specific frailty services and ensuring referrals to avoid admission</w:t>
            </w:r>
          </w:p>
        </w:tc>
      </w:tr>
      <w:tr w:rsidR="005619F2" w:rsidRPr="00162FAB" w14:paraId="4BF9FA8F" w14:textId="77777777" w:rsidTr="003A1138">
        <w:tc>
          <w:tcPr>
            <w:tcW w:w="784" w:type="pct"/>
          </w:tcPr>
          <w:p w14:paraId="2330DDB3"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lastRenderedPageBreak/>
              <w:t xml:space="preserve">Virtual wards </w:t>
            </w:r>
          </w:p>
        </w:tc>
        <w:tc>
          <w:tcPr>
            <w:tcW w:w="2044" w:type="pct"/>
          </w:tcPr>
          <w:p w14:paraId="24B5DECA"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Virtual wards aim to deliver acute hospital level in-patient care in people’s homes. Use of technology is likely to play a role in these models.</w:t>
            </w:r>
            <w:r w:rsidRPr="00162FAB">
              <w:rPr>
                <w:rFonts w:eastAsiaTheme="minorEastAsia" w:cstheme="minorHAnsi"/>
                <w:color w:val="444444"/>
                <w:sz w:val="20"/>
                <w:szCs w:val="20"/>
              </w:rPr>
              <w:t xml:space="preserve"> </w:t>
            </w:r>
          </w:p>
        </w:tc>
        <w:tc>
          <w:tcPr>
            <w:tcW w:w="2173" w:type="pct"/>
          </w:tcPr>
          <w:p w14:paraId="7030BF26"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Standardising and improving care across all virtual ward services to improve the level of care to prevent admission to hospital and improve discharge</w:t>
            </w:r>
          </w:p>
        </w:tc>
      </w:tr>
      <w:tr w:rsidR="005619F2" w:rsidRPr="00162FAB" w14:paraId="60BD7E37" w14:textId="77777777" w:rsidTr="003A1138">
        <w:tc>
          <w:tcPr>
            <w:tcW w:w="784" w:type="pct"/>
          </w:tcPr>
          <w:p w14:paraId="500E1D29"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Urgent Community Response</w:t>
            </w:r>
          </w:p>
        </w:tc>
        <w:tc>
          <w:tcPr>
            <w:tcW w:w="2044" w:type="pct"/>
          </w:tcPr>
          <w:p w14:paraId="4881863C"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Delivery of urgent care to people in their homes, with referrals from multiple sources</w:t>
            </w:r>
            <w:r w:rsidRPr="00162FAB">
              <w:rPr>
                <w:rFonts w:eastAsiaTheme="minorEastAsia" w:cstheme="minorHAnsi"/>
                <w:color w:val="000000" w:themeColor="text1"/>
                <w:sz w:val="20"/>
                <w:szCs w:val="20"/>
              </w:rPr>
              <w:t xml:space="preserve"> </w:t>
            </w:r>
          </w:p>
        </w:tc>
        <w:tc>
          <w:tcPr>
            <w:tcW w:w="2173" w:type="pct"/>
          </w:tcPr>
          <w:p w14:paraId="2C078B8F"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Increasing volume and consistency of referrals to improve patient care and ease pressure on ambulance services and avoid unnecessary admissions</w:t>
            </w:r>
          </w:p>
        </w:tc>
      </w:tr>
      <w:tr w:rsidR="005619F2" w:rsidRPr="00162FAB" w14:paraId="5F24AD92" w14:textId="77777777" w:rsidTr="003A1138">
        <w:tc>
          <w:tcPr>
            <w:tcW w:w="784" w:type="pct"/>
          </w:tcPr>
          <w:p w14:paraId="609FEFCD"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Acute Respiratory Infection Hubs</w:t>
            </w:r>
          </w:p>
        </w:tc>
        <w:tc>
          <w:tcPr>
            <w:tcW w:w="2044" w:type="pct"/>
          </w:tcPr>
          <w:p w14:paraId="72BF73EC"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 xml:space="preserve">Service provision for the rapid assessment of people with acute respiratory infections, aiming to provide same day assessment to people referred from multiple sources. </w:t>
            </w:r>
          </w:p>
        </w:tc>
        <w:tc>
          <w:tcPr>
            <w:tcW w:w="2173" w:type="pct"/>
          </w:tcPr>
          <w:p w14:paraId="35CF0684"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Support consistent roll out of services, prioritising acute respiratory infection, to provide same day urgent assessment with the benefit of releasing capacity in ED and general practice to support system pressures</w:t>
            </w:r>
          </w:p>
        </w:tc>
      </w:tr>
      <w:tr w:rsidR="005619F2" w:rsidRPr="00162FAB" w14:paraId="09ED2443" w14:textId="77777777" w:rsidTr="003A1138">
        <w:tc>
          <w:tcPr>
            <w:tcW w:w="784" w:type="pct"/>
          </w:tcPr>
          <w:p w14:paraId="1D23ABDC"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Inpatient flow and length of stay (acute)</w:t>
            </w:r>
          </w:p>
        </w:tc>
        <w:tc>
          <w:tcPr>
            <w:tcW w:w="2044" w:type="pct"/>
          </w:tcPr>
          <w:p w14:paraId="7C84C706" w14:textId="10B1F972" w:rsidR="005619F2" w:rsidRPr="00162FAB" w:rsidRDefault="005619F2" w:rsidP="002A3ED1">
            <w:pPr>
              <w:rPr>
                <w:rFonts w:eastAsiaTheme="minorEastAsia" w:cstheme="minorHAnsi"/>
                <w:color w:val="000000" w:themeColor="text1"/>
                <w:sz w:val="20"/>
                <w:szCs w:val="20"/>
              </w:rPr>
            </w:pPr>
            <w:r w:rsidRPr="00162FAB">
              <w:rPr>
                <w:rFonts w:eastAsiaTheme="minorEastAsia" w:cstheme="minorHAnsi"/>
                <w:sz w:val="20"/>
                <w:szCs w:val="20"/>
              </w:rPr>
              <w:t xml:space="preserve">Implementing in hospital efficiencies to support patient flow and timely, efficient discharge. </w:t>
            </w:r>
          </w:p>
          <w:p w14:paraId="0CD4228D" w14:textId="77777777" w:rsidR="005619F2" w:rsidRPr="00162FAB" w:rsidRDefault="005619F2" w:rsidP="002A3ED1">
            <w:pPr>
              <w:rPr>
                <w:rFonts w:eastAsiaTheme="minorEastAsia" w:cstheme="minorHAnsi"/>
                <w:sz w:val="20"/>
                <w:szCs w:val="20"/>
              </w:rPr>
            </w:pPr>
          </w:p>
        </w:tc>
        <w:tc>
          <w:tcPr>
            <w:tcW w:w="2173" w:type="pct"/>
          </w:tcPr>
          <w:p w14:paraId="413E27F5" w14:textId="16BB4DB4"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Reducing variation in inpatient care and length of stay for key UEC pathways/conditions/cohorts by implementing in-hospital efficiencies and bringing forward discharge process for pathway 0 patients</w:t>
            </w:r>
          </w:p>
        </w:tc>
      </w:tr>
      <w:tr w:rsidR="005619F2" w:rsidRPr="00162FAB" w14:paraId="461F6132" w14:textId="77777777" w:rsidTr="003A1138">
        <w:tc>
          <w:tcPr>
            <w:tcW w:w="784" w:type="pct"/>
          </w:tcPr>
          <w:p w14:paraId="6994CAD8"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Community bed productivity and flow</w:t>
            </w:r>
          </w:p>
        </w:tc>
        <w:tc>
          <w:tcPr>
            <w:tcW w:w="2044" w:type="pct"/>
          </w:tcPr>
          <w:p w14:paraId="0C36BCA1" w14:textId="6DCE7C9B" w:rsidR="005619F2" w:rsidRPr="00162FAB" w:rsidRDefault="005619F2" w:rsidP="002A3ED1">
            <w:pPr>
              <w:rPr>
                <w:rFonts w:eastAsiaTheme="minorEastAsia" w:cstheme="minorHAnsi"/>
                <w:color w:val="000000" w:themeColor="text1"/>
                <w:sz w:val="20"/>
                <w:szCs w:val="20"/>
              </w:rPr>
            </w:pPr>
            <w:r w:rsidRPr="00162FAB">
              <w:rPr>
                <w:rFonts w:eastAsiaTheme="minorEastAsia" w:cstheme="minorHAnsi"/>
                <w:sz w:val="20"/>
                <w:szCs w:val="20"/>
              </w:rPr>
              <w:t>Implementing community bed focused efficiencies to support patient flow and timely and efficient discharge</w:t>
            </w:r>
            <w:r w:rsidR="00203182" w:rsidRPr="00162FAB">
              <w:rPr>
                <w:rFonts w:eastAsiaTheme="minorEastAsia" w:cstheme="minorHAnsi"/>
                <w:sz w:val="20"/>
                <w:szCs w:val="20"/>
              </w:rPr>
              <w:t xml:space="preserve">. </w:t>
            </w:r>
          </w:p>
          <w:p w14:paraId="2AEF1F24" w14:textId="77777777" w:rsidR="005619F2" w:rsidRPr="00162FAB" w:rsidRDefault="005619F2" w:rsidP="002A3ED1">
            <w:pPr>
              <w:rPr>
                <w:rFonts w:eastAsiaTheme="minorEastAsia" w:cstheme="minorHAnsi"/>
                <w:sz w:val="20"/>
                <w:szCs w:val="20"/>
              </w:rPr>
            </w:pPr>
          </w:p>
        </w:tc>
        <w:tc>
          <w:tcPr>
            <w:tcW w:w="2173" w:type="pct"/>
          </w:tcPr>
          <w:p w14:paraId="328A79D3"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Reducing length of stay and variation in inpatient care by implementing in-hospital efficiencies and bringing forward discharge processes</w:t>
            </w:r>
          </w:p>
        </w:tc>
      </w:tr>
      <w:tr w:rsidR="005619F2" w:rsidRPr="00162FAB" w14:paraId="2B4766FD" w14:textId="77777777" w:rsidTr="003A1138">
        <w:tc>
          <w:tcPr>
            <w:tcW w:w="784" w:type="pct"/>
          </w:tcPr>
          <w:p w14:paraId="3CE0874B"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Care Transfer Hubs</w:t>
            </w:r>
          </w:p>
        </w:tc>
        <w:tc>
          <w:tcPr>
            <w:tcW w:w="2044" w:type="pct"/>
          </w:tcPr>
          <w:p w14:paraId="0CB310B5"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A system level service that links relevant care services (e.g., acute, primary, community, local authority and third sector) to co-ordinate care for people. Key focus on safe hospital discharge</w:t>
            </w:r>
            <w:r w:rsidRPr="00162FAB">
              <w:rPr>
                <w:rFonts w:eastAsiaTheme="minorEastAsia" w:cstheme="minorHAnsi"/>
                <w:color w:val="444444"/>
                <w:sz w:val="20"/>
                <w:szCs w:val="20"/>
              </w:rPr>
              <w:t xml:space="preserve"> </w:t>
            </w:r>
          </w:p>
        </w:tc>
        <w:tc>
          <w:tcPr>
            <w:tcW w:w="2173" w:type="pct"/>
          </w:tcPr>
          <w:p w14:paraId="4C9495AB"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Implementing a standard operating procedure and minimum standards for care transfer hubs to reduce variation and maximise access to community rehabilitation and prevent re-admission to a hospital bed</w:t>
            </w:r>
          </w:p>
        </w:tc>
      </w:tr>
      <w:tr w:rsidR="005619F2" w:rsidRPr="00162FAB" w14:paraId="2C13BB20" w14:textId="77777777" w:rsidTr="003A1138">
        <w:tc>
          <w:tcPr>
            <w:tcW w:w="784" w:type="pct"/>
          </w:tcPr>
          <w:p w14:paraId="6D46CF0D"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Intermediate care demand and capacity</w:t>
            </w:r>
          </w:p>
        </w:tc>
        <w:tc>
          <w:tcPr>
            <w:tcW w:w="2044" w:type="pct"/>
          </w:tcPr>
          <w:p w14:paraId="27A31890" w14:textId="1E5E50A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Supporting the operationalisation of ongoing demand and capacity planning, including through improved use of data to improve access to and quality of intermediate care including community rehab</w:t>
            </w:r>
            <w:r w:rsidR="00203182" w:rsidRPr="00162FAB">
              <w:rPr>
                <w:rFonts w:eastAsiaTheme="minorEastAsia" w:cstheme="minorHAnsi"/>
                <w:sz w:val="20"/>
                <w:szCs w:val="20"/>
              </w:rPr>
              <w:t>.</w:t>
            </w:r>
            <w:r w:rsidRPr="00162FAB">
              <w:rPr>
                <w:rFonts w:eastAsiaTheme="minorEastAsia" w:cstheme="minorHAnsi"/>
                <w:color w:val="444444"/>
                <w:sz w:val="20"/>
                <w:szCs w:val="20"/>
              </w:rPr>
              <w:t xml:space="preserve"> </w:t>
            </w:r>
          </w:p>
        </w:tc>
        <w:tc>
          <w:tcPr>
            <w:tcW w:w="2173" w:type="pct"/>
          </w:tcPr>
          <w:p w14:paraId="36F20D0D"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Supporting the operationalisation of ongoing demand and capacity planning, including through improved use of data to improve access to and quality of intermediate care including community rehab</w:t>
            </w:r>
          </w:p>
        </w:tc>
      </w:tr>
      <w:tr w:rsidR="005619F2" w:rsidRPr="00162FAB" w14:paraId="2E900E5E" w14:textId="77777777" w:rsidTr="003A1138">
        <w:tc>
          <w:tcPr>
            <w:tcW w:w="784" w:type="pct"/>
          </w:tcPr>
          <w:p w14:paraId="0BFE7E70"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Single point of access</w:t>
            </w:r>
          </w:p>
        </w:tc>
        <w:tc>
          <w:tcPr>
            <w:tcW w:w="2044" w:type="pct"/>
          </w:tcPr>
          <w:p w14:paraId="3D4550ED" w14:textId="3B60E209"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Single point of referral for urgent care requirements. Aims to maximised care co-ordination which will facilitate whole system management of patients into the right care setting, with the right clinician/team, at the right time</w:t>
            </w:r>
            <w:r w:rsidRPr="00162FAB">
              <w:rPr>
                <w:rFonts w:eastAsiaTheme="minorEastAsia" w:cstheme="minorHAnsi"/>
                <w:color w:val="444444"/>
                <w:sz w:val="20"/>
                <w:szCs w:val="20"/>
              </w:rPr>
              <w:t xml:space="preserve"> </w:t>
            </w:r>
          </w:p>
        </w:tc>
        <w:tc>
          <w:tcPr>
            <w:tcW w:w="2173" w:type="pct"/>
          </w:tcPr>
          <w:p w14:paraId="273E5D74" w14:textId="77777777" w:rsidR="005619F2" w:rsidRPr="00162FAB" w:rsidRDefault="005619F2" w:rsidP="002A3ED1">
            <w:pPr>
              <w:rPr>
                <w:rFonts w:eastAsiaTheme="minorEastAsia" w:cstheme="minorHAnsi"/>
                <w:sz w:val="20"/>
                <w:szCs w:val="20"/>
              </w:rPr>
            </w:pPr>
            <w:r w:rsidRPr="00162FAB">
              <w:rPr>
                <w:rFonts w:eastAsiaTheme="minorEastAsia" w:cstheme="minorHAnsi"/>
                <w:sz w:val="20"/>
                <w:szCs w:val="20"/>
              </w:rPr>
              <w:t>Driving standardisation of urgent integrated care co-ordination which will facilitate whole system management of patients into the right care setting, with the right clinician/team, at the right time</w:t>
            </w:r>
          </w:p>
        </w:tc>
      </w:tr>
    </w:tbl>
    <w:p w14:paraId="53D9AEFA" w14:textId="63080E57" w:rsidR="00305C15" w:rsidRPr="00F72B22" w:rsidRDefault="007B443A" w:rsidP="007B443A">
      <w:pPr>
        <w:rPr>
          <w:sz w:val="24"/>
          <w:szCs w:val="24"/>
        </w:rPr>
      </w:pPr>
      <w:r>
        <w:rPr>
          <w:sz w:val="24"/>
          <w:szCs w:val="24"/>
        </w:rPr>
        <w:br w:type="page"/>
      </w:r>
    </w:p>
    <w:p w14:paraId="4B2EBDC6" w14:textId="018A8873" w:rsidR="00594856" w:rsidRPr="00C27C69" w:rsidRDefault="001972A5" w:rsidP="00DA7203">
      <w:pPr>
        <w:pStyle w:val="ListParagraph"/>
        <w:numPr>
          <w:ilvl w:val="0"/>
          <w:numId w:val="2"/>
        </w:numPr>
        <w:spacing w:line="240" w:lineRule="auto"/>
        <w:ind w:left="357" w:hanging="357"/>
        <w:rPr>
          <w:b/>
          <w:bCs/>
          <w:color w:val="193E72"/>
          <w:sz w:val="36"/>
          <w:szCs w:val="36"/>
        </w:rPr>
      </w:pPr>
      <w:r w:rsidRPr="00C27C69">
        <w:rPr>
          <w:b/>
          <w:bCs/>
          <w:color w:val="193E72"/>
          <w:sz w:val="36"/>
          <w:szCs w:val="36"/>
        </w:rPr>
        <w:lastRenderedPageBreak/>
        <w:t>Gathering insights</w:t>
      </w:r>
    </w:p>
    <w:p w14:paraId="1A809490" w14:textId="677A90C2" w:rsidR="006B2308" w:rsidRDefault="006B2308" w:rsidP="006B2308">
      <w:pPr>
        <w:spacing w:line="276" w:lineRule="auto"/>
        <w:rPr>
          <w:sz w:val="24"/>
          <w:szCs w:val="24"/>
        </w:rPr>
      </w:pPr>
      <w:r w:rsidRPr="00CB260B">
        <w:rPr>
          <w:sz w:val="24"/>
          <w:szCs w:val="24"/>
        </w:rPr>
        <w:t xml:space="preserve">This was a very rapid formative evaluation designed to inform ongoing learning and to serve as a basis for future policies and evaluations. </w:t>
      </w:r>
      <w:r>
        <w:rPr>
          <w:sz w:val="24"/>
          <w:szCs w:val="24"/>
        </w:rPr>
        <w:t xml:space="preserve">We </w:t>
      </w:r>
      <w:r w:rsidRPr="00CB260B">
        <w:rPr>
          <w:sz w:val="24"/>
          <w:szCs w:val="24"/>
        </w:rPr>
        <w:t>generat</w:t>
      </w:r>
      <w:r>
        <w:rPr>
          <w:sz w:val="24"/>
          <w:szCs w:val="24"/>
        </w:rPr>
        <w:t xml:space="preserve">ed </w:t>
      </w:r>
      <w:r w:rsidRPr="00CB260B">
        <w:rPr>
          <w:sz w:val="24"/>
          <w:szCs w:val="24"/>
        </w:rPr>
        <w:t xml:space="preserve">rapid insights </w:t>
      </w:r>
      <w:r>
        <w:rPr>
          <w:sz w:val="24"/>
          <w:szCs w:val="24"/>
        </w:rPr>
        <w:t xml:space="preserve">on </w:t>
      </w:r>
      <w:r w:rsidRPr="00CB260B">
        <w:rPr>
          <w:sz w:val="24"/>
          <w:szCs w:val="24"/>
        </w:rPr>
        <w:t xml:space="preserve">the practical implications of </w:t>
      </w:r>
      <w:r>
        <w:rPr>
          <w:sz w:val="24"/>
          <w:szCs w:val="24"/>
        </w:rPr>
        <w:t xml:space="preserve">the July 2023 communication, focusing on </w:t>
      </w:r>
      <w:r w:rsidRPr="00EE4255">
        <w:rPr>
          <w:sz w:val="24"/>
          <w:szCs w:val="24"/>
        </w:rPr>
        <w:t>the delivery</w:t>
      </w:r>
      <w:r>
        <w:rPr>
          <w:sz w:val="24"/>
          <w:szCs w:val="24"/>
        </w:rPr>
        <w:t xml:space="preserve"> of</w:t>
      </w:r>
      <w:r w:rsidRPr="00CB260B">
        <w:rPr>
          <w:sz w:val="24"/>
          <w:szCs w:val="24"/>
        </w:rPr>
        <w:t xml:space="preserve"> 10</w:t>
      </w:r>
      <w:r>
        <w:rPr>
          <w:sz w:val="24"/>
          <w:szCs w:val="24"/>
        </w:rPr>
        <w:t xml:space="preserve"> specific</w:t>
      </w:r>
      <w:r w:rsidRPr="00CB260B">
        <w:rPr>
          <w:sz w:val="24"/>
          <w:szCs w:val="24"/>
        </w:rPr>
        <w:t xml:space="preserve"> </w:t>
      </w:r>
      <w:r>
        <w:rPr>
          <w:sz w:val="24"/>
          <w:szCs w:val="24"/>
        </w:rPr>
        <w:t>high-impact initiatives,</w:t>
      </w:r>
      <w:r w:rsidRPr="00CB260B">
        <w:rPr>
          <w:sz w:val="24"/>
          <w:szCs w:val="24"/>
        </w:rPr>
        <w:t xml:space="preserve"> from a range of stakeholder perspectives. </w:t>
      </w:r>
    </w:p>
    <w:p w14:paraId="51D013F4" w14:textId="77777777" w:rsidR="006B2308" w:rsidRPr="00BF2D44" w:rsidRDefault="006B2308" w:rsidP="006B2308">
      <w:pPr>
        <w:pStyle w:val="paragraph"/>
        <w:spacing w:before="0" w:beforeAutospacing="0" w:after="0" w:afterAutospacing="0"/>
        <w:textAlignment w:val="baseline"/>
        <w:rPr>
          <w:rFonts w:ascii="Calibri" w:hAnsi="Calibri" w:cs="Calibri"/>
          <w:szCs w:val="22"/>
        </w:rPr>
      </w:pPr>
      <w:r w:rsidRPr="00BF2D44">
        <w:rPr>
          <w:rStyle w:val="normaltextrun"/>
          <w:rFonts w:ascii="Calibri" w:hAnsi="Calibri" w:cs="Calibri"/>
          <w:szCs w:val="22"/>
        </w:rPr>
        <w:t xml:space="preserve">The evaluation timeframe </w:t>
      </w:r>
      <w:r>
        <w:rPr>
          <w:rStyle w:val="normaltextrun"/>
          <w:rFonts w:ascii="Calibri" w:hAnsi="Calibri" w:cs="Calibri"/>
          <w:szCs w:val="22"/>
        </w:rPr>
        <w:t>precluded</w:t>
      </w:r>
      <w:r w:rsidRPr="00BF2D44">
        <w:rPr>
          <w:rStyle w:val="normaltextrun"/>
          <w:rFonts w:ascii="Calibri" w:hAnsi="Calibri" w:cs="Calibri"/>
          <w:szCs w:val="22"/>
        </w:rPr>
        <w:t xml:space="preserve"> in-depth engagement with </w:t>
      </w:r>
      <w:r>
        <w:rPr>
          <w:rStyle w:val="normaltextrun"/>
          <w:rFonts w:ascii="Calibri" w:hAnsi="Calibri" w:cs="Calibri"/>
          <w:szCs w:val="22"/>
        </w:rPr>
        <w:t>individual Systems and P</w:t>
      </w:r>
      <w:r w:rsidRPr="00BF2D44">
        <w:rPr>
          <w:rStyle w:val="normaltextrun"/>
          <w:rFonts w:ascii="Calibri" w:hAnsi="Calibri" w:cs="Calibri"/>
          <w:szCs w:val="22"/>
        </w:rPr>
        <w:t>rovider</w:t>
      </w:r>
      <w:r>
        <w:rPr>
          <w:rStyle w:val="normaltextrun"/>
          <w:rFonts w:ascii="Calibri" w:hAnsi="Calibri" w:cs="Calibri"/>
          <w:szCs w:val="22"/>
        </w:rPr>
        <w:t>s</w:t>
      </w:r>
      <w:r w:rsidRPr="00BF2D44">
        <w:rPr>
          <w:rStyle w:val="normaltextrun"/>
          <w:rFonts w:ascii="Calibri" w:hAnsi="Calibri" w:cs="Calibri"/>
          <w:szCs w:val="22"/>
        </w:rPr>
        <w:t xml:space="preserve">. Instead, </w:t>
      </w:r>
      <w:r>
        <w:rPr>
          <w:rStyle w:val="normaltextrun"/>
          <w:rFonts w:ascii="Calibri" w:hAnsi="Calibri" w:cs="Calibri"/>
          <w:szCs w:val="22"/>
        </w:rPr>
        <w:t>w</w:t>
      </w:r>
      <w:r w:rsidRPr="00BF2D44">
        <w:rPr>
          <w:rStyle w:val="normaltextrun"/>
          <w:rFonts w:ascii="Calibri" w:hAnsi="Calibri" w:cs="Calibri"/>
          <w:szCs w:val="22"/>
        </w:rPr>
        <w:t>e conducted a high-level online survey, developed in Qualtrics, a University of Manchester I</w:t>
      </w:r>
      <w:r>
        <w:rPr>
          <w:rStyle w:val="normaltextrun"/>
          <w:rFonts w:ascii="Calibri" w:hAnsi="Calibri" w:cs="Calibri"/>
          <w:szCs w:val="22"/>
        </w:rPr>
        <w:t>GO-</w:t>
      </w:r>
      <w:r w:rsidRPr="00BF2D44">
        <w:rPr>
          <w:rStyle w:val="normaltextrun"/>
          <w:rFonts w:ascii="Calibri" w:hAnsi="Calibri" w:cs="Calibri"/>
          <w:szCs w:val="22"/>
        </w:rPr>
        <w:t>approved secur</w:t>
      </w:r>
      <w:r>
        <w:rPr>
          <w:rStyle w:val="normaltextrun"/>
          <w:rFonts w:ascii="Calibri" w:hAnsi="Calibri" w:cs="Calibri"/>
          <w:szCs w:val="22"/>
        </w:rPr>
        <w:t>e web platform. This survey sought</w:t>
      </w:r>
      <w:r w:rsidRPr="00BF2D44">
        <w:rPr>
          <w:rStyle w:val="normaltextrun"/>
          <w:rFonts w:ascii="Calibri" w:hAnsi="Calibri" w:cs="Calibri"/>
          <w:szCs w:val="22"/>
        </w:rPr>
        <w:t xml:space="preserve"> to </w:t>
      </w:r>
      <w:r>
        <w:rPr>
          <w:rStyle w:val="normaltextrun"/>
          <w:rFonts w:ascii="Calibri" w:hAnsi="Calibri" w:cs="Calibri"/>
          <w:szCs w:val="22"/>
        </w:rPr>
        <w:t>capture</w:t>
      </w:r>
      <w:r w:rsidRPr="00BF2D44">
        <w:rPr>
          <w:rStyle w:val="normaltextrun"/>
          <w:rFonts w:ascii="Calibri" w:hAnsi="Calibri" w:cs="Calibri"/>
          <w:szCs w:val="22"/>
        </w:rPr>
        <w:t xml:space="preserve"> information on:</w:t>
      </w:r>
      <w:r w:rsidRPr="00BF2D44">
        <w:rPr>
          <w:rStyle w:val="eop"/>
          <w:rFonts w:ascii="Calibri" w:hAnsi="Calibri" w:cs="Calibri"/>
          <w:szCs w:val="22"/>
        </w:rPr>
        <w:t> </w:t>
      </w:r>
    </w:p>
    <w:p w14:paraId="369A67F6" w14:textId="77777777" w:rsidR="006B2308" w:rsidRDefault="006B2308" w:rsidP="006B2308">
      <w:pPr>
        <w:pStyle w:val="paragraph"/>
        <w:spacing w:before="0" w:beforeAutospacing="0" w:after="0" w:afterAutospacing="0"/>
        <w:textAlignment w:val="baseline"/>
        <w:rPr>
          <w:rFonts w:ascii="Calibri" w:hAnsi="Calibri" w:cs="Calibri"/>
          <w:szCs w:val="22"/>
        </w:rPr>
      </w:pPr>
      <w:r w:rsidRPr="00BF2D44">
        <w:rPr>
          <w:rStyle w:val="eop"/>
          <w:rFonts w:ascii="Calibri" w:hAnsi="Calibri" w:cs="Calibri"/>
          <w:szCs w:val="22"/>
        </w:rPr>
        <w:t> </w:t>
      </w:r>
    </w:p>
    <w:p w14:paraId="5C93068E" w14:textId="39702A85" w:rsidR="006B2308" w:rsidRPr="00BF2D44" w:rsidRDefault="006B2308" w:rsidP="006B2308">
      <w:pPr>
        <w:pStyle w:val="paragraph"/>
        <w:numPr>
          <w:ilvl w:val="0"/>
          <w:numId w:val="7"/>
        </w:numPr>
        <w:spacing w:before="0" w:beforeAutospacing="0" w:after="0" w:afterAutospacing="0"/>
        <w:textAlignment w:val="baseline"/>
        <w:rPr>
          <w:rFonts w:ascii="Calibri" w:hAnsi="Calibri" w:cs="Calibri"/>
          <w:szCs w:val="22"/>
        </w:rPr>
      </w:pPr>
      <w:r w:rsidRPr="00BF2D44">
        <w:rPr>
          <w:rStyle w:val="normaltextrun"/>
          <w:rFonts w:ascii="Calibri" w:hAnsi="Calibri" w:cs="Calibri"/>
          <w:szCs w:val="22"/>
        </w:rPr>
        <w:t xml:space="preserve">What </w:t>
      </w:r>
      <w:r w:rsidR="00DA7203">
        <w:rPr>
          <w:rStyle w:val="normaltextrun"/>
          <w:rFonts w:ascii="Calibri" w:hAnsi="Calibri" w:cs="Calibri"/>
          <w:szCs w:val="22"/>
        </w:rPr>
        <w:t>high-impact</w:t>
      </w:r>
      <w:r w:rsidRPr="00BF2D44">
        <w:rPr>
          <w:rStyle w:val="normaltextrun"/>
          <w:rFonts w:ascii="Calibri" w:hAnsi="Calibri" w:cs="Calibri"/>
          <w:szCs w:val="22"/>
        </w:rPr>
        <w:t xml:space="preserve"> in</w:t>
      </w:r>
      <w:r>
        <w:rPr>
          <w:rStyle w:val="normaltextrun"/>
          <w:rFonts w:ascii="Calibri" w:hAnsi="Calibri" w:cs="Calibri"/>
          <w:szCs w:val="22"/>
        </w:rPr>
        <w:t xml:space="preserve">itiatives </w:t>
      </w:r>
      <w:r w:rsidRPr="00BF2D44">
        <w:rPr>
          <w:rStyle w:val="normaltextrun"/>
          <w:rFonts w:ascii="Calibri" w:hAnsi="Calibri" w:cs="Calibri"/>
          <w:szCs w:val="22"/>
        </w:rPr>
        <w:t xml:space="preserve">are </w:t>
      </w:r>
      <w:r>
        <w:rPr>
          <w:rStyle w:val="normaltextrun"/>
          <w:rFonts w:ascii="Calibri" w:hAnsi="Calibri" w:cs="Calibri"/>
          <w:szCs w:val="22"/>
        </w:rPr>
        <w:t xml:space="preserve">being </w:t>
      </w:r>
      <w:r w:rsidRPr="00BF2D44">
        <w:rPr>
          <w:rStyle w:val="normaltextrun"/>
          <w:rFonts w:ascii="Calibri" w:hAnsi="Calibri" w:cs="Calibri"/>
          <w:szCs w:val="22"/>
        </w:rPr>
        <w:t>delivered locally</w:t>
      </w:r>
    </w:p>
    <w:p w14:paraId="0F6F6CA6" w14:textId="77777777" w:rsidR="006B2308" w:rsidRPr="00BF2D44" w:rsidRDefault="006B2308" w:rsidP="006B2308">
      <w:pPr>
        <w:pStyle w:val="paragraph"/>
        <w:numPr>
          <w:ilvl w:val="0"/>
          <w:numId w:val="7"/>
        </w:numPr>
        <w:spacing w:before="0" w:beforeAutospacing="0" w:after="0" w:afterAutospacing="0"/>
        <w:textAlignment w:val="baseline"/>
        <w:rPr>
          <w:rFonts w:ascii="Calibri" w:hAnsi="Calibri" w:cs="Calibri"/>
          <w:szCs w:val="22"/>
        </w:rPr>
      </w:pPr>
      <w:r w:rsidRPr="00BF2D44">
        <w:rPr>
          <w:rStyle w:val="normaltextrun"/>
          <w:rFonts w:ascii="Calibri" w:hAnsi="Calibri" w:cs="Calibri"/>
          <w:szCs w:val="22"/>
        </w:rPr>
        <w:t>Whether ini</w:t>
      </w:r>
      <w:r>
        <w:rPr>
          <w:rStyle w:val="normaltextrun"/>
          <w:rFonts w:ascii="Calibri" w:hAnsi="Calibri" w:cs="Calibri"/>
          <w:szCs w:val="22"/>
        </w:rPr>
        <w:t xml:space="preserve">tiatives </w:t>
      </w:r>
      <w:r w:rsidRPr="00BF2D44">
        <w:rPr>
          <w:rStyle w:val="normaltextrun"/>
          <w:rFonts w:ascii="Calibri" w:hAnsi="Calibri" w:cs="Calibri"/>
          <w:szCs w:val="22"/>
        </w:rPr>
        <w:t>were new or existed prior to the recovery plan</w:t>
      </w:r>
      <w:r w:rsidRPr="00BF2D44">
        <w:rPr>
          <w:rStyle w:val="eop"/>
          <w:rFonts w:ascii="Calibri" w:hAnsi="Calibri" w:cs="Calibri"/>
          <w:szCs w:val="22"/>
        </w:rPr>
        <w:t> </w:t>
      </w:r>
    </w:p>
    <w:p w14:paraId="40A7E7D5" w14:textId="77777777" w:rsidR="006B2308" w:rsidRPr="00BF2D44" w:rsidRDefault="006B2308" w:rsidP="006B2308">
      <w:pPr>
        <w:pStyle w:val="paragraph"/>
        <w:numPr>
          <w:ilvl w:val="0"/>
          <w:numId w:val="7"/>
        </w:numPr>
        <w:spacing w:before="0" w:beforeAutospacing="0" w:after="0" w:afterAutospacing="0"/>
        <w:textAlignment w:val="baseline"/>
        <w:rPr>
          <w:rFonts w:ascii="Calibri" w:hAnsi="Calibri" w:cs="Calibri"/>
          <w:szCs w:val="22"/>
        </w:rPr>
      </w:pPr>
      <w:r>
        <w:rPr>
          <w:rStyle w:val="normaltextrun"/>
          <w:rFonts w:ascii="Calibri" w:hAnsi="Calibri" w:cs="Calibri"/>
          <w:szCs w:val="22"/>
        </w:rPr>
        <w:lastRenderedPageBreak/>
        <w:t>What</w:t>
      </w:r>
      <w:r w:rsidRPr="00BF2D44">
        <w:rPr>
          <w:rStyle w:val="normaltextrun"/>
          <w:rFonts w:ascii="Calibri" w:hAnsi="Calibri" w:cs="Calibri"/>
          <w:szCs w:val="22"/>
        </w:rPr>
        <w:t xml:space="preserve"> sources of support </w:t>
      </w:r>
      <w:r>
        <w:rPr>
          <w:rStyle w:val="normaltextrun"/>
          <w:rFonts w:ascii="Calibri" w:hAnsi="Calibri" w:cs="Calibri"/>
          <w:szCs w:val="22"/>
        </w:rPr>
        <w:t xml:space="preserve">were </w:t>
      </w:r>
      <w:r w:rsidRPr="00BF2D44">
        <w:rPr>
          <w:rStyle w:val="normaltextrun"/>
          <w:rFonts w:ascii="Calibri" w:hAnsi="Calibri" w:cs="Calibri"/>
          <w:szCs w:val="22"/>
        </w:rPr>
        <w:t>offered and or accessed</w:t>
      </w:r>
      <w:r w:rsidRPr="00BF2D44">
        <w:rPr>
          <w:rStyle w:val="eop"/>
          <w:rFonts w:ascii="Calibri" w:hAnsi="Calibri" w:cs="Calibri"/>
          <w:szCs w:val="22"/>
        </w:rPr>
        <w:t> </w:t>
      </w:r>
    </w:p>
    <w:p w14:paraId="0475B3D2" w14:textId="77777777" w:rsidR="006B2308" w:rsidRPr="00BF2D44" w:rsidRDefault="006B2308" w:rsidP="006B2308">
      <w:pPr>
        <w:pStyle w:val="paragraph"/>
        <w:numPr>
          <w:ilvl w:val="0"/>
          <w:numId w:val="7"/>
        </w:numPr>
        <w:spacing w:before="0" w:beforeAutospacing="0" w:after="0" w:afterAutospacing="0"/>
        <w:textAlignment w:val="baseline"/>
        <w:rPr>
          <w:rFonts w:ascii="Calibri" w:hAnsi="Calibri" w:cs="Calibri"/>
          <w:szCs w:val="22"/>
        </w:rPr>
      </w:pPr>
      <w:r>
        <w:rPr>
          <w:rStyle w:val="normaltextrun"/>
          <w:rFonts w:ascii="Calibri" w:hAnsi="Calibri" w:cs="Calibri"/>
          <w:szCs w:val="22"/>
        </w:rPr>
        <w:t xml:space="preserve">Any barriers and enablers to </w:t>
      </w:r>
      <w:r w:rsidRPr="00BF2D44">
        <w:rPr>
          <w:rStyle w:val="normaltextrun"/>
          <w:rFonts w:ascii="Calibri" w:hAnsi="Calibri" w:cs="Calibri"/>
          <w:szCs w:val="22"/>
        </w:rPr>
        <w:t>deliver</w:t>
      </w:r>
      <w:r>
        <w:rPr>
          <w:rStyle w:val="normaltextrun"/>
          <w:rFonts w:ascii="Calibri" w:hAnsi="Calibri" w:cs="Calibri"/>
          <w:szCs w:val="22"/>
        </w:rPr>
        <w:t>y</w:t>
      </w:r>
      <w:r w:rsidRPr="00BF2D44">
        <w:rPr>
          <w:rStyle w:val="normaltextrun"/>
          <w:rFonts w:ascii="Calibri" w:hAnsi="Calibri" w:cs="Calibri"/>
          <w:szCs w:val="22"/>
        </w:rPr>
        <w:t xml:space="preserve"> </w:t>
      </w:r>
    </w:p>
    <w:p w14:paraId="32801FCF" w14:textId="77777777" w:rsidR="006B2308" w:rsidRPr="00BF2D44" w:rsidRDefault="006B2308" w:rsidP="006B2308">
      <w:pPr>
        <w:pStyle w:val="paragraph"/>
        <w:numPr>
          <w:ilvl w:val="0"/>
          <w:numId w:val="7"/>
        </w:numPr>
        <w:spacing w:before="0" w:beforeAutospacing="0" w:after="0" w:afterAutospacing="0"/>
        <w:textAlignment w:val="baseline"/>
        <w:rPr>
          <w:rFonts w:ascii="Calibri" w:hAnsi="Calibri" w:cs="Calibri"/>
          <w:szCs w:val="22"/>
        </w:rPr>
      </w:pPr>
      <w:r>
        <w:rPr>
          <w:rStyle w:val="normaltextrun"/>
          <w:rFonts w:ascii="Calibri" w:hAnsi="Calibri" w:cs="Calibri"/>
          <w:szCs w:val="22"/>
        </w:rPr>
        <w:t>Whether there we</w:t>
      </w:r>
      <w:r w:rsidRPr="00BF2D44">
        <w:rPr>
          <w:rStyle w:val="normaltextrun"/>
          <w:rFonts w:ascii="Calibri" w:hAnsi="Calibri" w:cs="Calibri"/>
          <w:szCs w:val="22"/>
        </w:rPr>
        <w:t>re any spillover effects or unintended consequences from delivery</w:t>
      </w:r>
      <w:r w:rsidRPr="00BF2D44">
        <w:rPr>
          <w:rStyle w:val="eop"/>
          <w:rFonts w:ascii="Calibri" w:hAnsi="Calibri" w:cs="Calibri"/>
          <w:szCs w:val="22"/>
        </w:rPr>
        <w:t> </w:t>
      </w:r>
    </w:p>
    <w:p w14:paraId="78511B97" w14:textId="77777777" w:rsidR="006B2308" w:rsidRPr="00BF2D44" w:rsidRDefault="006B2308" w:rsidP="006B2308">
      <w:pPr>
        <w:pStyle w:val="paragraph"/>
        <w:numPr>
          <w:ilvl w:val="0"/>
          <w:numId w:val="7"/>
        </w:numPr>
        <w:spacing w:before="0" w:beforeAutospacing="0" w:after="0" w:afterAutospacing="0"/>
        <w:textAlignment w:val="baseline"/>
        <w:rPr>
          <w:rFonts w:ascii="Calibri" w:hAnsi="Calibri" w:cs="Calibri"/>
          <w:szCs w:val="22"/>
        </w:rPr>
      </w:pPr>
      <w:r>
        <w:rPr>
          <w:rStyle w:val="normaltextrun"/>
          <w:rFonts w:ascii="Calibri" w:hAnsi="Calibri" w:cs="Calibri"/>
          <w:szCs w:val="22"/>
        </w:rPr>
        <w:t>Which of the initiatives we</w:t>
      </w:r>
      <w:r w:rsidRPr="00BF2D44">
        <w:rPr>
          <w:rStyle w:val="normaltextrun"/>
          <w:rFonts w:ascii="Calibri" w:hAnsi="Calibri" w:cs="Calibri"/>
          <w:szCs w:val="22"/>
        </w:rPr>
        <w:t>re perceived to have been most impactful</w:t>
      </w:r>
      <w:r w:rsidRPr="00BF2D44">
        <w:rPr>
          <w:rStyle w:val="eop"/>
          <w:rFonts w:ascii="Calibri" w:hAnsi="Calibri" w:cs="Calibri"/>
          <w:szCs w:val="22"/>
        </w:rPr>
        <w:t> </w:t>
      </w:r>
    </w:p>
    <w:p w14:paraId="5A9C766D" w14:textId="77777777" w:rsidR="006B2308" w:rsidRDefault="006B2308" w:rsidP="006B2308">
      <w:pPr>
        <w:pStyle w:val="paragraph"/>
        <w:numPr>
          <w:ilvl w:val="0"/>
          <w:numId w:val="7"/>
        </w:numPr>
        <w:spacing w:before="0" w:beforeAutospacing="0" w:after="0" w:afterAutospacing="0"/>
        <w:textAlignment w:val="baseline"/>
        <w:rPr>
          <w:rStyle w:val="normaltextrun"/>
          <w:rFonts w:ascii="Calibri" w:hAnsi="Calibri" w:cs="Calibri"/>
          <w:szCs w:val="22"/>
        </w:rPr>
      </w:pPr>
      <w:r>
        <w:rPr>
          <w:rStyle w:val="normaltextrun"/>
          <w:rFonts w:ascii="Calibri" w:hAnsi="Calibri" w:cs="Calibri"/>
          <w:szCs w:val="22"/>
        </w:rPr>
        <w:t xml:space="preserve">Whether </w:t>
      </w:r>
      <w:r w:rsidRPr="00BF2D44">
        <w:rPr>
          <w:rStyle w:val="normaltextrun"/>
          <w:rFonts w:ascii="Calibri" w:hAnsi="Calibri" w:cs="Calibri"/>
          <w:szCs w:val="22"/>
        </w:rPr>
        <w:t>respondent</w:t>
      </w:r>
      <w:r>
        <w:rPr>
          <w:rStyle w:val="normaltextrun"/>
          <w:rFonts w:ascii="Calibri" w:hAnsi="Calibri" w:cs="Calibri"/>
          <w:szCs w:val="22"/>
        </w:rPr>
        <w:t>s were</w:t>
      </w:r>
      <w:r w:rsidRPr="00BF2D44">
        <w:rPr>
          <w:rStyle w:val="normaltextrun"/>
          <w:rFonts w:ascii="Calibri" w:hAnsi="Calibri" w:cs="Calibri"/>
          <w:szCs w:val="22"/>
        </w:rPr>
        <w:t xml:space="preserve"> willing to participate in a follow u</w:t>
      </w:r>
      <w:r>
        <w:rPr>
          <w:rStyle w:val="normaltextrun"/>
          <w:rFonts w:ascii="Calibri" w:hAnsi="Calibri" w:cs="Calibri"/>
          <w:szCs w:val="22"/>
        </w:rPr>
        <w:t>p interview</w:t>
      </w:r>
    </w:p>
    <w:p w14:paraId="3F781621" w14:textId="77777777" w:rsidR="006B2308" w:rsidRPr="009F4B56" w:rsidRDefault="006B2308" w:rsidP="006B2308">
      <w:pPr>
        <w:pStyle w:val="paragraph"/>
        <w:spacing w:before="0" w:beforeAutospacing="0" w:after="0" w:afterAutospacing="0"/>
        <w:textAlignment w:val="baseline"/>
        <w:rPr>
          <w:rFonts w:ascii="Calibri" w:hAnsi="Calibri" w:cs="Calibri"/>
          <w:szCs w:val="22"/>
        </w:rPr>
      </w:pPr>
    </w:p>
    <w:p w14:paraId="59271A26" w14:textId="42DB5D3C" w:rsidR="00D53BCB" w:rsidRDefault="006B2308" w:rsidP="006B2308">
      <w:pPr>
        <w:spacing w:line="276" w:lineRule="auto"/>
        <w:rPr>
          <w:sz w:val="24"/>
          <w:szCs w:val="24"/>
        </w:rPr>
      </w:pPr>
      <w:r w:rsidRPr="00CB260B">
        <w:rPr>
          <w:sz w:val="24"/>
          <w:szCs w:val="24"/>
        </w:rPr>
        <w:t xml:space="preserve">The survey </w:t>
      </w:r>
      <w:r>
        <w:rPr>
          <w:sz w:val="24"/>
          <w:szCs w:val="24"/>
        </w:rPr>
        <w:t xml:space="preserve">invite </w:t>
      </w:r>
      <w:proofErr w:type="gramStart"/>
      <w:r w:rsidRPr="00CB260B">
        <w:rPr>
          <w:sz w:val="24"/>
          <w:szCs w:val="24"/>
        </w:rPr>
        <w:t>was circulated</w:t>
      </w:r>
      <w:proofErr w:type="gramEnd"/>
      <w:r w:rsidRPr="00CB260B">
        <w:rPr>
          <w:sz w:val="24"/>
          <w:szCs w:val="24"/>
        </w:rPr>
        <w:t xml:space="preserve"> </w:t>
      </w:r>
      <w:r>
        <w:rPr>
          <w:sz w:val="24"/>
          <w:szCs w:val="24"/>
        </w:rPr>
        <w:t xml:space="preserve">by email by the National UEC Team </w:t>
      </w:r>
      <w:r w:rsidRPr="00CB260B">
        <w:rPr>
          <w:sz w:val="24"/>
          <w:szCs w:val="24"/>
        </w:rPr>
        <w:t xml:space="preserve">to </w:t>
      </w:r>
      <w:r w:rsidRPr="00777520">
        <w:rPr>
          <w:sz w:val="24"/>
          <w:szCs w:val="24"/>
        </w:rPr>
        <w:t xml:space="preserve">Regional </w:t>
      </w:r>
      <w:r>
        <w:rPr>
          <w:sz w:val="24"/>
          <w:szCs w:val="24"/>
        </w:rPr>
        <w:t>Chief Operating Officers, NHS S</w:t>
      </w:r>
      <w:r w:rsidRPr="00CB260B">
        <w:rPr>
          <w:sz w:val="24"/>
          <w:szCs w:val="24"/>
        </w:rPr>
        <w:t>ystems</w:t>
      </w:r>
      <w:r>
        <w:rPr>
          <w:sz w:val="24"/>
          <w:szCs w:val="24"/>
        </w:rPr>
        <w:t xml:space="preserve"> and P</w:t>
      </w:r>
      <w:r w:rsidRPr="00CB260B">
        <w:rPr>
          <w:sz w:val="24"/>
          <w:szCs w:val="24"/>
        </w:rPr>
        <w:t xml:space="preserve">roviders via existing </w:t>
      </w:r>
      <w:r>
        <w:rPr>
          <w:sz w:val="24"/>
          <w:szCs w:val="24"/>
        </w:rPr>
        <w:t xml:space="preserve">NHS England </w:t>
      </w:r>
      <w:r w:rsidRPr="00CB260B">
        <w:rPr>
          <w:sz w:val="24"/>
          <w:szCs w:val="24"/>
        </w:rPr>
        <w:t>channels</w:t>
      </w:r>
      <w:r>
        <w:rPr>
          <w:sz w:val="24"/>
          <w:szCs w:val="24"/>
        </w:rPr>
        <w:t xml:space="preserve"> on the 8</w:t>
      </w:r>
      <w:r w:rsidRPr="0079727F">
        <w:rPr>
          <w:sz w:val="24"/>
          <w:szCs w:val="24"/>
          <w:vertAlign w:val="superscript"/>
        </w:rPr>
        <w:t>th</w:t>
      </w:r>
      <w:r>
        <w:rPr>
          <w:sz w:val="24"/>
          <w:szCs w:val="24"/>
        </w:rPr>
        <w:t xml:space="preserve"> March 2024</w:t>
      </w:r>
      <w:r w:rsidRPr="00CB260B">
        <w:rPr>
          <w:sz w:val="24"/>
          <w:szCs w:val="24"/>
        </w:rPr>
        <w:t xml:space="preserve">. </w:t>
      </w:r>
      <w:r>
        <w:rPr>
          <w:sz w:val="24"/>
          <w:szCs w:val="24"/>
        </w:rPr>
        <w:t xml:space="preserve">A reminder email </w:t>
      </w:r>
      <w:proofErr w:type="gramStart"/>
      <w:r>
        <w:rPr>
          <w:sz w:val="24"/>
          <w:szCs w:val="24"/>
        </w:rPr>
        <w:t>was sent</w:t>
      </w:r>
      <w:proofErr w:type="gramEnd"/>
      <w:r>
        <w:rPr>
          <w:sz w:val="24"/>
          <w:szCs w:val="24"/>
        </w:rPr>
        <w:t xml:space="preserve"> on the 15</w:t>
      </w:r>
      <w:r w:rsidRPr="0079727F">
        <w:rPr>
          <w:sz w:val="24"/>
          <w:szCs w:val="24"/>
          <w:vertAlign w:val="superscript"/>
        </w:rPr>
        <w:t>th</w:t>
      </w:r>
      <w:r>
        <w:rPr>
          <w:sz w:val="24"/>
          <w:szCs w:val="24"/>
        </w:rPr>
        <w:t xml:space="preserve"> March 2024. The </w:t>
      </w:r>
      <w:r w:rsidRPr="00777520">
        <w:rPr>
          <w:sz w:val="24"/>
          <w:szCs w:val="24"/>
        </w:rPr>
        <w:t>Nat</w:t>
      </w:r>
      <w:r>
        <w:rPr>
          <w:sz w:val="24"/>
          <w:szCs w:val="24"/>
        </w:rPr>
        <w:t>ional Clinical Director for UEC</w:t>
      </w:r>
      <w:r w:rsidRPr="00777520">
        <w:rPr>
          <w:sz w:val="24"/>
          <w:szCs w:val="24"/>
        </w:rPr>
        <w:t xml:space="preserve"> </w:t>
      </w:r>
      <w:r>
        <w:rPr>
          <w:sz w:val="24"/>
          <w:szCs w:val="24"/>
        </w:rPr>
        <w:t>also circulated a survey invite to Royal C</w:t>
      </w:r>
      <w:r w:rsidRPr="00777520">
        <w:rPr>
          <w:sz w:val="24"/>
          <w:szCs w:val="24"/>
        </w:rPr>
        <w:t xml:space="preserve">olleges and </w:t>
      </w:r>
      <w:r>
        <w:rPr>
          <w:sz w:val="24"/>
          <w:szCs w:val="24"/>
        </w:rPr>
        <w:t>other Clinical Leads</w:t>
      </w:r>
      <w:r w:rsidRPr="00777520">
        <w:rPr>
          <w:sz w:val="24"/>
          <w:szCs w:val="24"/>
        </w:rPr>
        <w:t xml:space="preserve"> via </w:t>
      </w:r>
      <w:r>
        <w:rPr>
          <w:sz w:val="24"/>
          <w:szCs w:val="24"/>
        </w:rPr>
        <w:t xml:space="preserve">the </w:t>
      </w:r>
      <w:r w:rsidRPr="00777520">
        <w:rPr>
          <w:sz w:val="24"/>
          <w:szCs w:val="24"/>
        </w:rPr>
        <w:t>Clinical Reference Group</w:t>
      </w:r>
      <w:r>
        <w:rPr>
          <w:sz w:val="24"/>
          <w:szCs w:val="24"/>
        </w:rPr>
        <w:t xml:space="preserve"> on 4th April 2024. </w:t>
      </w:r>
      <w:r w:rsidR="004B5F51">
        <w:rPr>
          <w:sz w:val="24"/>
          <w:szCs w:val="24"/>
        </w:rPr>
        <w:t xml:space="preserve">A summary of the evaluation timelines is presented in Figure 1. </w:t>
      </w:r>
      <w:r w:rsidRPr="00CB260B">
        <w:rPr>
          <w:sz w:val="24"/>
          <w:szCs w:val="24"/>
        </w:rPr>
        <w:t xml:space="preserve">The survey was open between </w:t>
      </w:r>
      <w:r>
        <w:rPr>
          <w:sz w:val="24"/>
          <w:szCs w:val="24"/>
        </w:rPr>
        <w:t>11</w:t>
      </w:r>
      <w:r w:rsidRPr="00777520">
        <w:rPr>
          <w:sz w:val="24"/>
          <w:szCs w:val="24"/>
        </w:rPr>
        <w:t>th March and 19th of April 2024</w:t>
      </w:r>
      <w:r w:rsidRPr="00CB260B">
        <w:rPr>
          <w:sz w:val="24"/>
          <w:szCs w:val="24"/>
        </w:rPr>
        <w:t xml:space="preserve">, </w:t>
      </w:r>
      <w:r w:rsidRPr="00CB260B">
        <w:rPr>
          <w:sz w:val="24"/>
          <w:szCs w:val="24"/>
        </w:rPr>
        <w:lastRenderedPageBreak/>
        <w:t xml:space="preserve">and there were </w:t>
      </w:r>
      <w:r w:rsidRPr="008D2294">
        <w:rPr>
          <w:sz w:val="24"/>
          <w:szCs w:val="24"/>
        </w:rPr>
        <w:t>127</w:t>
      </w:r>
      <w:r w:rsidRPr="00CB260B">
        <w:rPr>
          <w:sz w:val="24"/>
          <w:szCs w:val="24"/>
        </w:rPr>
        <w:t xml:space="preserve"> respondents. </w:t>
      </w:r>
      <w:r w:rsidR="00D61CB4">
        <w:rPr>
          <w:sz w:val="24"/>
          <w:szCs w:val="24"/>
        </w:rPr>
        <w:t xml:space="preserve">Table 2 presents response rates by NHS Region. </w:t>
      </w:r>
      <w:r>
        <w:rPr>
          <w:sz w:val="24"/>
          <w:szCs w:val="24"/>
        </w:rPr>
        <w:t>We summarise</w:t>
      </w:r>
      <w:r w:rsidR="00CB2522">
        <w:rPr>
          <w:sz w:val="24"/>
          <w:szCs w:val="24"/>
        </w:rPr>
        <w:t>d</w:t>
      </w:r>
      <w:r>
        <w:rPr>
          <w:sz w:val="24"/>
          <w:szCs w:val="24"/>
        </w:rPr>
        <w:t xml:space="preserve"> data from the </w:t>
      </w:r>
      <w:r w:rsidRPr="00CB260B">
        <w:rPr>
          <w:sz w:val="24"/>
          <w:szCs w:val="24"/>
        </w:rPr>
        <w:t>survey</w:t>
      </w:r>
      <w:r>
        <w:rPr>
          <w:sz w:val="24"/>
          <w:szCs w:val="24"/>
        </w:rPr>
        <w:t xml:space="preserve"> with descriptive statistics</w:t>
      </w:r>
      <w:r w:rsidRPr="00CB260B">
        <w:rPr>
          <w:sz w:val="24"/>
          <w:szCs w:val="24"/>
        </w:rPr>
        <w:t xml:space="preserve">. </w:t>
      </w:r>
      <w:r w:rsidR="00D53BCB">
        <w:rPr>
          <w:sz w:val="24"/>
          <w:szCs w:val="24"/>
        </w:rPr>
        <w:t xml:space="preserve"> </w:t>
      </w:r>
    </w:p>
    <w:p w14:paraId="693F7E3A" w14:textId="77777777" w:rsidR="00D61CB4" w:rsidRPr="00226540" w:rsidRDefault="00D61CB4" w:rsidP="00D61CB4">
      <w:pPr>
        <w:spacing w:line="276" w:lineRule="auto"/>
        <w:rPr>
          <w:b/>
          <w:i/>
          <w:sz w:val="20"/>
          <w:szCs w:val="20"/>
        </w:rPr>
      </w:pPr>
      <w:r w:rsidRPr="00226540">
        <w:rPr>
          <w:b/>
          <w:i/>
          <w:sz w:val="20"/>
          <w:szCs w:val="20"/>
        </w:rPr>
        <w:t>Table 2: Survey responses by NHS Region</w:t>
      </w:r>
    </w:p>
    <w:tbl>
      <w:tblPr>
        <w:tblW w:w="3737" w:type="pct"/>
        <w:tblInd w:w="-5" w:type="dxa"/>
        <w:tblCellMar>
          <w:left w:w="0" w:type="dxa"/>
          <w:right w:w="0" w:type="dxa"/>
        </w:tblCellMar>
        <w:tblLook w:val="04A0" w:firstRow="1" w:lastRow="0" w:firstColumn="1" w:lastColumn="0" w:noHBand="0" w:noVBand="1"/>
      </w:tblPr>
      <w:tblGrid>
        <w:gridCol w:w="4658"/>
        <w:gridCol w:w="2081"/>
      </w:tblGrid>
      <w:tr w:rsidR="00D61CB4" w:rsidRPr="00B82DEC" w14:paraId="16D45E94" w14:textId="77777777" w:rsidTr="0053692E">
        <w:trPr>
          <w:trHeight w:val="507"/>
        </w:trPr>
        <w:tc>
          <w:tcPr>
            <w:tcW w:w="3456" w:type="pct"/>
            <w:tcBorders>
              <w:top w:val="single" w:sz="4" w:space="0" w:color="auto"/>
              <w:left w:val="single" w:sz="4" w:space="0" w:color="auto"/>
              <w:bottom w:val="single" w:sz="4" w:space="0" w:color="auto"/>
              <w:right w:val="single" w:sz="8" w:space="0" w:color="000000"/>
            </w:tcBorders>
            <w:shd w:val="clear" w:color="auto" w:fill="E7E7E7"/>
            <w:tcMar>
              <w:top w:w="15" w:type="dxa"/>
              <w:left w:w="24" w:type="dxa"/>
              <w:bottom w:w="0" w:type="dxa"/>
              <w:right w:w="24" w:type="dxa"/>
            </w:tcMar>
            <w:vAlign w:val="center"/>
          </w:tcPr>
          <w:p w14:paraId="43DA62E4" w14:textId="77777777" w:rsidR="00D61CB4" w:rsidRPr="00995F51" w:rsidRDefault="00D61CB4" w:rsidP="0053692E">
            <w:pPr>
              <w:spacing w:after="60" w:line="240" w:lineRule="auto"/>
              <w:rPr>
                <w:b/>
                <w:bCs/>
                <w:sz w:val="20"/>
              </w:rPr>
            </w:pPr>
            <w:r w:rsidRPr="00995F51">
              <w:rPr>
                <w:b/>
                <w:bCs/>
                <w:sz w:val="20"/>
              </w:rPr>
              <w:t>Survey responses by NHS Region</w:t>
            </w:r>
          </w:p>
        </w:tc>
        <w:tc>
          <w:tcPr>
            <w:tcW w:w="1544" w:type="pct"/>
            <w:tcBorders>
              <w:top w:val="single" w:sz="4" w:space="0" w:color="auto"/>
              <w:left w:val="single" w:sz="8" w:space="0" w:color="000000"/>
              <w:bottom w:val="single" w:sz="4" w:space="0" w:color="auto"/>
              <w:right w:val="single" w:sz="4" w:space="0" w:color="auto"/>
            </w:tcBorders>
            <w:shd w:val="clear" w:color="auto" w:fill="E7E7E7"/>
            <w:tcMar>
              <w:top w:w="15" w:type="dxa"/>
              <w:left w:w="24" w:type="dxa"/>
              <w:bottom w:w="0" w:type="dxa"/>
              <w:right w:w="24" w:type="dxa"/>
            </w:tcMar>
            <w:vAlign w:val="center"/>
          </w:tcPr>
          <w:p w14:paraId="2C10AD48" w14:textId="77777777" w:rsidR="00D61CB4" w:rsidRPr="00995F51" w:rsidRDefault="00D61CB4" w:rsidP="0053692E">
            <w:pPr>
              <w:spacing w:after="60" w:line="240" w:lineRule="auto"/>
              <w:jc w:val="right"/>
              <w:rPr>
                <w:sz w:val="20"/>
              </w:rPr>
            </w:pPr>
            <w:r w:rsidRPr="00995F51">
              <w:rPr>
                <w:sz w:val="20"/>
              </w:rPr>
              <w:t>n (%)</w:t>
            </w:r>
          </w:p>
        </w:tc>
      </w:tr>
      <w:tr w:rsidR="00D61CB4" w:rsidRPr="00B82DEC" w14:paraId="0920B256" w14:textId="77777777" w:rsidTr="0053692E">
        <w:trPr>
          <w:trHeight w:val="246"/>
        </w:trPr>
        <w:tc>
          <w:tcPr>
            <w:tcW w:w="3456" w:type="pct"/>
            <w:tcBorders>
              <w:top w:val="single" w:sz="4" w:space="0" w:color="auto"/>
              <w:left w:val="single" w:sz="8" w:space="0" w:color="000000"/>
              <w:bottom w:val="nil"/>
              <w:right w:val="single" w:sz="8" w:space="0" w:color="000000"/>
            </w:tcBorders>
            <w:shd w:val="clear" w:color="auto" w:fill="auto"/>
            <w:tcMar>
              <w:top w:w="15" w:type="dxa"/>
              <w:left w:w="24" w:type="dxa"/>
              <w:bottom w:w="0" w:type="dxa"/>
              <w:right w:w="24" w:type="dxa"/>
            </w:tcMar>
            <w:vAlign w:val="center"/>
            <w:hideMark/>
          </w:tcPr>
          <w:p w14:paraId="6C3D08D0" w14:textId="77777777" w:rsidR="00D61CB4" w:rsidRPr="00995F51" w:rsidRDefault="00D61CB4" w:rsidP="0053692E">
            <w:pPr>
              <w:spacing w:after="60" w:line="240" w:lineRule="auto"/>
              <w:rPr>
                <w:sz w:val="20"/>
              </w:rPr>
            </w:pPr>
            <w:r w:rsidRPr="00995F51">
              <w:rPr>
                <w:b/>
                <w:bCs/>
                <w:sz w:val="20"/>
              </w:rPr>
              <w:t>East of England</w:t>
            </w:r>
          </w:p>
        </w:tc>
        <w:tc>
          <w:tcPr>
            <w:tcW w:w="1544" w:type="pct"/>
            <w:tcBorders>
              <w:top w:val="single" w:sz="4" w:space="0" w:color="auto"/>
              <w:left w:val="single" w:sz="8" w:space="0" w:color="000000"/>
              <w:bottom w:val="nil"/>
              <w:right w:val="single" w:sz="8" w:space="0" w:color="000000"/>
            </w:tcBorders>
            <w:shd w:val="clear" w:color="auto" w:fill="auto"/>
            <w:tcMar>
              <w:top w:w="15" w:type="dxa"/>
              <w:left w:w="24" w:type="dxa"/>
              <w:bottom w:w="0" w:type="dxa"/>
              <w:right w:w="24" w:type="dxa"/>
            </w:tcMar>
            <w:vAlign w:val="center"/>
            <w:hideMark/>
          </w:tcPr>
          <w:p w14:paraId="7C88047A" w14:textId="77777777" w:rsidR="00D61CB4" w:rsidRPr="00995F51" w:rsidRDefault="00D61CB4" w:rsidP="0053692E">
            <w:pPr>
              <w:spacing w:after="60" w:line="240" w:lineRule="auto"/>
              <w:jc w:val="right"/>
              <w:rPr>
                <w:sz w:val="20"/>
              </w:rPr>
            </w:pPr>
            <w:r w:rsidRPr="00995F51">
              <w:rPr>
                <w:sz w:val="20"/>
              </w:rPr>
              <w:t>17 (13.4)</w:t>
            </w:r>
          </w:p>
        </w:tc>
      </w:tr>
      <w:tr w:rsidR="00D61CB4" w:rsidRPr="00B82DEC" w14:paraId="6F476887" w14:textId="77777777" w:rsidTr="0053692E">
        <w:trPr>
          <w:trHeight w:val="54"/>
        </w:trPr>
        <w:tc>
          <w:tcPr>
            <w:tcW w:w="3456" w:type="pct"/>
            <w:tcBorders>
              <w:top w:val="nil"/>
              <w:left w:val="single" w:sz="8" w:space="0" w:color="000000"/>
              <w:bottom w:val="nil"/>
              <w:right w:val="single" w:sz="8" w:space="0" w:color="000000"/>
            </w:tcBorders>
            <w:shd w:val="clear" w:color="auto" w:fill="E7E7E7"/>
            <w:tcMar>
              <w:top w:w="15" w:type="dxa"/>
              <w:left w:w="24" w:type="dxa"/>
              <w:bottom w:w="0" w:type="dxa"/>
              <w:right w:w="24" w:type="dxa"/>
            </w:tcMar>
            <w:vAlign w:val="center"/>
            <w:hideMark/>
          </w:tcPr>
          <w:p w14:paraId="46664404" w14:textId="77777777" w:rsidR="00D61CB4" w:rsidRPr="00995F51" w:rsidRDefault="00D61CB4" w:rsidP="0053692E">
            <w:pPr>
              <w:spacing w:after="60" w:line="240" w:lineRule="auto"/>
              <w:rPr>
                <w:sz w:val="20"/>
              </w:rPr>
            </w:pPr>
            <w:r w:rsidRPr="00995F51">
              <w:rPr>
                <w:b/>
                <w:bCs/>
                <w:sz w:val="20"/>
              </w:rPr>
              <w:t xml:space="preserve">London </w:t>
            </w:r>
          </w:p>
        </w:tc>
        <w:tc>
          <w:tcPr>
            <w:tcW w:w="1544" w:type="pct"/>
            <w:tcBorders>
              <w:top w:val="nil"/>
              <w:left w:val="single" w:sz="8" w:space="0" w:color="000000"/>
              <w:bottom w:val="nil"/>
              <w:right w:val="single" w:sz="8" w:space="0" w:color="000000"/>
            </w:tcBorders>
            <w:shd w:val="clear" w:color="auto" w:fill="E7E7E7"/>
            <w:tcMar>
              <w:top w:w="15" w:type="dxa"/>
              <w:left w:w="24" w:type="dxa"/>
              <w:bottom w:w="0" w:type="dxa"/>
              <w:right w:w="24" w:type="dxa"/>
            </w:tcMar>
            <w:vAlign w:val="center"/>
            <w:hideMark/>
          </w:tcPr>
          <w:p w14:paraId="5C4C1ED3" w14:textId="77777777" w:rsidR="00D61CB4" w:rsidRPr="00995F51" w:rsidRDefault="00D61CB4" w:rsidP="0053692E">
            <w:pPr>
              <w:spacing w:after="60" w:line="240" w:lineRule="auto"/>
              <w:jc w:val="right"/>
              <w:rPr>
                <w:sz w:val="20"/>
              </w:rPr>
            </w:pPr>
            <w:r w:rsidRPr="00995F51">
              <w:rPr>
                <w:sz w:val="20"/>
              </w:rPr>
              <w:t>21 (16.5)</w:t>
            </w:r>
          </w:p>
        </w:tc>
      </w:tr>
      <w:tr w:rsidR="00D61CB4" w:rsidRPr="00B82DEC" w14:paraId="48307F3B" w14:textId="77777777" w:rsidTr="0053692E">
        <w:trPr>
          <w:trHeight w:val="36"/>
        </w:trPr>
        <w:tc>
          <w:tcPr>
            <w:tcW w:w="3456" w:type="pct"/>
            <w:tcBorders>
              <w:top w:val="nil"/>
              <w:left w:val="single" w:sz="8" w:space="0" w:color="000000"/>
              <w:bottom w:val="nil"/>
              <w:right w:val="single" w:sz="8" w:space="0" w:color="000000"/>
            </w:tcBorders>
            <w:shd w:val="clear" w:color="auto" w:fill="auto"/>
            <w:tcMar>
              <w:top w:w="15" w:type="dxa"/>
              <w:left w:w="24" w:type="dxa"/>
              <w:bottom w:w="0" w:type="dxa"/>
              <w:right w:w="24" w:type="dxa"/>
            </w:tcMar>
            <w:vAlign w:val="center"/>
            <w:hideMark/>
          </w:tcPr>
          <w:p w14:paraId="2182081E" w14:textId="77777777" w:rsidR="00D61CB4" w:rsidRPr="00995F51" w:rsidRDefault="00D61CB4" w:rsidP="0053692E">
            <w:pPr>
              <w:spacing w:after="60" w:line="240" w:lineRule="auto"/>
              <w:rPr>
                <w:sz w:val="20"/>
              </w:rPr>
            </w:pPr>
            <w:r w:rsidRPr="00995F51">
              <w:rPr>
                <w:b/>
                <w:bCs/>
                <w:sz w:val="20"/>
              </w:rPr>
              <w:t>Midlands</w:t>
            </w:r>
          </w:p>
        </w:tc>
        <w:tc>
          <w:tcPr>
            <w:tcW w:w="1544" w:type="pct"/>
            <w:tcBorders>
              <w:top w:val="nil"/>
              <w:left w:val="single" w:sz="8" w:space="0" w:color="000000"/>
              <w:bottom w:val="nil"/>
              <w:right w:val="single" w:sz="8" w:space="0" w:color="000000"/>
            </w:tcBorders>
            <w:shd w:val="clear" w:color="auto" w:fill="auto"/>
            <w:tcMar>
              <w:top w:w="15" w:type="dxa"/>
              <w:left w:w="24" w:type="dxa"/>
              <w:bottom w:w="0" w:type="dxa"/>
              <w:right w:w="24" w:type="dxa"/>
            </w:tcMar>
            <w:vAlign w:val="center"/>
            <w:hideMark/>
          </w:tcPr>
          <w:p w14:paraId="147E3128" w14:textId="77777777" w:rsidR="00D61CB4" w:rsidRPr="00995F51" w:rsidRDefault="00D61CB4" w:rsidP="0053692E">
            <w:pPr>
              <w:spacing w:after="60" w:line="240" w:lineRule="auto"/>
              <w:jc w:val="right"/>
              <w:rPr>
                <w:sz w:val="20"/>
              </w:rPr>
            </w:pPr>
            <w:r w:rsidRPr="00995F51">
              <w:rPr>
                <w:sz w:val="20"/>
              </w:rPr>
              <w:t>22 (17.3)</w:t>
            </w:r>
          </w:p>
        </w:tc>
      </w:tr>
      <w:tr w:rsidR="00D61CB4" w:rsidRPr="00B82DEC" w14:paraId="72E4373F" w14:textId="77777777" w:rsidTr="0053692E">
        <w:trPr>
          <w:trHeight w:val="267"/>
        </w:trPr>
        <w:tc>
          <w:tcPr>
            <w:tcW w:w="3456" w:type="pct"/>
            <w:tcBorders>
              <w:top w:val="nil"/>
              <w:left w:val="single" w:sz="8" w:space="0" w:color="000000"/>
              <w:bottom w:val="nil"/>
              <w:right w:val="single" w:sz="8" w:space="0" w:color="000000"/>
            </w:tcBorders>
            <w:shd w:val="clear" w:color="auto" w:fill="E7E7E7"/>
            <w:tcMar>
              <w:top w:w="15" w:type="dxa"/>
              <w:left w:w="24" w:type="dxa"/>
              <w:bottom w:w="0" w:type="dxa"/>
              <w:right w:w="24" w:type="dxa"/>
            </w:tcMar>
            <w:vAlign w:val="center"/>
            <w:hideMark/>
          </w:tcPr>
          <w:p w14:paraId="078DE104" w14:textId="77777777" w:rsidR="00D61CB4" w:rsidRPr="00995F51" w:rsidRDefault="00D61CB4" w:rsidP="0053692E">
            <w:pPr>
              <w:spacing w:after="60" w:line="240" w:lineRule="auto"/>
              <w:rPr>
                <w:sz w:val="20"/>
              </w:rPr>
            </w:pPr>
            <w:r w:rsidRPr="00995F51">
              <w:rPr>
                <w:b/>
                <w:bCs/>
                <w:sz w:val="20"/>
              </w:rPr>
              <w:t>North East and Yorkshire</w:t>
            </w:r>
          </w:p>
        </w:tc>
        <w:tc>
          <w:tcPr>
            <w:tcW w:w="1544" w:type="pct"/>
            <w:tcBorders>
              <w:top w:val="nil"/>
              <w:left w:val="single" w:sz="8" w:space="0" w:color="000000"/>
              <w:bottom w:val="nil"/>
              <w:right w:val="single" w:sz="8" w:space="0" w:color="000000"/>
            </w:tcBorders>
            <w:shd w:val="clear" w:color="auto" w:fill="E7E7E7"/>
            <w:tcMar>
              <w:top w:w="15" w:type="dxa"/>
              <w:left w:w="24" w:type="dxa"/>
              <w:bottom w:w="0" w:type="dxa"/>
              <w:right w:w="24" w:type="dxa"/>
            </w:tcMar>
            <w:vAlign w:val="center"/>
            <w:hideMark/>
          </w:tcPr>
          <w:p w14:paraId="68FDFD1D" w14:textId="77777777" w:rsidR="00D61CB4" w:rsidRPr="00995F51" w:rsidRDefault="00D61CB4" w:rsidP="0053692E">
            <w:pPr>
              <w:spacing w:after="60" w:line="240" w:lineRule="auto"/>
              <w:jc w:val="right"/>
              <w:rPr>
                <w:sz w:val="20"/>
              </w:rPr>
            </w:pPr>
            <w:r w:rsidRPr="00995F51">
              <w:rPr>
                <w:sz w:val="20"/>
              </w:rPr>
              <w:t>16 (12.6)</w:t>
            </w:r>
          </w:p>
        </w:tc>
      </w:tr>
      <w:tr w:rsidR="00D61CB4" w:rsidRPr="00B82DEC" w14:paraId="250F0FA6" w14:textId="77777777" w:rsidTr="0053692E">
        <w:trPr>
          <w:trHeight w:val="258"/>
        </w:trPr>
        <w:tc>
          <w:tcPr>
            <w:tcW w:w="3456" w:type="pct"/>
            <w:tcBorders>
              <w:top w:val="nil"/>
              <w:left w:val="single" w:sz="8" w:space="0" w:color="000000"/>
              <w:bottom w:val="nil"/>
              <w:right w:val="single" w:sz="8" w:space="0" w:color="000000"/>
            </w:tcBorders>
            <w:shd w:val="clear" w:color="auto" w:fill="auto"/>
            <w:tcMar>
              <w:top w:w="15" w:type="dxa"/>
              <w:left w:w="24" w:type="dxa"/>
              <w:bottom w:w="0" w:type="dxa"/>
              <w:right w:w="24" w:type="dxa"/>
            </w:tcMar>
            <w:vAlign w:val="center"/>
            <w:hideMark/>
          </w:tcPr>
          <w:p w14:paraId="38285370" w14:textId="77777777" w:rsidR="00D61CB4" w:rsidRPr="00995F51" w:rsidRDefault="00D61CB4" w:rsidP="0053692E">
            <w:pPr>
              <w:spacing w:after="60" w:line="240" w:lineRule="auto"/>
              <w:rPr>
                <w:sz w:val="20"/>
              </w:rPr>
            </w:pPr>
            <w:r w:rsidRPr="00995F51">
              <w:rPr>
                <w:b/>
                <w:bCs/>
                <w:sz w:val="20"/>
              </w:rPr>
              <w:t>North West</w:t>
            </w:r>
          </w:p>
        </w:tc>
        <w:tc>
          <w:tcPr>
            <w:tcW w:w="1544" w:type="pct"/>
            <w:tcBorders>
              <w:top w:val="nil"/>
              <w:left w:val="single" w:sz="8" w:space="0" w:color="000000"/>
              <w:bottom w:val="nil"/>
              <w:right w:val="single" w:sz="8" w:space="0" w:color="000000"/>
            </w:tcBorders>
            <w:shd w:val="clear" w:color="auto" w:fill="auto"/>
            <w:tcMar>
              <w:top w:w="15" w:type="dxa"/>
              <w:left w:w="24" w:type="dxa"/>
              <w:bottom w:w="0" w:type="dxa"/>
              <w:right w:w="24" w:type="dxa"/>
            </w:tcMar>
            <w:vAlign w:val="center"/>
            <w:hideMark/>
          </w:tcPr>
          <w:p w14:paraId="7E15CAB9" w14:textId="77777777" w:rsidR="00D61CB4" w:rsidRPr="00995F51" w:rsidRDefault="00D61CB4" w:rsidP="0053692E">
            <w:pPr>
              <w:spacing w:after="60" w:line="240" w:lineRule="auto"/>
              <w:jc w:val="right"/>
              <w:rPr>
                <w:sz w:val="20"/>
              </w:rPr>
            </w:pPr>
            <w:r w:rsidRPr="00995F51">
              <w:rPr>
                <w:sz w:val="20"/>
              </w:rPr>
              <w:t>27 (21.3)</w:t>
            </w:r>
          </w:p>
        </w:tc>
      </w:tr>
      <w:tr w:rsidR="00D61CB4" w:rsidRPr="00B82DEC" w14:paraId="372D7099" w14:textId="77777777" w:rsidTr="0053692E">
        <w:trPr>
          <w:trHeight w:val="275"/>
        </w:trPr>
        <w:tc>
          <w:tcPr>
            <w:tcW w:w="3456" w:type="pct"/>
            <w:tcBorders>
              <w:top w:val="nil"/>
              <w:left w:val="single" w:sz="8" w:space="0" w:color="000000"/>
              <w:bottom w:val="nil"/>
              <w:right w:val="single" w:sz="8" w:space="0" w:color="000000"/>
            </w:tcBorders>
            <w:shd w:val="clear" w:color="auto" w:fill="E7E7E7"/>
            <w:tcMar>
              <w:top w:w="15" w:type="dxa"/>
              <w:left w:w="24" w:type="dxa"/>
              <w:bottom w:w="0" w:type="dxa"/>
              <w:right w:w="24" w:type="dxa"/>
            </w:tcMar>
            <w:vAlign w:val="center"/>
            <w:hideMark/>
          </w:tcPr>
          <w:p w14:paraId="4DD81145" w14:textId="77777777" w:rsidR="00D61CB4" w:rsidRPr="00995F51" w:rsidRDefault="00D61CB4" w:rsidP="0053692E">
            <w:pPr>
              <w:spacing w:after="60" w:line="240" w:lineRule="auto"/>
              <w:rPr>
                <w:sz w:val="20"/>
              </w:rPr>
            </w:pPr>
            <w:r w:rsidRPr="00995F51">
              <w:rPr>
                <w:b/>
                <w:bCs/>
                <w:sz w:val="20"/>
              </w:rPr>
              <w:t>South East</w:t>
            </w:r>
          </w:p>
        </w:tc>
        <w:tc>
          <w:tcPr>
            <w:tcW w:w="1544" w:type="pct"/>
            <w:tcBorders>
              <w:top w:val="nil"/>
              <w:left w:val="single" w:sz="8" w:space="0" w:color="000000"/>
              <w:bottom w:val="nil"/>
              <w:right w:val="single" w:sz="8" w:space="0" w:color="000000"/>
            </w:tcBorders>
            <w:shd w:val="clear" w:color="auto" w:fill="E7E7E7"/>
            <w:tcMar>
              <w:top w:w="15" w:type="dxa"/>
              <w:left w:w="24" w:type="dxa"/>
              <w:bottom w:w="0" w:type="dxa"/>
              <w:right w:w="24" w:type="dxa"/>
            </w:tcMar>
            <w:vAlign w:val="center"/>
            <w:hideMark/>
          </w:tcPr>
          <w:p w14:paraId="751B6638" w14:textId="77777777" w:rsidR="00D61CB4" w:rsidRPr="00995F51" w:rsidRDefault="00D61CB4" w:rsidP="0053692E">
            <w:pPr>
              <w:spacing w:after="60" w:line="240" w:lineRule="auto"/>
              <w:jc w:val="right"/>
              <w:rPr>
                <w:sz w:val="20"/>
              </w:rPr>
            </w:pPr>
            <w:r w:rsidRPr="00995F51">
              <w:rPr>
                <w:sz w:val="20"/>
              </w:rPr>
              <w:t>16 (12.6)</w:t>
            </w:r>
          </w:p>
        </w:tc>
      </w:tr>
      <w:tr w:rsidR="00D61CB4" w:rsidRPr="00B82DEC" w14:paraId="7D781CF3" w14:textId="77777777" w:rsidTr="0053692E">
        <w:trPr>
          <w:trHeight w:val="266"/>
        </w:trPr>
        <w:tc>
          <w:tcPr>
            <w:tcW w:w="3456" w:type="pct"/>
            <w:tcBorders>
              <w:top w:val="nil"/>
              <w:left w:val="single" w:sz="8" w:space="0" w:color="000000"/>
              <w:bottom w:val="single" w:sz="4" w:space="0" w:color="auto"/>
              <w:right w:val="single" w:sz="8" w:space="0" w:color="000000"/>
            </w:tcBorders>
            <w:shd w:val="clear" w:color="auto" w:fill="auto"/>
            <w:tcMar>
              <w:top w:w="15" w:type="dxa"/>
              <w:left w:w="24" w:type="dxa"/>
              <w:bottom w:w="0" w:type="dxa"/>
              <w:right w:w="24" w:type="dxa"/>
            </w:tcMar>
            <w:vAlign w:val="center"/>
            <w:hideMark/>
          </w:tcPr>
          <w:p w14:paraId="654579F7" w14:textId="77777777" w:rsidR="00D61CB4" w:rsidRPr="00995F51" w:rsidRDefault="00D61CB4" w:rsidP="0053692E">
            <w:pPr>
              <w:spacing w:after="60" w:line="240" w:lineRule="auto"/>
              <w:rPr>
                <w:sz w:val="20"/>
              </w:rPr>
            </w:pPr>
            <w:r w:rsidRPr="00995F51">
              <w:rPr>
                <w:b/>
                <w:bCs/>
                <w:sz w:val="20"/>
              </w:rPr>
              <w:t xml:space="preserve">South West </w:t>
            </w:r>
          </w:p>
        </w:tc>
        <w:tc>
          <w:tcPr>
            <w:tcW w:w="1544" w:type="pct"/>
            <w:tcBorders>
              <w:top w:val="nil"/>
              <w:left w:val="single" w:sz="8" w:space="0" w:color="000000"/>
              <w:bottom w:val="single" w:sz="4" w:space="0" w:color="auto"/>
              <w:right w:val="single" w:sz="8" w:space="0" w:color="000000"/>
            </w:tcBorders>
            <w:shd w:val="clear" w:color="auto" w:fill="auto"/>
            <w:tcMar>
              <w:top w:w="15" w:type="dxa"/>
              <w:left w:w="24" w:type="dxa"/>
              <w:bottom w:w="0" w:type="dxa"/>
              <w:right w:w="24" w:type="dxa"/>
            </w:tcMar>
            <w:vAlign w:val="center"/>
            <w:hideMark/>
          </w:tcPr>
          <w:p w14:paraId="3564F783" w14:textId="77777777" w:rsidR="00D61CB4" w:rsidRPr="00995F51" w:rsidRDefault="00D61CB4" w:rsidP="0053692E">
            <w:pPr>
              <w:spacing w:after="60" w:line="240" w:lineRule="auto"/>
              <w:jc w:val="right"/>
              <w:rPr>
                <w:sz w:val="20"/>
              </w:rPr>
            </w:pPr>
            <w:r w:rsidRPr="00995F51">
              <w:rPr>
                <w:sz w:val="20"/>
              </w:rPr>
              <w:t>8 (6.3)</w:t>
            </w:r>
          </w:p>
        </w:tc>
      </w:tr>
      <w:tr w:rsidR="00D61CB4" w:rsidRPr="00B82DEC" w14:paraId="5761768C" w14:textId="77777777" w:rsidTr="0053692E">
        <w:trPr>
          <w:trHeight w:val="256"/>
        </w:trPr>
        <w:tc>
          <w:tcPr>
            <w:tcW w:w="3456" w:type="pct"/>
            <w:tcBorders>
              <w:top w:val="single" w:sz="4" w:space="0" w:color="auto"/>
              <w:left w:val="single" w:sz="8" w:space="0" w:color="000000"/>
              <w:bottom w:val="single" w:sz="4" w:space="0" w:color="auto"/>
              <w:right w:val="single" w:sz="8" w:space="0" w:color="000000"/>
            </w:tcBorders>
            <w:shd w:val="clear" w:color="auto" w:fill="E7E7E7"/>
            <w:tcMar>
              <w:top w:w="15" w:type="dxa"/>
              <w:left w:w="24" w:type="dxa"/>
              <w:bottom w:w="0" w:type="dxa"/>
              <w:right w:w="24" w:type="dxa"/>
            </w:tcMar>
            <w:vAlign w:val="center"/>
            <w:hideMark/>
          </w:tcPr>
          <w:p w14:paraId="03FB979C" w14:textId="77777777" w:rsidR="00D61CB4" w:rsidRPr="00995F51" w:rsidRDefault="00D61CB4" w:rsidP="0053692E">
            <w:pPr>
              <w:spacing w:after="60" w:line="240" w:lineRule="auto"/>
              <w:rPr>
                <w:sz w:val="20"/>
              </w:rPr>
            </w:pPr>
            <w:r w:rsidRPr="00995F51">
              <w:rPr>
                <w:b/>
                <w:bCs/>
                <w:sz w:val="20"/>
              </w:rPr>
              <w:t>Total</w:t>
            </w:r>
          </w:p>
        </w:tc>
        <w:tc>
          <w:tcPr>
            <w:tcW w:w="1544" w:type="pct"/>
            <w:tcBorders>
              <w:top w:val="single" w:sz="4" w:space="0" w:color="auto"/>
              <w:left w:val="single" w:sz="8" w:space="0" w:color="000000"/>
              <w:bottom w:val="single" w:sz="4" w:space="0" w:color="auto"/>
              <w:right w:val="single" w:sz="8" w:space="0" w:color="000000"/>
            </w:tcBorders>
            <w:shd w:val="clear" w:color="auto" w:fill="E7E7E7"/>
            <w:tcMar>
              <w:top w:w="15" w:type="dxa"/>
              <w:left w:w="24" w:type="dxa"/>
              <w:bottom w:w="0" w:type="dxa"/>
              <w:right w:w="24" w:type="dxa"/>
            </w:tcMar>
            <w:vAlign w:val="center"/>
            <w:hideMark/>
          </w:tcPr>
          <w:p w14:paraId="65F3DC90" w14:textId="77777777" w:rsidR="00D61CB4" w:rsidRPr="00995F51" w:rsidRDefault="00D61CB4" w:rsidP="0053692E">
            <w:pPr>
              <w:spacing w:after="60" w:line="240" w:lineRule="auto"/>
              <w:jc w:val="right"/>
              <w:rPr>
                <w:sz w:val="20"/>
              </w:rPr>
            </w:pPr>
            <w:r w:rsidRPr="00995F51">
              <w:rPr>
                <w:sz w:val="20"/>
              </w:rPr>
              <w:t>127 (100)</w:t>
            </w:r>
          </w:p>
        </w:tc>
      </w:tr>
    </w:tbl>
    <w:p w14:paraId="510DCAD3" w14:textId="77777777" w:rsidR="00D61CB4" w:rsidRPr="00CB260B" w:rsidRDefault="00D61CB4" w:rsidP="00D61CB4">
      <w:pPr>
        <w:spacing w:line="276" w:lineRule="auto"/>
        <w:rPr>
          <w:sz w:val="24"/>
          <w:szCs w:val="24"/>
        </w:rPr>
      </w:pPr>
    </w:p>
    <w:p w14:paraId="7EF77913" w14:textId="04326D10" w:rsidR="00D61CB4" w:rsidRDefault="00D61CB4" w:rsidP="006B2308">
      <w:pPr>
        <w:spacing w:line="276" w:lineRule="auto"/>
        <w:rPr>
          <w:sz w:val="24"/>
          <w:szCs w:val="24"/>
        </w:rPr>
      </w:pPr>
    </w:p>
    <w:p w14:paraId="1D8EA7CD" w14:textId="77777777" w:rsidR="00D61CB4" w:rsidRPr="00CB260B" w:rsidRDefault="00D61CB4" w:rsidP="006B2308">
      <w:pPr>
        <w:spacing w:line="276" w:lineRule="auto"/>
        <w:rPr>
          <w:sz w:val="24"/>
          <w:szCs w:val="24"/>
        </w:rPr>
      </w:pPr>
    </w:p>
    <w:p w14:paraId="7B7AC520" w14:textId="18976476" w:rsidR="006B2308" w:rsidRDefault="006B2308" w:rsidP="006B2308">
      <w:pPr>
        <w:spacing w:line="276" w:lineRule="auto"/>
        <w:rPr>
          <w:sz w:val="24"/>
          <w:szCs w:val="24"/>
        </w:rPr>
      </w:pPr>
      <w:r>
        <w:rPr>
          <w:sz w:val="24"/>
          <w:szCs w:val="24"/>
        </w:rPr>
        <w:lastRenderedPageBreak/>
        <w:t>F</w:t>
      </w:r>
      <w:r w:rsidRPr="00CB260B">
        <w:rPr>
          <w:sz w:val="24"/>
          <w:szCs w:val="24"/>
        </w:rPr>
        <w:t>ollow-up interviews</w:t>
      </w:r>
      <w:r>
        <w:rPr>
          <w:sz w:val="24"/>
          <w:szCs w:val="24"/>
        </w:rPr>
        <w:t xml:space="preserve"> were conducted with people in Systems and P</w:t>
      </w:r>
      <w:r w:rsidRPr="00CB260B">
        <w:rPr>
          <w:sz w:val="24"/>
          <w:szCs w:val="24"/>
        </w:rPr>
        <w:t xml:space="preserve">roviders. </w:t>
      </w:r>
      <w:r>
        <w:rPr>
          <w:sz w:val="24"/>
          <w:szCs w:val="24"/>
        </w:rPr>
        <w:t>P</w:t>
      </w:r>
      <w:r w:rsidRPr="004C73B6">
        <w:rPr>
          <w:sz w:val="24"/>
          <w:szCs w:val="24"/>
        </w:rPr>
        <w:t xml:space="preserve">otential informants </w:t>
      </w:r>
      <w:r>
        <w:rPr>
          <w:sz w:val="24"/>
          <w:szCs w:val="24"/>
        </w:rPr>
        <w:t>were assured of</w:t>
      </w:r>
      <w:r w:rsidRPr="004C73B6">
        <w:rPr>
          <w:sz w:val="24"/>
          <w:szCs w:val="24"/>
        </w:rPr>
        <w:t xml:space="preserve"> data protection and confidentiality ahead of interview</w:t>
      </w:r>
      <w:r>
        <w:rPr>
          <w:sz w:val="24"/>
          <w:szCs w:val="24"/>
        </w:rPr>
        <w:t>. P</w:t>
      </w:r>
      <w:r w:rsidRPr="004C73B6">
        <w:rPr>
          <w:sz w:val="24"/>
          <w:szCs w:val="24"/>
        </w:rPr>
        <w:t>articipation</w:t>
      </w:r>
      <w:r>
        <w:rPr>
          <w:sz w:val="24"/>
          <w:szCs w:val="24"/>
        </w:rPr>
        <w:t xml:space="preserve"> was voluntary, and</w:t>
      </w:r>
      <w:r w:rsidRPr="00AA157E">
        <w:rPr>
          <w:sz w:val="24"/>
          <w:szCs w:val="24"/>
        </w:rPr>
        <w:t xml:space="preserve"> the anonymity of </w:t>
      </w:r>
      <w:r>
        <w:rPr>
          <w:sz w:val="24"/>
          <w:szCs w:val="24"/>
        </w:rPr>
        <w:t xml:space="preserve">both individuals and </w:t>
      </w:r>
      <w:r w:rsidRPr="00AA157E">
        <w:rPr>
          <w:sz w:val="24"/>
          <w:szCs w:val="24"/>
        </w:rPr>
        <w:t xml:space="preserve">the organisations </w:t>
      </w:r>
      <w:r>
        <w:rPr>
          <w:sz w:val="24"/>
          <w:szCs w:val="24"/>
        </w:rPr>
        <w:t xml:space="preserve">they represent was assured as </w:t>
      </w:r>
      <w:r w:rsidRPr="00AA157E">
        <w:rPr>
          <w:sz w:val="24"/>
          <w:szCs w:val="24"/>
        </w:rPr>
        <w:t>publish</w:t>
      </w:r>
      <w:r>
        <w:rPr>
          <w:sz w:val="24"/>
          <w:szCs w:val="24"/>
        </w:rPr>
        <w:t>ed</w:t>
      </w:r>
      <w:r w:rsidRPr="00AA157E">
        <w:rPr>
          <w:sz w:val="24"/>
          <w:szCs w:val="24"/>
        </w:rPr>
        <w:t xml:space="preserve"> findings </w:t>
      </w:r>
      <w:r>
        <w:rPr>
          <w:sz w:val="24"/>
          <w:szCs w:val="24"/>
        </w:rPr>
        <w:t>would be</w:t>
      </w:r>
      <w:r w:rsidRPr="00AA157E">
        <w:rPr>
          <w:sz w:val="24"/>
          <w:szCs w:val="24"/>
        </w:rPr>
        <w:t xml:space="preserve"> anonymised and aggregated</w:t>
      </w:r>
      <w:r>
        <w:rPr>
          <w:sz w:val="24"/>
          <w:szCs w:val="24"/>
        </w:rPr>
        <w:t>.</w:t>
      </w:r>
    </w:p>
    <w:p w14:paraId="2FE95663" w14:textId="77777777" w:rsidR="006B2308" w:rsidRDefault="006B2308" w:rsidP="006B2308">
      <w:pPr>
        <w:spacing w:line="276" w:lineRule="auto"/>
        <w:rPr>
          <w:sz w:val="24"/>
          <w:szCs w:val="24"/>
        </w:rPr>
      </w:pPr>
      <w:r>
        <w:rPr>
          <w:sz w:val="24"/>
          <w:szCs w:val="24"/>
        </w:rPr>
        <w:t>I</w:t>
      </w:r>
      <w:r w:rsidRPr="00CB260B">
        <w:rPr>
          <w:sz w:val="24"/>
          <w:szCs w:val="24"/>
        </w:rPr>
        <w:t xml:space="preserve">nterviews </w:t>
      </w:r>
      <w:r>
        <w:rPr>
          <w:sz w:val="24"/>
          <w:szCs w:val="24"/>
        </w:rPr>
        <w:t>focused</w:t>
      </w:r>
      <w:r w:rsidRPr="00CB260B">
        <w:rPr>
          <w:sz w:val="24"/>
          <w:szCs w:val="24"/>
        </w:rPr>
        <w:t xml:space="preserve"> on how and why the selected </w:t>
      </w:r>
      <w:r>
        <w:rPr>
          <w:sz w:val="24"/>
          <w:szCs w:val="24"/>
        </w:rPr>
        <w:t>high-impact initiatives</w:t>
      </w:r>
      <w:r w:rsidRPr="00CB260B">
        <w:rPr>
          <w:sz w:val="24"/>
          <w:szCs w:val="24"/>
        </w:rPr>
        <w:t xml:space="preserve"> were </w:t>
      </w:r>
      <w:r>
        <w:rPr>
          <w:sz w:val="24"/>
          <w:szCs w:val="24"/>
        </w:rPr>
        <w:t xml:space="preserve">chosen; </w:t>
      </w:r>
      <w:r w:rsidRPr="00CB260B">
        <w:rPr>
          <w:sz w:val="24"/>
          <w:szCs w:val="24"/>
        </w:rPr>
        <w:t>what, if any, implementation challenges were encountered</w:t>
      </w:r>
      <w:r>
        <w:rPr>
          <w:sz w:val="24"/>
          <w:szCs w:val="24"/>
        </w:rPr>
        <w:t xml:space="preserve">; </w:t>
      </w:r>
      <w:r w:rsidRPr="00CB260B">
        <w:rPr>
          <w:sz w:val="24"/>
          <w:szCs w:val="24"/>
        </w:rPr>
        <w:t xml:space="preserve">and whether there had been any </w:t>
      </w:r>
      <w:r>
        <w:rPr>
          <w:sz w:val="24"/>
          <w:szCs w:val="24"/>
        </w:rPr>
        <w:t xml:space="preserve">perceived </w:t>
      </w:r>
      <w:r w:rsidRPr="00CB260B">
        <w:rPr>
          <w:sz w:val="24"/>
          <w:szCs w:val="24"/>
        </w:rPr>
        <w:t>signs of impact, particularly around the 4-hour wait</w:t>
      </w:r>
      <w:r>
        <w:rPr>
          <w:sz w:val="24"/>
          <w:szCs w:val="24"/>
        </w:rPr>
        <w:t xml:space="preserve">ing time standard </w:t>
      </w:r>
      <w:r w:rsidRPr="00CB260B">
        <w:rPr>
          <w:sz w:val="24"/>
          <w:szCs w:val="24"/>
        </w:rPr>
        <w:t>and Cat</w:t>
      </w:r>
      <w:r>
        <w:rPr>
          <w:sz w:val="24"/>
          <w:szCs w:val="24"/>
        </w:rPr>
        <w:t>egory</w:t>
      </w:r>
      <w:r w:rsidRPr="00CB260B">
        <w:rPr>
          <w:sz w:val="24"/>
          <w:szCs w:val="24"/>
        </w:rPr>
        <w:t xml:space="preserve"> 2 response times. </w:t>
      </w:r>
      <w:r>
        <w:rPr>
          <w:sz w:val="24"/>
          <w:szCs w:val="24"/>
        </w:rPr>
        <w:t>W</w:t>
      </w:r>
      <w:r w:rsidRPr="00CB260B">
        <w:rPr>
          <w:sz w:val="24"/>
          <w:szCs w:val="24"/>
        </w:rPr>
        <w:t xml:space="preserve">e aimed </w:t>
      </w:r>
      <w:r>
        <w:rPr>
          <w:sz w:val="24"/>
          <w:szCs w:val="24"/>
        </w:rPr>
        <w:t>for</w:t>
      </w:r>
      <w:r w:rsidRPr="00CB260B">
        <w:rPr>
          <w:sz w:val="24"/>
          <w:szCs w:val="24"/>
        </w:rPr>
        <w:t xml:space="preserve"> geographical representation from all regions in </w:t>
      </w:r>
      <w:r>
        <w:rPr>
          <w:sz w:val="24"/>
          <w:szCs w:val="24"/>
        </w:rPr>
        <w:t>NHS England</w:t>
      </w:r>
      <w:r w:rsidRPr="00CB260B">
        <w:rPr>
          <w:sz w:val="24"/>
          <w:szCs w:val="24"/>
        </w:rPr>
        <w:t xml:space="preserve">. </w:t>
      </w:r>
      <w:r>
        <w:rPr>
          <w:sz w:val="24"/>
          <w:szCs w:val="24"/>
        </w:rPr>
        <w:t>We also</w:t>
      </w:r>
      <w:r w:rsidRPr="00CB260B">
        <w:rPr>
          <w:sz w:val="24"/>
          <w:szCs w:val="24"/>
        </w:rPr>
        <w:t xml:space="preserve"> conducted interviews with regional UEC leads. </w:t>
      </w:r>
    </w:p>
    <w:p w14:paraId="25A3CDE3" w14:textId="1C0ED481" w:rsidR="00D61CB4" w:rsidRDefault="006B2308" w:rsidP="006B2308">
      <w:pPr>
        <w:spacing w:line="276" w:lineRule="auto"/>
        <w:rPr>
          <w:sz w:val="24"/>
          <w:szCs w:val="24"/>
        </w:rPr>
      </w:pPr>
      <w:r w:rsidRPr="00CB260B">
        <w:rPr>
          <w:sz w:val="24"/>
          <w:szCs w:val="24"/>
        </w:rPr>
        <w:t xml:space="preserve">Interviews were conducted between </w:t>
      </w:r>
      <w:r w:rsidRPr="00364AD5">
        <w:rPr>
          <w:sz w:val="24"/>
          <w:szCs w:val="24"/>
        </w:rPr>
        <w:t>8</w:t>
      </w:r>
      <w:r w:rsidRPr="00364AD5">
        <w:rPr>
          <w:sz w:val="24"/>
          <w:szCs w:val="24"/>
          <w:vertAlign w:val="superscript"/>
        </w:rPr>
        <w:t>th</w:t>
      </w:r>
      <w:r w:rsidRPr="00364AD5">
        <w:rPr>
          <w:sz w:val="24"/>
          <w:szCs w:val="24"/>
        </w:rPr>
        <w:t xml:space="preserve"> March and 19</w:t>
      </w:r>
      <w:r w:rsidRPr="00364AD5">
        <w:rPr>
          <w:sz w:val="24"/>
          <w:szCs w:val="24"/>
          <w:vertAlign w:val="superscript"/>
        </w:rPr>
        <w:t>th</w:t>
      </w:r>
      <w:r w:rsidRPr="00364AD5">
        <w:rPr>
          <w:sz w:val="24"/>
          <w:szCs w:val="24"/>
        </w:rPr>
        <w:t xml:space="preserve"> of April 2024</w:t>
      </w:r>
      <w:r>
        <w:rPr>
          <w:sz w:val="24"/>
          <w:szCs w:val="24"/>
        </w:rPr>
        <w:t>. In total, we spoke to 21 people</w:t>
      </w:r>
      <w:r w:rsidRPr="00CB260B">
        <w:rPr>
          <w:sz w:val="24"/>
          <w:szCs w:val="24"/>
        </w:rPr>
        <w:t xml:space="preserve">. Interviews were audio-recorded with consent. </w:t>
      </w:r>
      <w:r>
        <w:rPr>
          <w:sz w:val="24"/>
          <w:szCs w:val="24"/>
        </w:rPr>
        <w:t>Recordings</w:t>
      </w:r>
      <w:r w:rsidRPr="00CB260B">
        <w:rPr>
          <w:sz w:val="24"/>
          <w:szCs w:val="24"/>
        </w:rPr>
        <w:t xml:space="preserve"> were not transcribed and were deleted upon coding of data. Interviews were analysed with a rapid approach to </w:t>
      </w:r>
      <w:r w:rsidRPr="00CB260B">
        <w:rPr>
          <w:sz w:val="24"/>
          <w:szCs w:val="24"/>
        </w:rPr>
        <w:lastRenderedPageBreak/>
        <w:t xml:space="preserve">analysis, using a modified framework approach (Gale 2013). A coding framework was developed iteratively through discussion and REVAL analysis meetings, as well as </w:t>
      </w:r>
      <w:r>
        <w:rPr>
          <w:sz w:val="24"/>
          <w:szCs w:val="24"/>
        </w:rPr>
        <w:t xml:space="preserve">through </w:t>
      </w:r>
      <w:r w:rsidRPr="00CB260B">
        <w:rPr>
          <w:sz w:val="24"/>
          <w:szCs w:val="24"/>
        </w:rPr>
        <w:t xml:space="preserve">discussions with the </w:t>
      </w:r>
      <w:r>
        <w:rPr>
          <w:sz w:val="24"/>
          <w:szCs w:val="24"/>
        </w:rPr>
        <w:t xml:space="preserve">NHS England </w:t>
      </w:r>
      <w:r w:rsidRPr="00CB260B">
        <w:rPr>
          <w:sz w:val="24"/>
          <w:szCs w:val="24"/>
        </w:rPr>
        <w:t xml:space="preserve">team. </w:t>
      </w:r>
    </w:p>
    <w:p w14:paraId="7FFB1567" w14:textId="22E6E560" w:rsidR="004B5F51" w:rsidRPr="004B5F51" w:rsidRDefault="004B5F51" w:rsidP="006B2308">
      <w:pPr>
        <w:spacing w:line="276" w:lineRule="auto"/>
        <w:rPr>
          <w:b/>
          <w:i/>
          <w:sz w:val="16"/>
          <w:szCs w:val="20"/>
        </w:rPr>
      </w:pPr>
      <w:r w:rsidRPr="004B5F51">
        <w:rPr>
          <w:b/>
          <w:i/>
          <w:sz w:val="20"/>
          <w:szCs w:val="24"/>
        </w:rPr>
        <w:t>Figure 1</w:t>
      </w:r>
      <w:r>
        <w:rPr>
          <w:b/>
          <w:i/>
          <w:sz w:val="20"/>
          <w:szCs w:val="24"/>
        </w:rPr>
        <w:t xml:space="preserve">: </w:t>
      </w:r>
      <w:r w:rsidRPr="004B5F51">
        <w:rPr>
          <w:b/>
          <w:i/>
          <w:sz w:val="20"/>
          <w:szCs w:val="24"/>
        </w:rPr>
        <w:t xml:space="preserve"> Evaluation timeline</w:t>
      </w:r>
    </w:p>
    <w:tbl>
      <w:tblPr>
        <w:tblStyle w:val="TableGrid"/>
        <w:tblW w:w="8791" w:type="dxa"/>
        <w:tblLook w:val="04A0" w:firstRow="1" w:lastRow="0" w:firstColumn="1" w:lastColumn="0" w:noHBand="0" w:noVBand="1"/>
      </w:tblPr>
      <w:tblGrid>
        <w:gridCol w:w="2551"/>
        <w:gridCol w:w="624"/>
        <w:gridCol w:w="624"/>
        <w:gridCol w:w="624"/>
        <w:gridCol w:w="624"/>
        <w:gridCol w:w="624"/>
        <w:gridCol w:w="624"/>
        <w:gridCol w:w="624"/>
        <w:gridCol w:w="624"/>
        <w:gridCol w:w="624"/>
        <w:gridCol w:w="624"/>
      </w:tblGrid>
      <w:tr w:rsidR="004B5F51" w14:paraId="5F95D282" w14:textId="77777777" w:rsidTr="004B5F51">
        <w:tc>
          <w:tcPr>
            <w:tcW w:w="2551" w:type="dxa"/>
          </w:tcPr>
          <w:p w14:paraId="13FD2157" w14:textId="77777777" w:rsidR="004B5F51" w:rsidRDefault="004B5F51" w:rsidP="0053692E">
            <w:pPr>
              <w:jc w:val="center"/>
            </w:pPr>
          </w:p>
        </w:tc>
        <w:tc>
          <w:tcPr>
            <w:tcW w:w="1248" w:type="dxa"/>
            <w:gridSpan w:val="2"/>
          </w:tcPr>
          <w:p w14:paraId="70F4B8CE" w14:textId="77777777" w:rsidR="004B5F51" w:rsidRPr="004B5F51" w:rsidRDefault="004B5F51" w:rsidP="0053692E">
            <w:pPr>
              <w:jc w:val="center"/>
              <w:rPr>
                <w:rFonts w:cstheme="minorHAnsi"/>
                <w:sz w:val="20"/>
                <w:szCs w:val="20"/>
              </w:rPr>
            </w:pPr>
            <w:r w:rsidRPr="004B5F51">
              <w:rPr>
                <w:rFonts w:cstheme="minorHAnsi"/>
                <w:sz w:val="20"/>
                <w:szCs w:val="20"/>
              </w:rPr>
              <w:t>February</w:t>
            </w:r>
          </w:p>
        </w:tc>
        <w:tc>
          <w:tcPr>
            <w:tcW w:w="2496" w:type="dxa"/>
            <w:gridSpan w:val="4"/>
          </w:tcPr>
          <w:p w14:paraId="7762AB7F" w14:textId="77777777" w:rsidR="004B5F51" w:rsidRPr="004B5F51" w:rsidRDefault="004B5F51" w:rsidP="0053692E">
            <w:pPr>
              <w:jc w:val="center"/>
              <w:rPr>
                <w:rFonts w:cstheme="minorHAnsi"/>
                <w:sz w:val="20"/>
                <w:szCs w:val="20"/>
              </w:rPr>
            </w:pPr>
            <w:r w:rsidRPr="004B5F51">
              <w:rPr>
                <w:rFonts w:cstheme="minorHAnsi"/>
                <w:sz w:val="20"/>
                <w:szCs w:val="20"/>
              </w:rPr>
              <w:t>March</w:t>
            </w:r>
          </w:p>
        </w:tc>
        <w:tc>
          <w:tcPr>
            <w:tcW w:w="2496" w:type="dxa"/>
            <w:gridSpan w:val="4"/>
          </w:tcPr>
          <w:p w14:paraId="1F5A204C" w14:textId="77777777" w:rsidR="004B5F51" w:rsidRPr="004B5F51" w:rsidRDefault="004B5F51" w:rsidP="0053692E">
            <w:pPr>
              <w:jc w:val="center"/>
              <w:rPr>
                <w:rFonts w:cstheme="minorHAnsi"/>
                <w:sz w:val="20"/>
                <w:szCs w:val="20"/>
              </w:rPr>
            </w:pPr>
            <w:r w:rsidRPr="004B5F51">
              <w:rPr>
                <w:rFonts w:cstheme="minorHAnsi"/>
                <w:sz w:val="20"/>
                <w:szCs w:val="20"/>
              </w:rPr>
              <w:t>April</w:t>
            </w:r>
          </w:p>
        </w:tc>
      </w:tr>
      <w:tr w:rsidR="004B5F51" w14:paraId="62167846" w14:textId="77777777" w:rsidTr="004B5F51">
        <w:trPr>
          <w:trHeight w:val="454"/>
        </w:trPr>
        <w:tc>
          <w:tcPr>
            <w:tcW w:w="2551" w:type="dxa"/>
          </w:tcPr>
          <w:p w14:paraId="23EF91EA" w14:textId="188A90E4" w:rsidR="004B5F51" w:rsidRDefault="004B5F51" w:rsidP="0053692E">
            <w:r>
              <w:t>Survey development</w:t>
            </w:r>
          </w:p>
        </w:tc>
        <w:tc>
          <w:tcPr>
            <w:tcW w:w="624" w:type="dxa"/>
            <w:shd w:val="clear" w:color="auto" w:fill="7030A0"/>
          </w:tcPr>
          <w:p w14:paraId="38BD929A" w14:textId="77777777" w:rsidR="004B5F51" w:rsidRPr="004B5F51" w:rsidRDefault="004B5F51" w:rsidP="0053692E">
            <w:pPr>
              <w:rPr>
                <w:rFonts w:cstheme="minorHAnsi"/>
                <w:sz w:val="20"/>
                <w:szCs w:val="20"/>
              </w:rPr>
            </w:pPr>
          </w:p>
        </w:tc>
        <w:tc>
          <w:tcPr>
            <w:tcW w:w="624" w:type="dxa"/>
            <w:shd w:val="clear" w:color="auto" w:fill="7030A0"/>
          </w:tcPr>
          <w:p w14:paraId="5BADFA8E" w14:textId="77777777" w:rsidR="004B5F51" w:rsidRPr="004B5F51" w:rsidRDefault="004B5F51" w:rsidP="0053692E">
            <w:pPr>
              <w:rPr>
                <w:rFonts w:cstheme="minorHAnsi"/>
                <w:sz w:val="20"/>
                <w:szCs w:val="20"/>
              </w:rPr>
            </w:pPr>
          </w:p>
        </w:tc>
        <w:tc>
          <w:tcPr>
            <w:tcW w:w="624" w:type="dxa"/>
          </w:tcPr>
          <w:p w14:paraId="2ADAB208" w14:textId="77777777" w:rsidR="004B5F51" w:rsidRPr="004B5F51" w:rsidRDefault="004B5F51" w:rsidP="0053692E">
            <w:pPr>
              <w:rPr>
                <w:rFonts w:cstheme="minorHAnsi"/>
                <w:sz w:val="20"/>
                <w:szCs w:val="20"/>
              </w:rPr>
            </w:pPr>
          </w:p>
        </w:tc>
        <w:tc>
          <w:tcPr>
            <w:tcW w:w="624" w:type="dxa"/>
          </w:tcPr>
          <w:p w14:paraId="22EC9986" w14:textId="77777777" w:rsidR="004B5F51" w:rsidRPr="004B5F51" w:rsidRDefault="004B5F51" w:rsidP="0053692E">
            <w:pPr>
              <w:rPr>
                <w:rFonts w:cstheme="minorHAnsi"/>
                <w:sz w:val="20"/>
                <w:szCs w:val="20"/>
              </w:rPr>
            </w:pPr>
          </w:p>
        </w:tc>
        <w:tc>
          <w:tcPr>
            <w:tcW w:w="624" w:type="dxa"/>
          </w:tcPr>
          <w:p w14:paraId="69CA817E" w14:textId="77777777" w:rsidR="004B5F51" w:rsidRPr="004B5F51" w:rsidRDefault="004B5F51" w:rsidP="0053692E">
            <w:pPr>
              <w:rPr>
                <w:rFonts w:cstheme="minorHAnsi"/>
                <w:sz w:val="20"/>
                <w:szCs w:val="20"/>
              </w:rPr>
            </w:pPr>
          </w:p>
        </w:tc>
        <w:tc>
          <w:tcPr>
            <w:tcW w:w="624" w:type="dxa"/>
          </w:tcPr>
          <w:p w14:paraId="18D6BA7C" w14:textId="77777777" w:rsidR="004B5F51" w:rsidRPr="004B5F51" w:rsidRDefault="004B5F51" w:rsidP="0053692E">
            <w:pPr>
              <w:rPr>
                <w:rFonts w:cstheme="minorHAnsi"/>
                <w:sz w:val="20"/>
                <w:szCs w:val="20"/>
              </w:rPr>
            </w:pPr>
          </w:p>
        </w:tc>
        <w:tc>
          <w:tcPr>
            <w:tcW w:w="624" w:type="dxa"/>
          </w:tcPr>
          <w:p w14:paraId="00BCD642" w14:textId="77777777" w:rsidR="004B5F51" w:rsidRPr="004B5F51" w:rsidRDefault="004B5F51" w:rsidP="0053692E">
            <w:pPr>
              <w:rPr>
                <w:rFonts w:cstheme="minorHAnsi"/>
                <w:sz w:val="20"/>
                <w:szCs w:val="20"/>
              </w:rPr>
            </w:pPr>
          </w:p>
        </w:tc>
        <w:tc>
          <w:tcPr>
            <w:tcW w:w="624" w:type="dxa"/>
          </w:tcPr>
          <w:p w14:paraId="67743FB9" w14:textId="77777777" w:rsidR="004B5F51" w:rsidRPr="004B5F51" w:rsidRDefault="004B5F51" w:rsidP="0053692E">
            <w:pPr>
              <w:rPr>
                <w:rFonts w:cstheme="minorHAnsi"/>
                <w:sz w:val="20"/>
                <w:szCs w:val="20"/>
              </w:rPr>
            </w:pPr>
          </w:p>
        </w:tc>
        <w:tc>
          <w:tcPr>
            <w:tcW w:w="624" w:type="dxa"/>
          </w:tcPr>
          <w:p w14:paraId="71BD7A51" w14:textId="77777777" w:rsidR="004B5F51" w:rsidRPr="004B5F51" w:rsidRDefault="004B5F51" w:rsidP="0053692E">
            <w:pPr>
              <w:rPr>
                <w:rFonts w:cstheme="minorHAnsi"/>
                <w:sz w:val="20"/>
                <w:szCs w:val="20"/>
              </w:rPr>
            </w:pPr>
          </w:p>
        </w:tc>
        <w:tc>
          <w:tcPr>
            <w:tcW w:w="624" w:type="dxa"/>
          </w:tcPr>
          <w:p w14:paraId="0D0A6021" w14:textId="77777777" w:rsidR="004B5F51" w:rsidRPr="004B5F51" w:rsidRDefault="004B5F51" w:rsidP="0053692E">
            <w:pPr>
              <w:rPr>
                <w:rFonts w:cstheme="minorHAnsi"/>
                <w:sz w:val="20"/>
                <w:szCs w:val="20"/>
              </w:rPr>
            </w:pPr>
          </w:p>
        </w:tc>
      </w:tr>
      <w:tr w:rsidR="004B5F51" w14:paraId="636742C8" w14:textId="77777777" w:rsidTr="004B5F51">
        <w:trPr>
          <w:trHeight w:val="454"/>
        </w:trPr>
        <w:tc>
          <w:tcPr>
            <w:tcW w:w="2551" w:type="dxa"/>
          </w:tcPr>
          <w:p w14:paraId="1AA1EF22" w14:textId="5E684A71" w:rsidR="004B5F51" w:rsidRDefault="004B5F51" w:rsidP="0053692E">
            <w:r>
              <w:t>Survey distribution</w:t>
            </w:r>
          </w:p>
        </w:tc>
        <w:tc>
          <w:tcPr>
            <w:tcW w:w="624" w:type="dxa"/>
            <w:shd w:val="clear" w:color="auto" w:fill="auto"/>
          </w:tcPr>
          <w:p w14:paraId="515FA93E" w14:textId="77777777" w:rsidR="004B5F51" w:rsidRPr="004B5F51" w:rsidRDefault="004B5F51" w:rsidP="0053692E">
            <w:pPr>
              <w:rPr>
                <w:rFonts w:cstheme="minorHAnsi"/>
                <w:sz w:val="20"/>
                <w:szCs w:val="20"/>
              </w:rPr>
            </w:pPr>
          </w:p>
        </w:tc>
        <w:tc>
          <w:tcPr>
            <w:tcW w:w="624" w:type="dxa"/>
            <w:shd w:val="clear" w:color="auto" w:fill="auto"/>
          </w:tcPr>
          <w:p w14:paraId="5DEC8AB6" w14:textId="77777777" w:rsidR="004B5F51" w:rsidRPr="004B5F51" w:rsidRDefault="004B5F51" w:rsidP="0053692E">
            <w:pPr>
              <w:rPr>
                <w:rFonts w:cstheme="minorHAnsi"/>
                <w:sz w:val="20"/>
                <w:szCs w:val="20"/>
              </w:rPr>
            </w:pPr>
          </w:p>
        </w:tc>
        <w:tc>
          <w:tcPr>
            <w:tcW w:w="624" w:type="dxa"/>
            <w:shd w:val="clear" w:color="auto" w:fill="7030A0"/>
          </w:tcPr>
          <w:p w14:paraId="46213611" w14:textId="77777777" w:rsidR="004B5F51" w:rsidRPr="004B5F51" w:rsidRDefault="004B5F51" w:rsidP="0053692E">
            <w:pPr>
              <w:rPr>
                <w:rFonts w:cstheme="minorHAnsi"/>
                <w:sz w:val="20"/>
                <w:szCs w:val="20"/>
              </w:rPr>
            </w:pPr>
          </w:p>
        </w:tc>
        <w:tc>
          <w:tcPr>
            <w:tcW w:w="624" w:type="dxa"/>
          </w:tcPr>
          <w:p w14:paraId="03240345" w14:textId="77777777" w:rsidR="004B5F51" w:rsidRPr="004B5F51" w:rsidRDefault="004B5F51" w:rsidP="0053692E">
            <w:pPr>
              <w:rPr>
                <w:rFonts w:cstheme="minorHAnsi"/>
                <w:sz w:val="20"/>
                <w:szCs w:val="20"/>
              </w:rPr>
            </w:pPr>
          </w:p>
        </w:tc>
        <w:tc>
          <w:tcPr>
            <w:tcW w:w="624" w:type="dxa"/>
          </w:tcPr>
          <w:p w14:paraId="179E206C" w14:textId="77777777" w:rsidR="004B5F51" w:rsidRPr="004B5F51" w:rsidRDefault="004B5F51" w:rsidP="0053692E">
            <w:pPr>
              <w:rPr>
                <w:rFonts w:cstheme="minorHAnsi"/>
                <w:sz w:val="20"/>
                <w:szCs w:val="20"/>
              </w:rPr>
            </w:pPr>
          </w:p>
        </w:tc>
        <w:tc>
          <w:tcPr>
            <w:tcW w:w="624" w:type="dxa"/>
          </w:tcPr>
          <w:p w14:paraId="284E851D" w14:textId="77777777" w:rsidR="004B5F51" w:rsidRPr="004B5F51" w:rsidRDefault="004B5F51" w:rsidP="0053692E">
            <w:pPr>
              <w:rPr>
                <w:rFonts w:cstheme="minorHAnsi"/>
                <w:sz w:val="20"/>
                <w:szCs w:val="20"/>
              </w:rPr>
            </w:pPr>
          </w:p>
        </w:tc>
        <w:tc>
          <w:tcPr>
            <w:tcW w:w="624" w:type="dxa"/>
          </w:tcPr>
          <w:p w14:paraId="675564A7" w14:textId="77777777" w:rsidR="004B5F51" w:rsidRPr="004B5F51" w:rsidRDefault="004B5F51" w:rsidP="0053692E">
            <w:pPr>
              <w:rPr>
                <w:rFonts w:cstheme="minorHAnsi"/>
                <w:sz w:val="20"/>
                <w:szCs w:val="20"/>
              </w:rPr>
            </w:pPr>
          </w:p>
        </w:tc>
        <w:tc>
          <w:tcPr>
            <w:tcW w:w="624" w:type="dxa"/>
          </w:tcPr>
          <w:p w14:paraId="52034092" w14:textId="77777777" w:rsidR="004B5F51" w:rsidRPr="004B5F51" w:rsidRDefault="004B5F51" w:rsidP="0053692E">
            <w:pPr>
              <w:rPr>
                <w:rFonts w:cstheme="minorHAnsi"/>
                <w:sz w:val="20"/>
                <w:szCs w:val="20"/>
              </w:rPr>
            </w:pPr>
          </w:p>
        </w:tc>
        <w:tc>
          <w:tcPr>
            <w:tcW w:w="624" w:type="dxa"/>
          </w:tcPr>
          <w:p w14:paraId="61D0FC13" w14:textId="77777777" w:rsidR="004B5F51" w:rsidRPr="004B5F51" w:rsidRDefault="004B5F51" w:rsidP="0053692E">
            <w:pPr>
              <w:rPr>
                <w:rFonts w:cstheme="minorHAnsi"/>
                <w:sz w:val="20"/>
                <w:szCs w:val="20"/>
              </w:rPr>
            </w:pPr>
          </w:p>
        </w:tc>
        <w:tc>
          <w:tcPr>
            <w:tcW w:w="624" w:type="dxa"/>
          </w:tcPr>
          <w:p w14:paraId="29635958" w14:textId="77777777" w:rsidR="004B5F51" w:rsidRPr="004B5F51" w:rsidRDefault="004B5F51" w:rsidP="0053692E">
            <w:pPr>
              <w:rPr>
                <w:rFonts w:cstheme="minorHAnsi"/>
                <w:sz w:val="20"/>
                <w:szCs w:val="20"/>
              </w:rPr>
            </w:pPr>
          </w:p>
        </w:tc>
      </w:tr>
      <w:tr w:rsidR="004B5F51" w14:paraId="77419707" w14:textId="77777777" w:rsidTr="004B5F51">
        <w:trPr>
          <w:trHeight w:val="454"/>
        </w:trPr>
        <w:tc>
          <w:tcPr>
            <w:tcW w:w="2551" w:type="dxa"/>
          </w:tcPr>
          <w:p w14:paraId="0B79ED3E" w14:textId="304D889A" w:rsidR="004B5F51" w:rsidRDefault="004B5F51" w:rsidP="0053692E">
            <w:r>
              <w:t>Survey open</w:t>
            </w:r>
          </w:p>
        </w:tc>
        <w:tc>
          <w:tcPr>
            <w:tcW w:w="624" w:type="dxa"/>
          </w:tcPr>
          <w:p w14:paraId="5F8F1D4B" w14:textId="77777777" w:rsidR="004B5F51" w:rsidRPr="004B5F51" w:rsidRDefault="004B5F51" w:rsidP="0053692E">
            <w:pPr>
              <w:rPr>
                <w:rFonts w:cstheme="minorHAnsi"/>
                <w:sz w:val="20"/>
                <w:szCs w:val="20"/>
              </w:rPr>
            </w:pPr>
          </w:p>
        </w:tc>
        <w:tc>
          <w:tcPr>
            <w:tcW w:w="624" w:type="dxa"/>
            <w:shd w:val="clear" w:color="auto" w:fill="auto"/>
          </w:tcPr>
          <w:p w14:paraId="1063A1D0" w14:textId="77777777" w:rsidR="004B5F51" w:rsidRPr="004B5F51" w:rsidRDefault="004B5F51" w:rsidP="0053692E">
            <w:pPr>
              <w:rPr>
                <w:rFonts w:cstheme="minorHAnsi"/>
                <w:sz w:val="20"/>
                <w:szCs w:val="20"/>
              </w:rPr>
            </w:pPr>
          </w:p>
        </w:tc>
        <w:tc>
          <w:tcPr>
            <w:tcW w:w="624" w:type="dxa"/>
            <w:shd w:val="clear" w:color="auto" w:fill="7030A0"/>
          </w:tcPr>
          <w:p w14:paraId="432DC0B2" w14:textId="77777777" w:rsidR="004B5F51" w:rsidRPr="004B5F51" w:rsidRDefault="004B5F51" w:rsidP="0053692E">
            <w:pPr>
              <w:rPr>
                <w:rFonts w:cstheme="minorHAnsi"/>
                <w:sz w:val="20"/>
                <w:szCs w:val="20"/>
              </w:rPr>
            </w:pPr>
          </w:p>
        </w:tc>
        <w:tc>
          <w:tcPr>
            <w:tcW w:w="624" w:type="dxa"/>
            <w:shd w:val="clear" w:color="auto" w:fill="7030A0"/>
          </w:tcPr>
          <w:p w14:paraId="4D463425" w14:textId="77777777" w:rsidR="004B5F51" w:rsidRPr="004B5F51" w:rsidRDefault="004B5F51" w:rsidP="0053692E">
            <w:pPr>
              <w:rPr>
                <w:rFonts w:cstheme="minorHAnsi"/>
                <w:sz w:val="20"/>
                <w:szCs w:val="20"/>
                <w:highlight w:val="darkMagenta"/>
              </w:rPr>
            </w:pPr>
          </w:p>
        </w:tc>
        <w:tc>
          <w:tcPr>
            <w:tcW w:w="624" w:type="dxa"/>
            <w:shd w:val="clear" w:color="auto" w:fill="7030A0"/>
          </w:tcPr>
          <w:p w14:paraId="194B5439" w14:textId="77777777" w:rsidR="004B5F51" w:rsidRPr="004B5F51" w:rsidRDefault="004B5F51" w:rsidP="0053692E">
            <w:pPr>
              <w:rPr>
                <w:rFonts w:cstheme="minorHAnsi"/>
                <w:sz w:val="20"/>
                <w:szCs w:val="20"/>
                <w:highlight w:val="darkMagenta"/>
              </w:rPr>
            </w:pPr>
          </w:p>
        </w:tc>
        <w:tc>
          <w:tcPr>
            <w:tcW w:w="624" w:type="dxa"/>
            <w:shd w:val="clear" w:color="auto" w:fill="7030A0"/>
          </w:tcPr>
          <w:p w14:paraId="79EACDF1" w14:textId="77777777" w:rsidR="004B5F51" w:rsidRPr="004B5F51" w:rsidRDefault="004B5F51" w:rsidP="0053692E">
            <w:pPr>
              <w:rPr>
                <w:rFonts w:cstheme="minorHAnsi"/>
                <w:sz w:val="20"/>
                <w:szCs w:val="20"/>
                <w:highlight w:val="darkMagenta"/>
              </w:rPr>
            </w:pPr>
          </w:p>
        </w:tc>
        <w:tc>
          <w:tcPr>
            <w:tcW w:w="624" w:type="dxa"/>
            <w:shd w:val="clear" w:color="auto" w:fill="7030A0"/>
          </w:tcPr>
          <w:p w14:paraId="3FEBA271" w14:textId="77777777" w:rsidR="004B5F51" w:rsidRPr="004B5F51" w:rsidRDefault="004B5F51" w:rsidP="0053692E">
            <w:pPr>
              <w:rPr>
                <w:rFonts w:cstheme="minorHAnsi"/>
                <w:sz w:val="20"/>
                <w:szCs w:val="20"/>
                <w:highlight w:val="darkMagenta"/>
              </w:rPr>
            </w:pPr>
          </w:p>
        </w:tc>
        <w:tc>
          <w:tcPr>
            <w:tcW w:w="624" w:type="dxa"/>
            <w:shd w:val="clear" w:color="auto" w:fill="7030A0"/>
          </w:tcPr>
          <w:p w14:paraId="4DC3A7AF" w14:textId="77777777" w:rsidR="004B5F51" w:rsidRPr="004B5F51" w:rsidRDefault="004B5F51" w:rsidP="0053692E">
            <w:pPr>
              <w:rPr>
                <w:rFonts w:cstheme="minorHAnsi"/>
                <w:sz w:val="20"/>
                <w:szCs w:val="20"/>
                <w:highlight w:val="darkMagenta"/>
              </w:rPr>
            </w:pPr>
          </w:p>
        </w:tc>
        <w:tc>
          <w:tcPr>
            <w:tcW w:w="624" w:type="dxa"/>
          </w:tcPr>
          <w:p w14:paraId="6604CE39" w14:textId="77777777" w:rsidR="004B5F51" w:rsidRPr="004B5F51" w:rsidRDefault="004B5F51" w:rsidP="0053692E">
            <w:pPr>
              <w:rPr>
                <w:rFonts w:cstheme="minorHAnsi"/>
                <w:sz w:val="20"/>
                <w:szCs w:val="20"/>
              </w:rPr>
            </w:pPr>
          </w:p>
        </w:tc>
        <w:tc>
          <w:tcPr>
            <w:tcW w:w="624" w:type="dxa"/>
          </w:tcPr>
          <w:p w14:paraId="61683EE4" w14:textId="77777777" w:rsidR="004B5F51" w:rsidRPr="004B5F51" w:rsidRDefault="004B5F51" w:rsidP="0053692E">
            <w:pPr>
              <w:rPr>
                <w:rFonts w:cstheme="minorHAnsi"/>
                <w:sz w:val="20"/>
                <w:szCs w:val="20"/>
              </w:rPr>
            </w:pPr>
          </w:p>
        </w:tc>
      </w:tr>
      <w:tr w:rsidR="004B5F51" w14:paraId="2ACE97D3" w14:textId="77777777" w:rsidTr="004B5F51">
        <w:trPr>
          <w:trHeight w:val="454"/>
        </w:trPr>
        <w:tc>
          <w:tcPr>
            <w:tcW w:w="2551" w:type="dxa"/>
          </w:tcPr>
          <w:p w14:paraId="2A4BDE75" w14:textId="77777777" w:rsidR="004B5F51" w:rsidRDefault="004B5F51" w:rsidP="0053692E">
            <w:r>
              <w:t>Survey Reminders</w:t>
            </w:r>
          </w:p>
        </w:tc>
        <w:tc>
          <w:tcPr>
            <w:tcW w:w="624" w:type="dxa"/>
          </w:tcPr>
          <w:p w14:paraId="3BA1EC2C" w14:textId="77777777" w:rsidR="004B5F51" w:rsidRPr="004B5F51" w:rsidRDefault="004B5F51" w:rsidP="0053692E">
            <w:pPr>
              <w:rPr>
                <w:rFonts w:cstheme="minorHAnsi"/>
                <w:sz w:val="20"/>
                <w:szCs w:val="20"/>
              </w:rPr>
            </w:pPr>
          </w:p>
        </w:tc>
        <w:tc>
          <w:tcPr>
            <w:tcW w:w="624" w:type="dxa"/>
            <w:shd w:val="clear" w:color="auto" w:fill="auto"/>
          </w:tcPr>
          <w:p w14:paraId="4DEE1A44" w14:textId="77777777" w:rsidR="004B5F51" w:rsidRPr="004B5F51" w:rsidRDefault="004B5F51" w:rsidP="0053692E">
            <w:pPr>
              <w:rPr>
                <w:rFonts w:cstheme="minorHAnsi"/>
                <w:sz w:val="20"/>
                <w:szCs w:val="20"/>
              </w:rPr>
            </w:pPr>
          </w:p>
        </w:tc>
        <w:tc>
          <w:tcPr>
            <w:tcW w:w="624" w:type="dxa"/>
          </w:tcPr>
          <w:p w14:paraId="3BBC33CD" w14:textId="77777777" w:rsidR="004B5F51" w:rsidRPr="004B5F51" w:rsidRDefault="004B5F51" w:rsidP="0053692E">
            <w:pPr>
              <w:rPr>
                <w:rFonts w:cstheme="minorHAnsi"/>
                <w:sz w:val="20"/>
                <w:szCs w:val="20"/>
              </w:rPr>
            </w:pPr>
          </w:p>
        </w:tc>
        <w:tc>
          <w:tcPr>
            <w:tcW w:w="624" w:type="dxa"/>
            <w:shd w:val="clear" w:color="auto" w:fill="7030A0"/>
          </w:tcPr>
          <w:p w14:paraId="3E1C09A7" w14:textId="77777777" w:rsidR="004B5F51" w:rsidRPr="004B5F51" w:rsidRDefault="004B5F51" w:rsidP="0053692E">
            <w:pPr>
              <w:rPr>
                <w:rFonts w:cstheme="minorHAnsi"/>
                <w:sz w:val="20"/>
                <w:szCs w:val="20"/>
              </w:rPr>
            </w:pPr>
          </w:p>
        </w:tc>
        <w:tc>
          <w:tcPr>
            <w:tcW w:w="624" w:type="dxa"/>
          </w:tcPr>
          <w:p w14:paraId="54AB1EC3" w14:textId="77777777" w:rsidR="004B5F51" w:rsidRPr="004B5F51" w:rsidRDefault="004B5F51" w:rsidP="0053692E">
            <w:pPr>
              <w:rPr>
                <w:rFonts w:cstheme="minorHAnsi"/>
                <w:sz w:val="20"/>
                <w:szCs w:val="20"/>
              </w:rPr>
            </w:pPr>
          </w:p>
        </w:tc>
        <w:tc>
          <w:tcPr>
            <w:tcW w:w="624" w:type="dxa"/>
          </w:tcPr>
          <w:p w14:paraId="43C8098A" w14:textId="77777777" w:rsidR="004B5F51" w:rsidRPr="004B5F51" w:rsidRDefault="004B5F51" w:rsidP="0053692E">
            <w:pPr>
              <w:rPr>
                <w:rFonts w:cstheme="minorHAnsi"/>
                <w:sz w:val="20"/>
                <w:szCs w:val="20"/>
              </w:rPr>
            </w:pPr>
          </w:p>
        </w:tc>
        <w:tc>
          <w:tcPr>
            <w:tcW w:w="624" w:type="dxa"/>
            <w:shd w:val="clear" w:color="auto" w:fill="7030A0"/>
          </w:tcPr>
          <w:p w14:paraId="6C22BFC8" w14:textId="77777777" w:rsidR="004B5F51" w:rsidRPr="004B5F51" w:rsidRDefault="004B5F51" w:rsidP="0053692E">
            <w:pPr>
              <w:rPr>
                <w:rFonts w:cstheme="minorHAnsi"/>
                <w:color w:val="7030A0"/>
                <w:sz w:val="20"/>
                <w:szCs w:val="20"/>
              </w:rPr>
            </w:pPr>
          </w:p>
        </w:tc>
        <w:tc>
          <w:tcPr>
            <w:tcW w:w="624" w:type="dxa"/>
          </w:tcPr>
          <w:p w14:paraId="0C2454E5" w14:textId="77777777" w:rsidR="004B5F51" w:rsidRPr="004B5F51" w:rsidRDefault="004B5F51" w:rsidP="0053692E">
            <w:pPr>
              <w:rPr>
                <w:rFonts w:cstheme="minorHAnsi"/>
                <w:sz w:val="20"/>
                <w:szCs w:val="20"/>
              </w:rPr>
            </w:pPr>
          </w:p>
        </w:tc>
        <w:tc>
          <w:tcPr>
            <w:tcW w:w="624" w:type="dxa"/>
          </w:tcPr>
          <w:p w14:paraId="68D984C5" w14:textId="77777777" w:rsidR="004B5F51" w:rsidRPr="004B5F51" w:rsidRDefault="004B5F51" w:rsidP="0053692E">
            <w:pPr>
              <w:rPr>
                <w:rFonts w:cstheme="minorHAnsi"/>
                <w:sz w:val="20"/>
                <w:szCs w:val="20"/>
              </w:rPr>
            </w:pPr>
          </w:p>
        </w:tc>
        <w:tc>
          <w:tcPr>
            <w:tcW w:w="624" w:type="dxa"/>
          </w:tcPr>
          <w:p w14:paraId="7BC76084" w14:textId="77777777" w:rsidR="004B5F51" w:rsidRPr="004B5F51" w:rsidRDefault="004B5F51" w:rsidP="0053692E">
            <w:pPr>
              <w:rPr>
                <w:rFonts w:cstheme="minorHAnsi"/>
                <w:sz w:val="20"/>
                <w:szCs w:val="20"/>
              </w:rPr>
            </w:pPr>
          </w:p>
        </w:tc>
      </w:tr>
      <w:tr w:rsidR="004B5F51" w14:paraId="6212879A" w14:textId="77777777" w:rsidTr="004B5F51">
        <w:trPr>
          <w:trHeight w:val="454"/>
        </w:trPr>
        <w:tc>
          <w:tcPr>
            <w:tcW w:w="2551" w:type="dxa"/>
          </w:tcPr>
          <w:p w14:paraId="452372EC" w14:textId="77777777" w:rsidR="004B5F51" w:rsidRDefault="004B5F51" w:rsidP="0053692E">
            <w:r>
              <w:t>Key informant Interviews</w:t>
            </w:r>
          </w:p>
        </w:tc>
        <w:tc>
          <w:tcPr>
            <w:tcW w:w="624" w:type="dxa"/>
          </w:tcPr>
          <w:p w14:paraId="7BFC9B93" w14:textId="77777777" w:rsidR="004B5F51" w:rsidRPr="004B5F51" w:rsidRDefault="004B5F51" w:rsidP="0053692E">
            <w:pPr>
              <w:rPr>
                <w:rFonts w:cstheme="minorHAnsi"/>
                <w:sz w:val="20"/>
                <w:szCs w:val="20"/>
              </w:rPr>
            </w:pPr>
          </w:p>
        </w:tc>
        <w:tc>
          <w:tcPr>
            <w:tcW w:w="624" w:type="dxa"/>
            <w:shd w:val="clear" w:color="auto" w:fill="auto"/>
          </w:tcPr>
          <w:p w14:paraId="24E9606C" w14:textId="77777777" w:rsidR="004B5F51" w:rsidRPr="004B5F51" w:rsidRDefault="004B5F51" w:rsidP="0053692E">
            <w:pPr>
              <w:rPr>
                <w:rFonts w:cstheme="minorHAnsi"/>
                <w:sz w:val="20"/>
                <w:szCs w:val="20"/>
              </w:rPr>
            </w:pPr>
          </w:p>
        </w:tc>
        <w:tc>
          <w:tcPr>
            <w:tcW w:w="624" w:type="dxa"/>
            <w:shd w:val="clear" w:color="auto" w:fill="auto"/>
          </w:tcPr>
          <w:p w14:paraId="0CBFE2FA" w14:textId="77777777" w:rsidR="004B5F51" w:rsidRPr="004B5F51" w:rsidRDefault="004B5F51" w:rsidP="0053692E">
            <w:pPr>
              <w:rPr>
                <w:rFonts w:cstheme="minorHAnsi"/>
                <w:sz w:val="20"/>
                <w:szCs w:val="20"/>
              </w:rPr>
            </w:pPr>
          </w:p>
        </w:tc>
        <w:tc>
          <w:tcPr>
            <w:tcW w:w="624" w:type="dxa"/>
            <w:shd w:val="clear" w:color="auto" w:fill="7030A0"/>
          </w:tcPr>
          <w:p w14:paraId="387335FC" w14:textId="77777777" w:rsidR="004B5F51" w:rsidRPr="004B5F51" w:rsidRDefault="004B5F51" w:rsidP="0053692E">
            <w:pPr>
              <w:rPr>
                <w:rFonts w:cstheme="minorHAnsi"/>
                <w:sz w:val="20"/>
                <w:szCs w:val="20"/>
              </w:rPr>
            </w:pPr>
          </w:p>
        </w:tc>
        <w:tc>
          <w:tcPr>
            <w:tcW w:w="624" w:type="dxa"/>
            <w:shd w:val="clear" w:color="auto" w:fill="7030A0"/>
          </w:tcPr>
          <w:p w14:paraId="36EAE1FC" w14:textId="77777777" w:rsidR="004B5F51" w:rsidRPr="004B5F51" w:rsidRDefault="004B5F51" w:rsidP="0053692E">
            <w:pPr>
              <w:rPr>
                <w:rFonts w:cstheme="minorHAnsi"/>
                <w:sz w:val="20"/>
                <w:szCs w:val="20"/>
              </w:rPr>
            </w:pPr>
          </w:p>
        </w:tc>
        <w:tc>
          <w:tcPr>
            <w:tcW w:w="624" w:type="dxa"/>
            <w:shd w:val="clear" w:color="auto" w:fill="7030A0"/>
          </w:tcPr>
          <w:p w14:paraId="6BEC476D" w14:textId="77777777" w:rsidR="004B5F51" w:rsidRPr="004B5F51" w:rsidRDefault="004B5F51" w:rsidP="0053692E">
            <w:pPr>
              <w:rPr>
                <w:rFonts w:cstheme="minorHAnsi"/>
                <w:sz w:val="20"/>
                <w:szCs w:val="20"/>
              </w:rPr>
            </w:pPr>
          </w:p>
        </w:tc>
        <w:tc>
          <w:tcPr>
            <w:tcW w:w="624" w:type="dxa"/>
            <w:shd w:val="clear" w:color="auto" w:fill="7030A0"/>
          </w:tcPr>
          <w:p w14:paraId="627D1A5B" w14:textId="77777777" w:rsidR="004B5F51" w:rsidRPr="004B5F51" w:rsidRDefault="004B5F51" w:rsidP="0053692E">
            <w:pPr>
              <w:rPr>
                <w:rFonts w:cstheme="minorHAnsi"/>
                <w:sz w:val="20"/>
                <w:szCs w:val="20"/>
              </w:rPr>
            </w:pPr>
          </w:p>
        </w:tc>
        <w:tc>
          <w:tcPr>
            <w:tcW w:w="624" w:type="dxa"/>
            <w:shd w:val="clear" w:color="auto" w:fill="7030A0"/>
          </w:tcPr>
          <w:p w14:paraId="7468F557" w14:textId="77777777" w:rsidR="004B5F51" w:rsidRPr="004B5F51" w:rsidRDefault="004B5F51" w:rsidP="0053692E">
            <w:pPr>
              <w:rPr>
                <w:rFonts w:cstheme="minorHAnsi"/>
                <w:sz w:val="20"/>
                <w:szCs w:val="20"/>
              </w:rPr>
            </w:pPr>
          </w:p>
        </w:tc>
        <w:tc>
          <w:tcPr>
            <w:tcW w:w="624" w:type="dxa"/>
            <w:shd w:val="clear" w:color="auto" w:fill="7030A0"/>
          </w:tcPr>
          <w:p w14:paraId="7998F41A" w14:textId="77777777" w:rsidR="004B5F51" w:rsidRPr="004B5F51" w:rsidRDefault="004B5F51" w:rsidP="0053692E">
            <w:pPr>
              <w:rPr>
                <w:rFonts w:cstheme="minorHAnsi"/>
                <w:sz w:val="20"/>
                <w:szCs w:val="20"/>
              </w:rPr>
            </w:pPr>
          </w:p>
        </w:tc>
        <w:tc>
          <w:tcPr>
            <w:tcW w:w="624" w:type="dxa"/>
          </w:tcPr>
          <w:p w14:paraId="7BD9800E" w14:textId="77777777" w:rsidR="004B5F51" w:rsidRPr="004B5F51" w:rsidRDefault="004B5F51" w:rsidP="0053692E">
            <w:pPr>
              <w:rPr>
                <w:rFonts w:cstheme="minorHAnsi"/>
                <w:sz w:val="20"/>
                <w:szCs w:val="20"/>
              </w:rPr>
            </w:pPr>
          </w:p>
        </w:tc>
      </w:tr>
      <w:tr w:rsidR="004B5F51" w14:paraId="250F91D2" w14:textId="77777777" w:rsidTr="004B5F51">
        <w:trPr>
          <w:trHeight w:val="454"/>
        </w:trPr>
        <w:tc>
          <w:tcPr>
            <w:tcW w:w="2551" w:type="dxa"/>
          </w:tcPr>
          <w:p w14:paraId="7BE91C26" w14:textId="77777777" w:rsidR="004B5F51" w:rsidRDefault="004B5F51" w:rsidP="0053692E">
            <w:r>
              <w:t xml:space="preserve">Synthesis of insights </w:t>
            </w:r>
          </w:p>
        </w:tc>
        <w:tc>
          <w:tcPr>
            <w:tcW w:w="624" w:type="dxa"/>
          </w:tcPr>
          <w:p w14:paraId="38E9CBA6" w14:textId="77777777" w:rsidR="004B5F51" w:rsidRPr="004B5F51" w:rsidRDefault="004B5F51" w:rsidP="0053692E">
            <w:pPr>
              <w:rPr>
                <w:rFonts w:cstheme="minorHAnsi"/>
                <w:sz w:val="20"/>
                <w:szCs w:val="20"/>
              </w:rPr>
            </w:pPr>
          </w:p>
        </w:tc>
        <w:tc>
          <w:tcPr>
            <w:tcW w:w="624" w:type="dxa"/>
          </w:tcPr>
          <w:p w14:paraId="7C36843B" w14:textId="77777777" w:rsidR="004B5F51" w:rsidRPr="004B5F51" w:rsidRDefault="004B5F51" w:rsidP="0053692E">
            <w:pPr>
              <w:rPr>
                <w:rFonts w:cstheme="minorHAnsi"/>
                <w:sz w:val="20"/>
                <w:szCs w:val="20"/>
              </w:rPr>
            </w:pPr>
          </w:p>
        </w:tc>
        <w:tc>
          <w:tcPr>
            <w:tcW w:w="624" w:type="dxa"/>
            <w:shd w:val="clear" w:color="auto" w:fill="auto"/>
          </w:tcPr>
          <w:p w14:paraId="4F859F13" w14:textId="77777777" w:rsidR="004B5F51" w:rsidRPr="004B5F51" w:rsidRDefault="004B5F51" w:rsidP="0053692E">
            <w:pPr>
              <w:rPr>
                <w:rFonts w:cstheme="minorHAnsi"/>
                <w:sz w:val="20"/>
                <w:szCs w:val="20"/>
              </w:rPr>
            </w:pPr>
          </w:p>
        </w:tc>
        <w:tc>
          <w:tcPr>
            <w:tcW w:w="624" w:type="dxa"/>
            <w:shd w:val="clear" w:color="auto" w:fill="auto"/>
          </w:tcPr>
          <w:p w14:paraId="54346F72" w14:textId="77777777" w:rsidR="004B5F51" w:rsidRPr="004B5F51" w:rsidRDefault="004B5F51" w:rsidP="0053692E">
            <w:pPr>
              <w:rPr>
                <w:rFonts w:cstheme="minorHAnsi"/>
                <w:sz w:val="20"/>
                <w:szCs w:val="20"/>
              </w:rPr>
            </w:pPr>
          </w:p>
        </w:tc>
        <w:tc>
          <w:tcPr>
            <w:tcW w:w="624" w:type="dxa"/>
            <w:shd w:val="clear" w:color="auto" w:fill="auto"/>
          </w:tcPr>
          <w:p w14:paraId="7AA4568E" w14:textId="77777777" w:rsidR="004B5F51" w:rsidRPr="004B5F51" w:rsidRDefault="004B5F51" w:rsidP="0053692E">
            <w:pPr>
              <w:rPr>
                <w:rFonts w:cstheme="minorHAnsi"/>
                <w:sz w:val="20"/>
                <w:szCs w:val="20"/>
              </w:rPr>
            </w:pPr>
          </w:p>
        </w:tc>
        <w:tc>
          <w:tcPr>
            <w:tcW w:w="624" w:type="dxa"/>
            <w:shd w:val="clear" w:color="auto" w:fill="auto"/>
          </w:tcPr>
          <w:p w14:paraId="0D99863E" w14:textId="77777777" w:rsidR="004B5F51" w:rsidRPr="004B5F51" w:rsidRDefault="004B5F51" w:rsidP="0053692E">
            <w:pPr>
              <w:rPr>
                <w:rFonts w:cstheme="minorHAnsi"/>
                <w:sz w:val="20"/>
                <w:szCs w:val="20"/>
              </w:rPr>
            </w:pPr>
          </w:p>
        </w:tc>
        <w:tc>
          <w:tcPr>
            <w:tcW w:w="624" w:type="dxa"/>
            <w:shd w:val="clear" w:color="auto" w:fill="7030A0"/>
          </w:tcPr>
          <w:p w14:paraId="55BFA75A" w14:textId="77777777" w:rsidR="004B5F51" w:rsidRPr="004B5F51" w:rsidRDefault="004B5F51" w:rsidP="0053692E">
            <w:pPr>
              <w:rPr>
                <w:rFonts w:cstheme="minorHAnsi"/>
                <w:sz w:val="20"/>
                <w:szCs w:val="20"/>
              </w:rPr>
            </w:pPr>
          </w:p>
        </w:tc>
        <w:tc>
          <w:tcPr>
            <w:tcW w:w="624" w:type="dxa"/>
            <w:shd w:val="clear" w:color="auto" w:fill="7030A0"/>
          </w:tcPr>
          <w:p w14:paraId="348415B1" w14:textId="77777777" w:rsidR="004B5F51" w:rsidRPr="004B5F51" w:rsidRDefault="004B5F51" w:rsidP="0053692E">
            <w:pPr>
              <w:rPr>
                <w:rFonts w:cstheme="minorHAnsi"/>
                <w:sz w:val="20"/>
                <w:szCs w:val="20"/>
              </w:rPr>
            </w:pPr>
          </w:p>
        </w:tc>
        <w:tc>
          <w:tcPr>
            <w:tcW w:w="624" w:type="dxa"/>
            <w:shd w:val="clear" w:color="auto" w:fill="7030A0"/>
          </w:tcPr>
          <w:p w14:paraId="4A40F3A7" w14:textId="77777777" w:rsidR="004B5F51" w:rsidRPr="004B5F51" w:rsidRDefault="004B5F51" w:rsidP="0053692E">
            <w:pPr>
              <w:rPr>
                <w:rFonts w:cstheme="minorHAnsi"/>
                <w:sz w:val="20"/>
                <w:szCs w:val="20"/>
              </w:rPr>
            </w:pPr>
          </w:p>
        </w:tc>
        <w:tc>
          <w:tcPr>
            <w:tcW w:w="624" w:type="dxa"/>
            <w:shd w:val="clear" w:color="auto" w:fill="7030A0"/>
          </w:tcPr>
          <w:p w14:paraId="38D02B08" w14:textId="77777777" w:rsidR="004B5F51" w:rsidRPr="004B5F51" w:rsidRDefault="004B5F51" w:rsidP="0053692E">
            <w:pPr>
              <w:rPr>
                <w:rFonts w:cstheme="minorHAnsi"/>
                <w:sz w:val="20"/>
                <w:szCs w:val="20"/>
              </w:rPr>
            </w:pPr>
          </w:p>
        </w:tc>
      </w:tr>
    </w:tbl>
    <w:p w14:paraId="103D45ED" w14:textId="0B9B70FE" w:rsidR="004B5F51" w:rsidRDefault="004B5F51" w:rsidP="006B2308">
      <w:pPr>
        <w:spacing w:line="276" w:lineRule="auto"/>
        <w:rPr>
          <w:sz w:val="24"/>
          <w:szCs w:val="24"/>
        </w:rPr>
      </w:pPr>
    </w:p>
    <w:p w14:paraId="654A67D5" w14:textId="77777777" w:rsidR="004B5F51" w:rsidRDefault="004B5F51" w:rsidP="006B2308">
      <w:pPr>
        <w:spacing w:line="276" w:lineRule="auto"/>
        <w:rPr>
          <w:sz w:val="24"/>
          <w:szCs w:val="24"/>
        </w:rPr>
      </w:pPr>
    </w:p>
    <w:p w14:paraId="719C9FDF" w14:textId="13080925" w:rsidR="006B2308" w:rsidRPr="00CB260B" w:rsidRDefault="00D61CB4" w:rsidP="00D61CB4">
      <w:pPr>
        <w:rPr>
          <w:sz w:val="24"/>
          <w:szCs w:val="24"/>
        </w:rPr>
      </w:pPr>
      <w:r>
        <w:rPr>
          <w:sz w:val="24"/>
          <w:szCs w:val="24"/>
        </w:rPr>
        <w:br w:type="page"/>
      </w:r>
    </w:p>
    <w:p w14:paraId="1B296E09" w14:textId="4D7FDB33" w:rsidR="001972A5" w:rsidRDefault="001972A5" w:rsidP="00DA7203">
      <w:pPr>
        <w:pStyle w:val="ListParagraph"/>
        <w:numPr>
          <w:ilvl w:val="0"/>
          <w:numId w:val="2"/>
        </w:numPr>
        <w:spacing w:line="240" w:lineRule="auto"/>
        <w:ind w:left="357" w:hanging="357"/>
        <w:rPr>
          <w:b/>
          <w:bCs/>
          <w:color w:val="193E72"/>
          <w:sz w:val="36"/>
          <w:szCs w:val="36"/>
        </w:rPr>
      </w:pPr>
      <w:r w:rsidRPr="00C27C69">
        <w:rPr>
          <w:b/>
          <w:bCs/>
          <w:color w:val="193E72"/>
          <w:sz w:val="36"/>
          <w:szCs w:val="36"/>
        </w:rPr>
        <w:lastRenderedPageBreak/>
        <w:t>Insights</w:t>
      </w:r>
    </w:p>
    <w:p w14:paraId="0F131C94" w14:textId="11E6B065" w:rsidR="0053057F" w:rsidRPr="0053057F" w:rsidRDefault="0053057F" w:rsidP="00863ED5">
      <w:pPr>
        <w:spacing w:line="240" w:lineRule="auto"/>
        <w:rPr>
          <w:iCs/>
          <w:sz w:val="24"/>
          <w:szCs w:val="24"/>
        </w:rPr>
      </w:pPr>
      <w:r w:rsidRPr="0053057F">
        <w:rPr>
          <w:iCs/>
          <w:sz w:val="24"/>
          <w:szCs w:val="24"/>
        </w:rPr>
        <w:t>The following insights provide early signals of the perceived impact of the ‘</w:t>
      </w:r>
      <w:r w:rsidR="00DA7203">
        <w:rPr>
          <w:iCs/>
          <w:sz w:val="24"/>
          <w:szCs w:val="24"/>
        </w:rPr>
        <w:t>high-impact</w:t>
      </w:r>
      <w:r w:rsidRPr="0053057F">
        <w:rPr>
          <w:iCs/>
          <w:sz w:val="24"/>
          <w:szCs w:val="24"/>
        </w:rPr>
        <w:t>’ initiatives and of the value of the support offer in this process.</w:t>
      </w:r>
    </w:p>
    <w:p w14:paraId="08458B05" w14:textId="06033035" w:rsidR="00863ED5" w:rsidRPr="0053057F" w:rsidRDefault="0053057F" w:rsidP="0053057F">
      <w:pPr>
        <w:pStyle w:val="Heading1"/>
        <w:rPr>
          <w:i/>
          <w:sz w:val="22"/>
          <w:szCs w:val="24"/>
        </w:rPr>
      </w:pPr>
      <w:r w:rsidRPr="0053057F">
        <w:rPr>
          <w:i/>
          <w:sz w:val="28"/>
        </w:rPr>
        <w:t>3</w:t>
      </w:r>
      <w:r w:rsidR="00305309" w:rsidRPr="0053057F">
        <w:rPr>
          <w:i/>
          <w:sz w:val="28"/>
        </w:rPr>
        <w:t xml:space="preserve">.1 </w:t>
      </w:r>
      <w:r w:rsidR="00863ED5" w:rsidRPr="0053057F">
        <w:rPr>
          <w:i/>
          <w:sz w:val="28"/>
        </w:rPr>
        <w:t xml:space="preserve">Prioritisation of </w:t>
      </w:r>
      <w:r w:rsidR="002B0A4B" w:rsidRPr="0053057F">
        <w:rPr>
          <w:i/>
          <w:sz w:val="28"/>
        </w:rPr>
        <w:t xml:space="preserve">high-impact </w:t>
      </w:r>
      <w:r w:rsidR="00863ED5" w:rsidRPr="0053057F">
        <w:rPr>
          <w:i/>
          <w:sz w:val="28"/>
        </w:rPr>
        <w:t>initiatives</w:t>
      </w:r>
    </w:p>
    <w:p w14:paraId="5967BB60" w14:textId="77777777" w:rsidR="00913728" w:rsidRPr="005A5437" w:rsidRDefault="00913728" w:rsidP="00E0120A">
      <w:pPr>
        <w:spacing w:line="276" w:lineRule="auto"/>
        <w:rPr>
          <w:sz w:val="16"/>
          <w:szCs w:val="16"/>
        </w:rPr>
      </w:pPr>
    </w:p>
    <w:p w14:paraId="7F296057" w14:textId="7FBB0B71" w:rsidR="004F4802" w:rsidRDefault="007B36C7" w:rsidP="00E0120A">
      <w:pPr>
        <w:spacing w:line="276" w:lineRule="auto"/>
        <w:rPr>
          <w:sz w:val="24"/>
          <w:szCs w:val="24"/>
        </w:rPr>
      </w:pPr>
      <w:r>
        <w:rPr>
          <w:sz w:val="24"/>
          <w:szCs w:val="24"/>
        </w:rPr>
        <w:t xml:space="preserve">Interview data suggests that the </w:t>
      </w:r>
      <w:r w:rsidR="009D2B95" w:rsidRPr="00863ED5">
        <w:rPr>
          <w:sz w:val="24"/>
          <w:szCs w:val="24"/>
        </w:rPr>
        <w:t xml:space="preserve">January 2023 plan for recovery of UEC services was well received. </w:t>
      </w:r>
      <w:r w:rsidR="003A1138">
        <w:rPr>
          <w:sz w:val="24"/>
          <w:szCs w:val="24"/>
        </w:rPr>
        <w:t xml:space="preserve">In response to the </w:t>
      </w:r>
      <w:r w:rsidR="00FD208C">
        <w:rPr>
          <w:sz w:val="24"/>
          <w:szCs w:val="24"/>
        </w:rPr>
        <w:t>announc</w:t>
      </w:r>
      <w:r w:rsidR="003A1138">
        <w:rPr>
          <w:sz w:val="24"/>
          <w:szCs w:val="24"/>
        </w:rPr>
        <w:t>ement</w:t>
      </w:r>
      <w:r w:rsidR="009D2B95" w:rsidRPr="00863ED5">
        <w:rPr>
          <w:sz w:val="24"/>
          <w:szCs w:val="24"/>
        </w:rPr>
        <w:t xml:space="preserve">, and in the months following, </w:t>
      </w:r>
      <w:r w:rsidR="0011044E">
        <w:rPr>
          <w:sz w:val="24"/>
          <w:szCs w:val="24"/>
        </w:rPr>
        <w:t>NHS R</w:t>
      </w:r>
      <w:r w:rsidR="008102A4" w:rsidRPr="00863ED5">
        <w:rPr>
          <w:sz w:val="24"/>
          <w:szCs w:val="24"/>
        </w:rPr>
        <w:t>eg</w:t>
      </w:r>
      <w:r w:rsidR="0011044E">
        <w:rPr>
          <w:sz w:val="24"/>
          <w:szCs w:val="24"/>
        </w:rPr>
        <w:t>ions, Systems and P</w:t>
      </w:r>
      <w:r w:rsidR="008008B0">
        <w:rPr>
          <w:sz w:val="24"/>
          <w:szCs w:val="24"/>
        </w:rPr>
        <w:t>roviders worked together to</w:t>
      </w:r>
      <w:r w:rsidR="008102A4" w:rsidRPr="00863ED5">
        <w:rPr>
          <w:sz w:val="24"/>
          <w:szCs w:val="24"/>
        </w:rPr>
        <w:t xml:space="preserve"> </w:t>
      </w:r>
      <w:r w:rsidR="008008B0">
        <w:rPr>
          <w:sz w:val="24"/>
          <w:szCs w:val="24"/>
        </w:rPr>
        <w:t>identify</w:t>
      </w:r>
      <w:r w:rsidR="0047602C">
        <w:rPr>
          <w:sz w:val="24"/>
          <w:szCs w:val="24"/>
        </w:rPr>
        <w:t xml:space="preserve"> </w:t>
      </w:r>
      <w:r w:rsidR="008102A4" w:rsidRPr="00863ED5">
        <w:rPr>
          <w:sz w:val="24"/>
          <w:szCs w:val="24"/>
        </w:rPr>
        <w:t xml:space="preserve">the most pressing </w:t>
      </w:r>
      <w:r w:rsidR="0047602C">
        <w:rPr>
          <w:sz w:val="24"/>
          <w:szCs w:val="24"/>
        </w:rPr>
        <w:t xml:space="preserve">UEC </w:t>
      </w:r>
      <w:r w:rsidR="008102A4" w:rsidRPr="00863ED5">
        <w:rPr>
          <w:sz w:val="24"/>
          <w:szCs w:val="24"/>
        </w:rPr>
        <w:t xml:space="preserve">issues </w:t>
      </w:r>
      <w:r w:rsidR="0047602C">
        <w:rPr>
          <w:sz w:val="24"/>
          <w:szCs w:val="24"/>
        </w:rPr>
        <w:t xml:space="preserve">and </w:t>
      </w:r>
      <w:r w:rsidR="008008B0">
        <w:rPr>
          <w:sz w:val="24"/>
          <w:szCs w:val="24"/>
        </w:rPr>
        <w:t xml:space="preserve">develop </w:t>
      </w:r>
      <w:r w:rsidR="0047602C">
        <w:rPr>
          <w:sz w:val="24"/>
          <w:szCs w:val="24"/>
        </w:rPr>
        <w:t>their operational responses to these</w:t>
      </w:r>
      <w:r w:rsidR="008008B0">
        <w:rPr>
          <w:sz w:val="24"/>
          <w:szCs w:val="24"/>
        </w:rPr>
        <w:t>. Regions and S</w:t>
      </w:r>
      <w:r w:rsidR="00264287">
        <w:rPr>
          <w:sz w:val="24"/>
          <w:szCs w:val="24"/>
        </w:rPr>
        <w:t>ystems</w:t>
      </w:r>
      <w:r w:rsidR="008102A4" w:rsidRPr="00863ED5">
        <w:rPr>
          <w:sz w:val="24"/>
          <w:szCs w:val="24"/>
        </w:rPr>
        <w:t xml:space="preserve"> </w:t>
      </w:r>
      <w:r w:rsidR="00904AC1">
        <w:rPr>
          <w:sz w:val="24"/>
          <w:szCs w:val="24"/>
        </w:rPr>
        <w:t xml:space="preserve">reported that they </w:t>
      </w:r>
      <w:r w:rsidR="008102A4" w:rsidRPr="00863ED5">
        <w:rPr>
          <w:sz w:val="24"/>
          <w:szCs w:val="24"/>
        </w:rPr>
        <w:t xml:space="preserve">focused on where the biggest gains </w:t>
      </w:r>
      <w:r w:rsidR="00E630DB">
        <w:rPr>
          <w:sz w:val="24"/>
          <w:szCs w:val="24"/>
        </w:rPr>
        <w:t xml:space="preserve">in UEC recovery </w:t>
      </w:r>
      <w:r w:rsidR="008102A4" w:rsidRPr="00863ED5">
        <w:rPr>
          <w:sz w:val="24"/>
          <w:szCs w:val="24"/>
        </w:rPr>
        <w:t>could be made</w:t>
      </w:r>
      <w:r w:rsidR="00904AC1">
        <w:rPr>
          <w:sz w:val="24"/>
          <w:szCs w:val="24"/>
        </w:rPr>
        <w:t xml:space="preserve"> – this often meant doing </w:t>
      </w:r>
      <w:r w:rsidR="00405B22">
        <w:rPr>
          <w:sz w:val="24"/>
          <w:szCs w:val="24"/>
        </w:rPr>
        <w:t xml:space="preserve">existing </w:t>
      </w:r>
      <w:r w:rsidR="00904AC1">
        <w:rPr>
          <w:sz w:val="24"/>
          <w:szCs w:val="24"/>
        </w:rPr>
        <w:t>things better</w:t>
      </w:r>
      <w:r w:rsidR="00FD680C">
        <w:rPr>
          <w:sz w:val="24"/>
          <w:szCs w:val="24"/>
        </w:rPr>
        <w:t xml:space="preserve"> rather</w:t>
      </w:r>
      <w:r w:rsidR="00904AC1">
        <w:rPr>
          <w:sz w:val="24"/>
          <w:szCs w:val="24"/>
        </w:rPr>
        <w:t xml:space="preserve"> than starting new initiatives from scratch</w:t>
      </w:r>
      <w:r w:rsidR="008008B0">
        <w:rPr>
          <w:sz w:val="24"/>
          <w:szCs w:val="24"/>
        </w:rPr>
        <w:t xml:space="preserve">. </w:t>
      </w:r>
      <w:r w:rsidR="00DA7203">
        <w:rPr>
          <w:sz w:val="24"/>
          <w:szCs w:val="24"/>
        </w:rPr>
        <w:t xml:space="preserve">Decisions were </w:t>
      </w:r>
      <w:r w:rsidR="00405B22">
        <w:rPr>
          <w:sz w:val="24"/>
          <w:szCs w:val="24"/>
        </w:rPr>
        <w:t>data driven and most</w:t>
      </w:r>
      <w:r w:rsidR="008008B0" w:rsidRPr="008008B0">
        <w:rPr>
          <w:sz w:val="24"/>
          <w:szCs w:val="24"/>
        </w:rPr>
        <w:t xml:space="preserve"> influenced by what was deemed achievable </w:t>
      </w:r>
      <w:r w:rsidR="00405B22">
        <w:rPr>
          <w:sz w:val="24"/>
          <w:szCs w:val="24"/>
        </w:rPr>
        <w:t>given timeframes, estate</w:t>
      </w:r>
      <w:r w:rsidR="004A77E3">
        <w:rPr>
          <w:sz w:val="24"/>
          <w:szCs w:val="24"/>
        </w:rPr>
        <w:t>,</w:t>
      </w:r>
      <w:r w:rsidR="00405B22">
        <w:rPr>
          <w:sz w:val="24"/>
          <w:szCs w:val="24"/>
        </w:rPr>
        <w:t xml:space="preserve"> and </w:t>
      </w:r>
      <w:r w:rsidR="00405B22">
        <w:rPr>
          <w:sz w:val="24"/>
          <w:szCs w:val="24"/>
        </w:rPr>
        <w:lastRenderedPageBreak/>
        <w:t>resource constraints</w:t>
      </w:r>
      <w:r w:rsidR="008008B0" w:rsidRPr="008008B0">
        <w:rPr>
          <w:sz w:val="24"/>
          <w:szCs w:val="24"/>
        </w:rPr>
        <w:t xml:space="preserve">. </w:t>
      </w:r>
      <w:r w:rsidR="00DF7211" w:rsidRPr="00863ED5">
        <w:rPr>
          <w:sz w:val="24"/>
          <w:szCs w:val="24"/>
        </w:rPr>
        <w:t xml:space="preserve">This meant </w:t>
      </w:r>
      <w:r w:rsidR="008008B0" w:rsidRPr="008008B0">
        <w:rPr>
          <w:sz w:val="24"/>
          <w:szCs w:val="24"/>
        </w:rPr>
        <w:t xml:space="preserve">resources </w:t>
      </w:r>
      <w:r w:rsidR="008008B0">
        <w:rPr>
          <w:sz w:val="24"/>
          <w:szCs w:val="24"/>
        </w:rPr>
        <w:t xml:space="preserve">were </w:t>
      </w:r>
      <w:r w:rsidR="008008B0" w:rsidRPr="008008B0">
        <w:rPr>
          <w:sz w:val="24"/>
          <w:szCs w:val="24"/>
        </w:rPr>
        <w:t xml:space="preserve">committed </w:t>
      </w:r>
      <w:r w:rsidR="00405B22">
        <w:rPr>
          <w:sz w:val="24"/>
          <w:szCs w:val="24"/>
        </w:rPr>
        <w:t>and</w:t>
      </w:r>
      <w:r w:rsidR="00DF7211" w:rsidRPr="00863ED5">
        <w:rPr>
          <w:sz w:val="24"/>
          <w:szCs w:val="24"/>
        </w:rPr>
        <w:t xml:space="preserve"> </w:t>
      </w:r>
      <w:r w:rsidR="00264287">
        <w:rPr>
          <w:sz w:val="24"/>
          <w:szCs w:val="24"/>
        </w:rPr>
        <w:t>local UEC recovery</w:t>
      </w:r>
      <w:r w:rsidR="00852F40" w:rsidRPr="00863ED5">
        <w:rPr>
          <w:sz w:val="24"/>
          <w:szCs w:val="24"/>
        </w:rPr>
        <w:t xml:space="preserve"> pla</w:t>
      </w:r>
      <w:r w:rsidR="00180604">
        <w:rPr>
          <w:sz w:val="24"/>
          <w:szCs w:val="24"/>
        </w:rPr>
        <w:t>n</w:t>
      </w:r>
      <w:r w:rsidR="00852F40" w:rsidRPr="00863ED5">
        <w:rPr>
          <w:sz w:val="24"/>
          <w:szCs w:val="24"/>
        </w:rPr>
        <w:t xml:space="preserve">s were </w:t>
      </w:r>
      <w:r w:rsidR="008008B0">
        <w:rPr>
          <w:sz w:val="24"/>
          <w:szCs w:val="24"/>
        </w:rPr>
        <w:t xml:space="preserve">being </w:t>
      </w:r>
      <w:r w:rsidR="008008B0" w:rsidRPr="00863ED5">
        <w:rPr>
          <w:sz w:val="24"/>
          <w:szCs w:val="24"/>
        </w:rPr>
        <w:t>implemented</w:t>
      </w:r>
      <w:r w:rsidR="00852F40" w:rsidRPr="00863ED5">
        <w:rPr>
          <w:sz w:val="24"/>
          <w:szCs w:val="24"/>
        </w:rPr>
        <w:t xml:space="preserve"> ahead of the</w:t>
      </w:r>
      <w:r w:rsidR="00264287">
        <w:rPr>
          <w:sz w:val="24"/>
          <w:szCs w:val="24"/>
        </w:rPr>
        <w:t xml:space="preserve"> summer 2023</w:t>
      </w:r>
      <w:r w:rsidR="00852F40" w:rsidRPr="00863ED5">
        <w:rPr>
          <w:sz w:val="24"/>
          <w:szCs w:val="24"/>
        </w:rPr>
        <w:t xml:space="preserve"> </w:t>
      </w:r>
      <w:r w:rsidR="00264287">
        <w:rPr>
          <w:sz w:val="24"/>
          <w:szCs w:val="24"/>
        </w:rPr>
        <w:t>l</w:t>
      </w:r>
      <w:r w:rsidR="00852F40" w:rsidRPr="00863ED5">
        <w:rPr>
          <w:sz w:val="24"/>
          <w:szCs w:val="24"/>
        </w:rPr>
        <w:t xml:space="preserve">etter announcing the </w:t>
      </w:r>
      <w:r w:rsidR="00DA7203">
        <w:rPr>
          <w:sz w:val="24"/>
          <w:szCs w:val="24"/>
        </w:rPr>
        <w:t>high-impact</w:t>
      </w:r>
      <w:r w:rsidR="00C53360">
        <w:rPr>
          <w:sz w:val="24"/>
          <w:szCs w:val="24"/>
        </w:rPr>
        <w:t xml:space="preserve"> initiatives</w:t>
      </w:r>
      <w:r w:rsidR="00DA7203">
        <w:rPr>
          <w:sz w:val="24"/>
          <w:szCs w:val="24"/>
        </w:rPr>
        <w:t xml:space="preserve"> focus</w:t>
      </w:r>
      <w:r w:rsidR="00C53360">
        <w:rPr>
          <w:sz w:val="24"/>
          <w:szCs w:val="24"/>
        </w:rPr>
        <w:t xml:space="preserve">. </w:t>
      </w:r>
      <w:r w:rsidR="004F4802">
        <w:rPr>
          <w:sz w:val="24"/>
          <w:szCs w:val="24"/>
        </w:rPr>
        <w:t xml:space="preserve"> </w:t>
      </w:r>
      <w:r w:rsidR="00DA7203">
        <w:rPr>
          <w:sz w:val="24"/>
          <w:szCs w:val="24"/>
        </w:rPr>
        <w:t>S</w:t>
      </w:r>
      <w:r w:rsidR="000D7A8A">
        <w:rPr>
          <w:sz w:val="24"/>
          <w:szCs w:val="24"/>
        </w:rPr>
        <w:t xml:space="preserve">urvey </w:t>
      </w:r>
      <w:r w:rsidR="00D61CB4">
        <w:rPr>
          <w:sz w:val="24"/>
          <w:szCs w:val="24"/>
        </w:rPr>
        <w:t>responses (Table 3</w:t>
      </w:r>
      <w:r w:rsidR="00DA7203">
        <w:rPr>
          <w:sz w:val="24"/>
          <w:szCs w:val="24"/>
        </w:rPr>
        <w:t xml:space="preserve">) support this, suggesting that </w:t>
      </w:r>
      <w:r w:rsidR="00FC0513">
        <w:rPr>
          <w:sz w:val="24"/>
          <w:szCs w:val="24"/>
        </w:rPr>
        <w:t xml:space="preserve">initiatives were often </w:t>
      </w:r>
      <w:r w:rsidR="0010743C">
        <w:rPr>
          <w:sz w:val="24"/>
          <w:szCs w:val="24"/>
        </w:rPr>
        <w:t xml:space="preserve">available prior to the prioritisation request </w:t>
      </w:r>
    </w:p>
    <w:p w14:paraId="213B640B" w14:textId="74A8A6E2" w:rsidR="00955F1A" w:rsidRDefault="0039333F" w:rsidP="004C73B6">
      <w:pPr>
        <w:spacing w:after="0" w:line="276" w:lineRule="auto"/>
        <w:rPr>
          <w:sz w:val="24"/>
          <w:szCs w:val="24"/>
        </w:rPr>
      </w:pPr>
      <w:r>
        <w:rPr>
          <w:sz w:val="24"/>
          <w:szCs w:val="24"/>
        </w:rPr>
        <w:t xml:space="preserve">A </w:t>
      </w:r>
      <w:r w:rsidR="004F4802">
        <w:rPr>
          <w:sz w:val="24"/>
          <w:szCs w:val="24"/>
        </w:rPr>
        <w:t xml:space="preserve">commitment to </w:t>
      </w:r>
      <w:r>
        <w:rPr>
          <w:sz w:val="24"/>
          <w:szCs w:val="24"/>
        </w:rPr>
        <w:t xml:space="preserve">existing </w:t>
      </w:r>
      <w:r w:rsidR="003D54C1">
        <w:rPr>
          <w:sz w:val="24"/>
          <w:szCs w:val="24"/>
        </w:rPr>
        <w:t xml:space="preserve">initiatives </w:t>
      </w:r>
      <w:r>
        <w:rPr>
          <w:sz w:val="24"/>
          <w:szCs w:val="24"/>
        </w:rPr>
        <w:t xml:space="preserve">as part of the </w:t>
      </w:r>
      <w:r w:rsidR="00DA7203">
        <w:rPr>
          <w:sz w:val="24"/>
          <w:szCs w:val="24"/>
        </w:rPr>
        <w:t>high-impact</w:t>
      </w:r>
      <w:r>
        <w:rPr>
          <w:sz w:val="24"/>
          <w:szCs w:val="24"/>
        </w:rPr>
        <w:t xml:space="preserve"> </w:t>
      </w:r>
      <w:r w:rsidR="00C62844">
        <w:rPr>
          <w:sz w:val="24"/>
          <w:szCs w:val="24"/>
        </w:rPr>
        <w:t>initiative</w:t>
      </w:r>
      <w:r>
        <w:rPr>
          <w:sz w:val="24"/>
          <w:szCs w:val="24"/>
        </w:rPr>
        <w:t xml:space="preserve"> work </w:t>
      </w:r>
      <w:r w:rsidR="00C62844">
        <w:rPr>
          <w:sz w:val="24"/>
          <w:szCs w:val="24"/>
        </w:rPr>
        <w:t xml:space="preserve">was also apparent from survey responses </w:t>
      </w:r>
      <w:r w:rsidR="000F03D0">
        <w:rPr>
          <w:sz w:val="24"/>
          <w:szCs w:val="24"/>
        </w:rPr>
        <w:t xml:space="preserve">on </w:t>
      </w:r>
      <w:r w:rsidR="00AF75D8">
        <w:rPr>
          <w:sz w:val="24"/>
          <w:szCs w:val="24"/>
        </w:rPr>
        <w:t xml:space="preserve">the </w:t>
      </w:r>
      <w:r w:rsidR="004F4802">
        <w:rPr>
          <w:sz w:val="24"/>
          <w:szCs w:val="24"/>
        </w:rPr>
        <w:t>self</w:t>
      </w:r>
      <w:r w:rsidR="00A0283F">
        <w:rPr>
          <w:sz w:val="24"/>
          <w:szCs w:val="24"/>
        </w:rPr>
        <w:t>-</w:t>
      </w:r>
      <w:r w:rsidR="00083C60">
        <w:rPr>
          <w:sz w:val="24"/>
          <w:szCs w:val="24"/>
        </w:rPr>
        <w:t>assess</w:t>
      </w:r>
      <w:r w:rsidR="00A0283F">
        <w:rPr>
          <w:sz w:val="24"/>
          <w:szCs w:val="24"/>
        </w:rPr>
        <w:t xml:space="preserve">ed </w:t>
      </w:r>
      <w:r w:rsidR="00A0283F" w:rsidRPr="00866A91">
        <w:rPr>
          <w:sz w:val="24"/>
          <w:szCs w:val="24"/>
        </w:rPr>
        <w:t xml:space="preserve">maturity assessment </w:t>
      </w:r>
      <w:r w:rsidR="004F4802">
        <w:rPr>
          <w:sz w:val="24"/>
          <w:szCs w:val="24"/>
        </w:rPr>
        <w:t>exercise</w:t>
      </w:r>
      <w:r w:rsidR="00AF75D8">
        <w:rPr>
          <w:sz w:val="24"/>
          <w:szCs w:val="24"/>
        </w:rPr>
        <w:t>. Whilst this exercise was</w:t>
      </w:r>
      <w:r w:rsidR="004F4802">
        <w:rPr>
          <w:sz w:val="24"/>
          <w:szCs w:val="24"/>
        </w:rPr>
        <w:t xml:space="preserve"> undertaken to support initiative selection</w:t>
      </w:r>
      <w:r w:rsidR="00AF75D8">
        <w:rPr>
          <w:sz w:val="24"/>
          <w:szCs w:val="24"/>
        </w:rPr>
        <w:t xml:space="preserve">, </w:t>
      </w:r>
      <w:r w:rsidR="004F4802">
        <w:rPr>
          <w:sz w:val="24"/>
          <w:szCs w:val="24"/>
        </w:rPr>
        <w:t>of the 69 respondents for this question</w:t>
      </w:r>
      <w:r w:rsidR="00601227">
        <w:rPr>
          <w:sz w:val="24"/>
          <w:szCs w:val="24"/>
        </w:rPr>
        <w:t>,</w:t>
      </w:r>
      <w:r w:rsidR="004F4802">
        <w:rPr>
          <w:sz w:val="24"/>
          <w:szCs w:val="24"/>
        </w:rPr>
        <w:t xml:space="preserve"> only 38% agreed that it had usefully informed initiative selection. </w:t>
      </w:r>
      <w:r w:rsidR="008008B0">
        <w:rPr>
          <w:sz w:val="24"/>
          <w:szCs w:val="24"/>
        </w:rPr>
        <w:t xml:space="preserve">Despite this, </w:t>
      </w:r>
      <w:r w:rsidR="008637F1">
        <w:rPr>
          <w:sz w:val="24"/>
          <w:szCs w:val="24"/>
        </w:rPr>
        <w:t>s</w:t>
      </w:r>
      <w:r w:rsidR="00083C60" w:rsidRPr="00866A91">
        <w:rPr>
          <w:sz w:val="24"/>
          <w:szCs w:val="24"/>
        </w:rPr>
        <w:t>ome interview</w:t>
      </w:r>
      <w:r w:rsidR="00632FF9">
        <w:rPr>
          <w:sz w:val="24"/>
          <w:szCs w:val="24"/>
        </w:rPr>
        <w:t>ees</w:t>
      </w:r>
      <w:r w:rsidR="00083C60" w:rsidRPr="00866A91">
        <w:rPr>
          <w:sz w:val="24"/>
          <w:szCs w:val="24"/>
        </w:rPr>
        <w:t xml:space="preserve"> </w:t>
      </w:r>
      <w:r w:rsidR="008008B0">
        <w:rPr>
          <w:sz w:val="24"/>
          <w:szCs w:val="24"/>
        </w:rPr>
        <w:t xml:space="preserve">stated </w:t>
      </w:r>
      <w:r w:rsidR="00083C60" w:rsidRPr="00866A91">
        <w:rPr>
          <w:sz w:val="24"/>
          <w:szCs w:val="24"/>
        </w:rPr>
        <w:t>that</w:t>
      </w:r>
      <w:r w:rsidR="008008B0">
        <w:rPr>
          <w:sz w:val="24"/>
          <w:szCs w:val="24"/>
        </w:rPr>
        <w:t xml:space="preserve"> </w:t>
      </w:r>
      <w:r w:rsidR="00083C60" w:rsidRPr="00866A91">
        <w:rPr>
          <w:sz w:val="24"/>
          <w:szCs w:val="24"/>
        </w:rPr>
        <w:t>they liked the guidance provided by the maturity assessment</w:t>
      </w:r>
      <w:r w:rsidR="000D0987">
        <w:rPr>
          <w:sz w:val="24"/>
          <w:szCs w:val="24"/>
        </w:rPr>
        <w:t>,</w:t>
      </w:r>
      <w:r w:rsidR="008008B0">
        <w:rPr>
          <w:sz w:val="24"/>
          <w:szCs w:val="24"/>
        </w:rPr>
        <w:t xml:space="preserve"> that w</w:t>
      </w:r>
      <w:r w:rsidR="00ED3CD9">
        <w:rPr>
          <w:sz w:val="24"/>
          <w:szCs w:val="24"/>
        </w:rPr>
        <w:t xml:space="preserve">as useful </w:t>
      </w:r>
      <w:r w:rsidR="00083C60" w:rsidRPr="00866A91">
        <w:rPr>
          <w:sz w:val="24"/>
          <w:szCs w:val="24"/>
        </w:rPr>
        <w:t>to get an overview of what was happening in their site</w:t>
      </w:r>
      <w:r w:rsidR="00ED3CD9">
        <w:rPr>
          <w:sz w:val="24"/>
          <w:szCs w:val="24"/>
        </w:rPr>
        <w:t xml:space="preserve">, and </w:t>
      </w:r>
      <w:r w:rsidR="008008B0">
        <w:rPr>
          <w:sz w:val="24"/>
          <w:szCs w:val="24"/>
        </w:rPr>
        <w:t xml:space="preserve">that </w:t>
      </w:r>
      <w:r w:rsidR="00ED3CD9">
        <w:rPr>
          <w:sz w:val="24"/>
          <w:szCs w:val="24"/>
        </w:rPr>
        <w:t xml:space="preserve">they </w:t>
      </w:r>
      <w:r w:rsidR="00083C60" w:rsidRPr="00866A91">
        <w:rPr>
          <w:sz w:val="24"/>
          <w:szCs w:val="24"/>
        </w:rPr>
        <w:t xml:space="preserve">planned to use it to determine focus for the 24/25 financial year. </w:t>
      </w:r>
      <w:r w:rsidR="00C7411A">
        <w:rPr>
          <w:sz w:val="24"/>
          <w:szCs w:val="24"/>
        </w:rPr>
        <w:t xml:space="preserve"> </w:t>
      </w:r>
    </w:p>
    <w:p w14:paraId="0485F719" w14:textId="4613823A" w:rsidR="00632FF9" w:rsidRDefault="00632FF9" w:rsidP="00955F1A">
      <w:pPr>
        <w:spacing w:after="0" w:line="276" w:lineRule="auto"/>
        <w:rPr>
          <w:sz w:val="24"/>
          <w:szCs w:val="24"/>
        </w:rPr>
      </w:pPr>
    </w:p>
    <w:p w14:paraId="475B256A" w14:textId="50D9E269" w:rsidR="004F4802" w:rsidRDefault="00D61CB4" w:rsidP="00E0120A">
      <w:pPr>
        <w:spacing w:line="276" w:lineRule="auto"/>
        <w:rPr>
          <w:sz w:val="24"/>
          <w:szCs w:val="24"/>
        </w:rPr>
      </w:pPr>
      <w:r>
        <w:rPr>
          <w:b/>
          <w:bCs/>
          <w:i/>
          <w:iCs/>
          <w:sz w:val="20"/>
          <w:szCs w:val="20"/>
        </w:rPr>
        <w:lastRenderedPageBreak/>
        <w:t>Table 3</w:t>
      </w:r>
      <w:r w:rsidR="00955F1A" w:rsidRPr="004C73B6">
        <w:rPr>
          <w:b/>
          <w:bCs/>
          <w:i/>
          <w:iCs/>
          <w:sz w:val="20"/>
          <w:szCs w:val="20"/>
        </w:rPr>
        <w:t>: Initiatives recorded as prioritised in the survey (total n across the survey = 127</w:t>
      </w:r>
      <w:r w:rsidR="00955F1A">
        <w:rPr>
          <w:sz w:val="24"/>
          <w:szCs w:val="24"/>
        </w:rPr>
        <w:t>)</w:t>
      </w:r>
    </w:p>
    <w:p w14:paraId="15321362" w14:textId="74F0A14B" w:rsidR="00CE40CC" w:rsidRDefault="009F1C88" w:rsidP="00913728">
      <w:pPr>
        <w:spacing w:line="276" w:lineRule="auto"/>
        <w:rPr>
          <w:sz w:val="24"/>
          <w:szCs w:val="24"/>
        </w:rPr>
      </w:pPr>
      <w:r w:rsidRPr="00422157">
        <w:rPr>
          <w:b/>
          <w:bCs/>
          <w:i/>
          <w:iCs/>
          <w:noProof/>
          <w:sz w:val="20"/>
          <w:szCs w:val="20"/>
          <w:lang w:eastAsia="en-GB"/>
        </w:rPr>
        <w:drawing>
          <wp:inline distT="0" distB="0" distL="0" distR="0" wp14:anchorId="1F86F435" wp14:editId="398EFA87">
            <wp:extent cx="5537964" cy="2489200"/>
            <wp:effectExtent l="0" t="0" r="5715" b="6350"/>
            <wp:docPr id="1978218166" name="Picture 1"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18166" name="Picture 1" descr="A table with numbers and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39637" cy="2489952"/>
                    </a:xfrm>
                    <a:prstGeom prst="rect">
                      <a:avLst/>
                    </a:prstGeom>
                  </pic:spPr>
                </pic:pic>
              </a:graphicData>
            </a:graphic>
          </wp:inline>
        </w:drawing>
      </w:r>
      <w:r w:rsidR="00264287">
        <w:rPr>
          <w:sz w:val="24"/>
          <w:szCs w:val="24"/>
        </w:rPr>
        <w:t xml:space="preserve"> </w:t>
      </w:r>
    </w:p>
    <w:p w14:paraId="4E70FE3B" w14:textId="1938055A" w:rsidR="009F1C88" w:rsidRPr="0053057F" w:rsidRDefault="0053057F" w:rsidP="0053057F">
      <w:pPr>
        <w:pStyle w:val="Heading1"/>
        <w:rPr>
          <w:i/>
          <w:sz w:val="22"/>
          <w:szCs w:val="24"/>
        </w:rPr>
      </w:pPr>
      <w:r w:rsidRPr="0053057F">
        <w:rPr>
          <w:i/>
          <w:sz w:val="28"/>
        </w:rPr>
        <w:t>3</w:t>
      </w:r>
      <w:r w:rsidR="00851B48" w:rsidRPr="0053057F">
        <w:rPr>
          <w:i/>
          <w:sz w:val="28"/>
        </w:rPr>
        <w:t xml:space="preserve">.2 Universal Support Offer </w:t>
      </w:r>
    </w:p>
    <w:p w14:paraId="0321AFC2" w14:textId="77777777" w:rsidR="00E75C82" w:rsidRDefault="00E75C82" w:rsidP="00955F1A">
      <w:pPr>
        <w:spacing w:after="0" w:line="276" w:lineRule="auto"/>
        <w:rPr>
          <w:sz w:val="24"/>
          <w:szCs w:val="24"/>
        </w:rPr>
      </w:pPr>
    </w:p>
    <w:p w14:paraId="79D6B72A" w14:textId="5956CC2D" w:rsidR="008637F1" w:rsidRDefault="00955F1A" w:rsidP="00955F1A">
      <w:pPr>
        <w:spacing w:after="0" w:line="276" w:lineRule="auto"/>
        <w:rPr>
          <w:sz w:val="24"/>
          <w:szCs w:val="24"/>
        </w:rPr>
      </w:pPr>
      <w:r>
        <w:rPr>
          <w:sz w:val="24"/>
          <w:szCs w:val="24"/>
        </w:rPr>
        <w:t xml:space="preserve">When </w:t>
      </w:r>
      <w:r w:rsidR="000D0987">
        <w:rPr>
          <w:sz w:val="24"/>
          <w:szCs w:val="24"/>
        </w:rPr>
        <w:t xml:space="preserve">surveyed </w:t>
      </w:r>
      <w:r>
        <w:rPr>
          <w:sz w:val="24"/>
          <w:szCs w:val="24"/>
        </w:rPr>
        <w:t>about their experience of the offer to support improvement and implementation of high priority initiatives</w:t>
      </w:r>
      <w:r w:rsidR="0070060C">
        <w:rPr>
          <w:sz w:val="24"/>
          <w:szCs w:val="24"/>
        </w:rPr>
        <w:t>,</w:t>
      </w:r>
      <w:r>
        <w:rPr>
          <w:sz w:val="24"/>
          <w:szCs w:val="24"/>
        </w:rPr>
        <w:t xml:space="preserve"> only 10% of respondents felt</w:t>
      </w:r>
      <w:r w:rsidR="00D61CB4">
        <w:rPr>
          <w:sz w:val="24"/>
          <w:szCs w:val="24"/>
        </w:rPr>
        <w:t xml:space="preserve"> this has been adequate (Table 4</w:t>
      </w:r>
      <w:r>
        <w:rPr>
          <w:sz w:val="24"/>
          <w:szCs w:val="24"/>
        </w:rPr>
        <w:t>).</w:t>
      </w:r>
    </w:p>
    <w:p w14:paraId="10167BB8" w14:textId="77777777" w:rsidR="007F1DED" w:rsidRPr="0009198A" w:rsidRDefault="007F1DED" w:rsidP="0009198A">
      <w:pPr>
        <w:spacing w:after="0" w:line="276" w:lineRule="auto"/>
        <w:rPr>
          <w:sz w:val="20"/>
          <w:szCs w:val="20"/>
        </w:rPr>
      </w:pPr>
    </w:p>
    <w:p w14:paraId="0AD764F5" w14:textId="7DC2C34C" w:rsidR="0041489F" w:rsidRPr="0009198A" w:rsidRDefault="0041489F" w:rsidP="00264287">
      <w:pPr>
        <w:spacing w:line="276" w:lineRule="auto"/>
        <w:rPr>
          <w:b/>
          <w:bCs/>
          <w:i/>
          <w:iCs/>
          <w:sz w:val="20"/>
          <w:szCs w:val="20"/>
        </w:rPr>
      </w:pPr>
      <w:r w:rsidRPr="0009198A">
        <w:rPr>
          <w:b/>
          <w:bCs/>
          <w:i/>
          <w:iCs/>
          <w:sz w:val="20"/>
          <w:szCs w:val="20"/>
        </w:rPr>
        <w:t xml:space="preserve">Table </w:t>
      </w:r>
      <w:r w:rsidR="00D61CB4">
        <w:rPr>
          <w:b/>
          <w:bCs/>
          <w:i/>
          <w:iCs/>
          <w:sz w:val="20"/>
          <w:szCs w:val="20"/>
        </w:rPr>
        <w:t>4</w:t>
      </w:r>
      <w:r w:rsidRPr="0009198A">
        <w:rPr>
          <w:b/>
          <w:bCs/>
          <w:i/>
          <w:iCs/>
          <w:sz w:val="20"/>
          <w:szCs w:val="20"/>
        </w:rPr>
        <w:t xml:space="preserve"> Overview of responses to </w:t>
      </w:r>
      <w:r w:rsidR="003E7C52" w:rsidRPr="0009198A">
        <w:rPr>
          <w:b/>
          <w:bCs/>
          <w:i/>
          <w:iCs/>
          <w:sz w:val="20"/>
          <w:szCs w:val="20"/>
        </w:rPr>
        <w:t xml:space="preserve">survey question </w:t>
      </w:r>
      <w:r w:rsidR="005A5437">
        <w:rPr>
          <w:b/>
          <w:bCs/>
          <w:i/>
          <w:iCs/>
          <w:sz w:val="20"/>
          <w:szCs w:val="20"/>
        </w:rPr>
        <w:t xml:space="preserve">on </w:t>
      </w:r>
      <w:r w:rsidR="003E7C52" w:rsidRPr="0009198A">
        <w:rPr>
          <w:b/>
          <w:bCs/>
          <w:i/>
          <w:iCs/>
          <w:sz w:val="20"/>
          <w:szCs w:val="20"/>
        </w:rPr>
        <w:t xml:space="preserve">people’s experiences to date with the improvement support offer by </w:t>
      </w:r>
      <w:r w:rsidR="004C73B6">
        <w:rPr>
          <w:b/>
          <w:bCs/>
          <w:i/>
          <w:iCs/>
          <w:sz w:val="20"/>
          <w:szCs w:val="20"/>
        </w:rPr>
        <w:t xml:space="preserve">NHS England </w:t>
      </w:r>
      <w:r w:rsidR="003E7C52" w:rsidRPr="0009198A">
        <w:rPr>
          <w:b/>
          <w:bCs/>
          <w:i/>
          <w:iCs/>
          <w:sz w:val="20"/>
          <w:szCs w:val="20"/>
        </w:rPr>
        <w:t>(n=80)</w:t>
      </w:r>
    </w:p>
    <w:tbl>
      <w:tblPr>
        <w:tblStyle w:val="TableGrid"/>
        <w:tblW w:w="5524" w:type="dxa"/>
        <w:tblLook w:val="04A0" w:firstRow="1" w:lastRow="0" w:firstColumn="1" w:lastColumn="0" w:noHBand="0" w:noVBand="1"/>
      </w:tblPr>
      <w:tblGrid>
        <w:gridCol w:w="3823"/>
        <w:gridCol w:w="1701"/>
      </w:tblGrid>
      <w:tr w:rsidR="0041489F" w:rsidRPr="0041489F" w14:paraId="431B8682" w14:textId="77777777" w:rsidTr="0009198A">
        <w:trPr>
          <w:trHeight w:val="272"/>
        </w:trPr>
        <w:tc>
          <w:tcPr>
            <w:tcW w:w="3823" w:type="dxa"/>
            <w:hideMark/>
          </w:tcPr>
          <w:p w14:paraId="7D6905BA" w14:textId="77777777" w:rsidR="0041489F" w:rsidRPr="0009198A" w:rsidRDefault="0041489F" w:rsidP="0009198A">
            <w:pPr>
              <w:spacing w:after="60"/>
              <w:rPr>
                <w:sz w:val="20"/>
                <w:szCs w:val="20"/>
              </w:rPr>
            </w:pPr>
            <w:r w:rsidRPr="0009198A">
              <w:rPr>
                <w:b/>
                <w:bCs/>
                <w:sz w:val="20"/>
                <w:szCs w:val="20"/>
              </w:rPr>
              <w:t>Response</w:t>
            </w:r>
          </w:p>
        </w:tc>
        <w:tc>
          <w:tcPr>
            <w:tcW w:w="1701" w:type="dxa"/>
            <w:hideMark/>
          </w:tcPr>
          <w:p w14:paraId="410DA263" w14:textId="77777777" w:rsidR="0041489F" w:rsidRPr="0009198A" w:rsidRDefault="0041489F" w:rsidP="0009198A">
            <w:pPr>
              <w:spacing w:after="60"/>
              <w:jc w:val="right"/>
              <w:rPr>
                <w:sz w:val="20"/>
                <w:szCs w:val="20"/>
              </w:rPr>
            </w:pPr>
            <w:r w:rsidRPr="0009198A">
              <w:rPr>
                <w:b/>
                <w:bCs/>
                <w:sz w:val="20"/>
                <w:szCs w:val="20"/>
              </w:rPr>
              <w:t>n (%)</w:t>
            </w:r>
          </w:p>
        </w:tc>
      </w:tr>
      <w:tr w:rsidR="0041489F" w:rsidRPr="0041489F" w14:paraId="550C13B3" w14:textId="77777777" w:rsidTr="0009198A">
        <w:trPr>
          <w:trHeight w:val="283"/>
        </w:trPr>
        <w:tc>
          <w:tcPr>
            <w:tcW w:w="3823" w:type="dxa"/>
            <w:shd w:val="clear" w:color="auto" w:fill="E7E6E6" w:themeFill="background2"/>
            <w:hideMark/>
          </w:tcPr>
          <w:p w14:paraId="1203FB34" w14:textId="77777777" w:rsidR="0041489F" w:rsidRPr="0009198A" w:rsidRDefault="0041489F" w:rsidP="0009198A">
            <w:pPr>
              <w:spacing w:after="60"/>
              <w:rPr>
                <w:sz w:val="20"/>
                <w:szCs w:val="20"/>
              </w:rPr>
            </w:pPr>
            <w:r w:rsidRPr="0009198A">
              <w:rPr>
                <w:b/>
                <w:bCs/>
                <w:sz w:val="20"/>
                <w:szCs w:val="20"/>
              </w:rPr>
              <w:t>Extremely adequate</w:t>
            </w:r>
          </w:p>
        </w:tc>
        <w:tc>
          <w:tcPr>
            <w:tcW w:w="1701" w:type="dxa"/>
            <w:shd w:val="clear" w:color="auto" w:fill="E7E6E6" w:themeFill="background2"/>
            <w:hideMark/>
          </w:tcPr>
          <w:p w14:paraId="3DC8A26D" w14:textId="57A04547" w:rsidR="0041489F" w:rsidRPr="0009198A" w:rsidRDefault="0041489F" w:rsidP="0009198A">
            <w:pPr>
              <w:spacing w:after="60"/>
              <w:jc w:val="right"/>
              <w:rPr>
                <w:sz w:val="20"/>
                <w:szCs w:val="20"/>
              </w:rPr>
            </w:pPr>
            <w:r w:rsidRPr="0009198A">
              <w:rPr>
                <w:sz w:val="20"/>
                <w:szCs w:val="20"/>
              </w:rPr>
              <w:t>0 (0)</w:t>
            </w:r>
          </w:p>
        </w:tc>
      </w:tr>
      <w:tr w:rsidR="0041489F" w:rsidRPr="0041489F" w14:paraId="31EFD691" w14:textId="77777777" w:rsidTr="0009198A">
        <w:trPr>
          <w:trHeight w:val="174"/>
        </w:trPr>
        <w:tc>
          <w:tcPr>
            <w:tcW w:w="3823" w:type="dxa"/>
            <w:hideMark/>
          </w:tcPr>
          <w:p w14:paraId="4B5CADA4" w14:textId="77777777" w:rsidR="0041489F" w:rsidRPr="0009198A" w:rsidRDefault="0041489F" w:rsidP="0009198A">
            <w:pPr>
              <w:spacing w:after="60"/>
              <w:rPr>
                <w:sz w:val="20"/>
                <w:szCs w:val="20"/>
              </w:rPr>
            </w:pPr>
            <w:r w:rsidRPr="0009198A">
              <w:rPr>
                <w:b/>
                <w:bCs/>
                <w:sz w:val="20"/>
                <w:szCs w:val="20"/>
              </w:rPr>
              <w:t>Adequate</w:t>
            </w:r>
          </w:p>
        </w:tc>
        <w:tc>
          <w:tcPr>
            <w:tcW w:w="1701" w:type="dxa"/>
            <w:hideMark/>
          </w:tcPr>
          <w:p w14:paraId="3D7E50D5" w14:textId="77777777" w:rsidR="0041489F" w:rsidRPr="0009198A" w:rsidRDefault="0041489F" w:rsidP="0009198A">
            <w:pPr>
              <w:spacing w:after="60"/>
              <w:jc w:val="right"/>
              <w:rPr>
                <w:sz w:val="20"/>
                <w:szCs w:val="20"/>
              </w:rPr>
            </w:pPr>
            <w:r w:rsidRPr="0009198A">
              <w:rPr>
                <w:sz w:val="20"/>
                <w:szCs w:val="20"/>
              </w:rPr>
              <w:t>8 (10.0)</w:t>
            </w:r>
          </w:p>
        </w:tc>
      </w:tr>
      <w:tr w:rsidR="0041489F" w:rsidRPr="0041489F" w14:paraId="46F5C958" w14:textId="77777777" w:rsidTr="0009198A">
        <w:trPr>
          <w:trHeight w:val="210"/>
        </w:trPr>
        <w:tc>
          <w:tcPr>
            <w:tcW w:w="3823" w:type="dxa"/>
            <w:shd w:val="clear" w:color="auto" w:fill="E7E6E6" w:themeFill="background2"/>
            <w:hideMark/>
          </w:tcPr>
          <w:p w14:paraId="590754B0" w14:textId="77777777" w:rsidR="0041489F" w:rsidRPr="0009198A" w:rsidRDefault="0041489F" w:rsidP="0009198A">
            <w:pPr>
              <w:spacing w:after="60"/>
              <w:rPr>
                <w:sz w:val="20"/>
                <w:szCs w:val="20"/>
              </w:rPr>
            </w:pPr>
            <w:r w:rsidRPr="0009198A">
              <w:rPr>
                <w:b/>
                <w:bCs/>
                <w:sz w:val="20"/>
                <w:szCs w:val="20"/>
              </w:rPr>
              <w:t>Neither adequate nor inadequate</w:t>
            </w:r>
          </w:p>
        </w:tc>
        <w:tc>
          <w:tcPr>
            <w:tcW w:w="1701" w:type="dxa"/>
            <w:shd w:val="clear" w:color="auto" w:fill="E7E6E6" w:themeFill="background2"/>
            <w:hideMark/>
          </w:tcPr>
          <w:p w14:paraId="0948BFE1" w14:textId="77777777" w:rsidR="0041489F" w:rsidRPr="0009198A" w:rsidRDefault="0041489F" w:rsidP="0009198A">
            <w:pPr>
              <w:spacing w:after="60"/>
              <w:jc w:val="right"/>
              <w:rPr>
                <w:sz w:val="20"/>
                <w:szCs w:val="20"/>
              </w:rPr>
            </w:pPr>
            <w:r w:rsidRPr="0009198A">
              <w:rPr>
                <w:sz w:val="20"/>
                <w:szCs w:val="20"/>
              </w:rPr>
              <w:t>28 (35.0)</w:t>
            </w:r>
          </w:p>
        </w:tc>
      </w:tr>
      <w:tr w:rsidR="0041489F" w:rsidRPr="0041489F" w14:paraId="7709DD7E" w14:textId="77777777" w:rsidTr="0009198A">
        <w:trPr>
          <w:trHeight w:val="246"/>
        </w:trPr>
        <w:tc>
          <w:tcPr>
            <w:tcW w:w="3823" w:type="dxa"/>
            <w:hideMark/>
          </w:tcPr>
          <w:p w14:paraId="5E3A0E0F" w14:textId="77777777" w:rsidR="0041489F" w:rsidRPr="0009198A" w:rsidRDefault="0041489F" w:rsidP="0009198A">
            <w:pPr>
              <w:spacing w:after="60"/>
              <w:rPr>
                <w:sz w:val="20"/>
                <w:szCs w:val="20"/>
              </w:rPr>
            </w:pPr>
            <w:r w:rsidRPr="0009198A">
              <w:rPr>
                <w:b/>
                <w:bCs/>
                <w:sz w:val="20"/>
                <w:szCs w:val="20"/>
              </w:rPr>
              <w:t>Inadequate</w:t>
            </w:r>
          </w:p>
        </w:tc>
        <w:tc>
          <w:tcPr>
            <w:tcW w:w="1701" w:type="dxa"/>
            <w:hideMark/>
          </w:tcPr>
          <w:p w14:paraId="743A2E29" w14:textId="77777777" w:rsidR="0041489F" w:rsidRPr="0009198A" w:rsidRDefault="0041489F" w:rsidP="0009198A">
            <w:pPr>
              <w:spacing w:after="60"/>
              <w:jc w:val="right"/>
              <w:rPr>
                <w:sz w:val="20"/>
                <w:szCs w:val="20"/>
              </w:rPr>
            </w:pPr>
            <w:r w:rsidRPr="0009198A">
              <w:rPr>
                <w:sz w:val="20"/>
                <w:szCs w:val="20"/>
              </w:rPr>
              <w:t>23 (28.7)</w:t>
            </w:r>
          </w:p>
        </w:tc>
      </w:tr>
      <w:tr w:rsidR="0041489F" w:rsidRPr="0041489F" w14:paraId="75F85B56" w14:textId="77777777" w:rsidTr="0009198A">
        <w:trPr>
          <w:trHeight w:val="296"/>
        </w:trPr>
        <w:tc>
          <w:tcPr>
            <w:tcW w:w="3823" w:type="dxa"/>
            <w:shd w:val="clear" w:color="auto" w:fill="E7E6E6" w:themeFill="background2"/>
            <w:hideMark/>
          </w:tcPr>
          <w:p w14:paraId="50831BB1" w14:textId="77777777" w:rsidR="0041489F" w:rsidRPr="0009198A" w:rsidRDefault="0041489F" w:rsidP="0009198A">
            <w:pPr>
              <w:spacing w:after="60"/>
              <w:rPr>
                <w:sz w:val="20"/>
                <w:szCs w:val="20"/>
              </w:rPr>
            </w:pPr>
            <w:r w:rsidRPr="0009198A">
              <w:rPr>
                <w:b/>
                <w:bCs/>
                <w:sz w:val="20"/>
                <w:szCs w:val="20"/>
              </w:rPr>
              <w:t>Extremely inadequate</w:t>
            </w:r>
          </w:p>
        </w:tc>
        <w:tc>
          <w:tcPr>
            <w:tcW w:w="1701" w:type="dxa"/>
            <w:shd w:val="clear" w:color="auto" w:fill="E7E6E6" w:themeFill="background2"/>
            <w:hideMark/>
          </w:tcPr>
          <w:p w14:paraId="50CA24F3" w14:textId="77777777" w:rsidR="0041489F" w:rsidRPr="0009198A" w:rsidRDefault="0041489F" w:rsidP="0009198A">
            <w:pPr>
              <w:spacing w:after="60"/>
              <w:jc w:val="right"/>
              <w:rPr>
                <w:sz w:val="20"/>
                <w:szCs w:val="20"/>
              </w:rPr>
            </w:pPr>
            <w:r w:rsidRPr="0009198A">
              <w:rPr>
                <w:sz w:val="20"/>
                <w:szCs w:val="20"/>
              </w:rPr>
              <w:t>21 (26.3)</w:t>
            </w:r>
          </w:p>
        </w:tc>
      </w:tr>
    </w:tbl>
    <w:p w14:paraId="037BAA1A" w14:textId="77777777" w:rsidR="00913728" w:rsidRPr="0004412E" w:rsidRDefault="00913728" w:rsidP="00264287">
      <w:pPr>
        <w:spacing w:line="276" w:lineRule="auto"/>
        <w:rPr>
          <w:sz w:val="20"/>
          <w:szCs w:val="20"/>
        </w:rPr>
      </w:pPr>
    </w:p>
    <w:p w14:paraId="5E72EFFC" w14:textId="570415E3" w:rsidR="00BA58B9" w:rsidRPr="00BA58B9" w:rsidRDefault="0070060C" w:rsidP="00BA58B9">
      <w:pPr>
        <w:spacing w:line="276" w:lineRule="auto"/>
        <w:rPr>
          <w:sz w:val="24"/>
          <w:szCs w:val="24"/>
        </w:rPr>
      </w:pPr>
      <w:r>
        <w:rPr>
          <w:sz w:val="24"/>
          <w:szCs w:val="24"/>
        </w:rPr>
        <w:t>When explored</w:t>
      </w:r>
      <w:r w:rsidR="000D0987">
        <w:rPr>
          <w:sz w:val="24"/>
          <w:szCs w:val="24"/>
        </w:rPr>
        <w:t xml:space="preserve"> </w:t>
      </w:r>
      <w:r>
        <w:rPr>
          <w:sz w:val="24"/>
          <w:szCs w:val="24"/>
        </w:rPr>
        <w:t xml:space="preserve">in interviews, </w:t>
      </w:r>
      <w:r w:rsidR="00BA58B9" w:rsidRPr="00BA58B9">
        <w:rPr>
          <w:sz w:val="24"/>
          <w:szCs w:val="24"/>
        </w:rPr>
        <w:t>many interviewees</w:t>
      </w:r>
      <w:r w:rsidR="00BA58B9">
        <w:rPr>
          <w:sz w:val="24"/>
          <w:szCs w:val="24"/>
        </w:rPr>
        <w:t xml:space="preserve"> indicated that </w:t>
      </w:r>
      <w:r w:rsidR="00BA58B9" w:rsidRPr="00BA58B9">
        <w:rPr>
          <w:sz w:val="24"/>
          <w:szCs w:val="24"/>
        </w:rPr>
        <w:t>support offer was not well received</w:t>
      </w:r>
      <w:r w:rsidR="00AE235E">
        <w:rPr>
          <w:sz w:val="24"/>
          <w:szCs w:val="24"/>
        </w:rPr>
        <w:t xml:space="preserve"> locally</w:t>
      </w:r>
      <w:r w:rsidR="009F4B56">
        <w:rPr>
          <w:sz w:val="24"/>
          <w:szCs w:val="24"/>
        </w:rPr>
        <w:t>.</w:t>
      </w:r>
      <w:r w:rsidR="00BA58B9" w:rsidRPr="00BA58B9">
        <w:rPr>
          <w:sz w:val="24"/>
          <w:szCs w:val="24"/>
        </w:rPr>
        <w:t xml:space="preserve"> </w:t>
      </w:r>
      <w:r w:rsidR="009F4B56">
        <w:rPr>
          <w:sz w:val="24"/>
          <w:szCs w:val="24"/>
        </w:rPr>
        <w:t>It was perceived to have</w:t>
      </w:r>
      <w:r w:rsidR="00BA58B9" w:rsidRPr="00BA58B9">
        <w:rPr>
          <w:sz w:val="24"/>
          <w:szCs w:val="24"/>
        </w:rPr>
        <w:t xml:space="preserve"> repeated </w:t>
      </w:r>
      <w:r w:rsidR="00BA58B9">
        <w:rPr>
          <w:sz w:val="24"/>
          <w:szCs w:val="24"/>
        </w:rPr>
        <w:t xml:space="preserve">the </w:t>
      </w:r>
      <w:r w:rsidR="00BA58B9" w:rsidRPr="00BA58B9">
        <w:rPr>
          <w:sz w:val="24"/>
          <w:szCs w:val="24"/>
        </w:rPr>
        <w:t>m</w:t>
      </w:r>
      <w:r w:rsidR="00BA58B9">
        <w:rPr>
          <w:sz w:val="24"/>
          <w:szCs w:val="24"/>
        </w:rPr>
        <w:t xml:space="preserve">istakes of an earlier </w:t>
      </w:r>
      <w:r w:rsidR="009F4B56">
        <w:rPr>
          <w:sz w:val="24"/>
          <w:szCs w:val="24"/>
        </w:rPr>
        <w:t xml:space="preserve">support </w:t>
      </w:r>
      <w:r w:rsidR="00BA58B9">
        <w:rPr>
          <w:sz w:val="24"/>
          <w:szCs w:val="24"/>
        </w:rPr>
        <w:t xml:space="preserve">offer </w:t>
      </w:r>
      <w:r w:rsidR="00AE235E">
        <w:rPr>
          <w:sz w:val="24"/>
          <w:szCs w:val="24"/>
        </w:rPr>
        <w:t>that targeted</w:t>
      </w:r>
      <w:r w:rsidR="002A3ED1">
        <w:rPr>
          <w:sz w:val="24"/>
          <w:szCs w:val="24"/>
        </w:rPr>
        <w:t xml:space="preserve"> </w:t>
      </w:r>
      <w:r w:rsidR="00BA58B9" w:rsidRPr="00BA58B9">
        <w:rPr>
          <w:sz w:val="24"/>
          <w:szCs w:val="24"/>
        </w:rPr>
        <w:t xml:space="preserve">senior executive rather than operational staff. Whilst the webinars were </w:t>
      </w:r>
      <w:r w:rsidR="009F4B56">
        <w:rPr>
          <w:sz w:val="24"/>
          <w:szCs w:val="24"/>
        </w:rPr>
        <w:t>viewed</w:t>
      </w:r>
      <w:r w:rsidR="00BA58B9" w:rsidRPr="00BA58B9">
        <w:rPr>
          <w:sz w:val="24"/>
          <w:szCs w:val="24"/>
        </w:rPr>
        <w:t xml:space="preserve"> as being of good quality</w:t>
      </w:r>
      <w:r w:rsidR="00BA58B9">
        <w:rPr>
          <w:sz w:val="24"/>
          <w:szCs w:val="24"/>
        </w:rPr>
        <w:t xml:space="preserve">, </w:t>
      </w:r>
      <w:r w:rsidR="00CE40CC">
        <w:rPr>
          <w:sz w:val="24"/>
          <w:szCs w:val="24"/>
        </w:rPr>
        <w:t>overall,</w:t>
      </w:r>
      <w:r w:rsidR="009F4B56">
        <w:rPr>
          <w:sz w:val="24"/>
          <w:szCs w:val="24"/>
        </w:rPr>
        <w:t xml:space="preserve"> </w:t>
      </w:r>
      <w:r w:rsidR="00BA58B9">
        <w:rPr>
          <w:sz w:val="24"/>
          <w:szCs w:val="24"/>
        </w:rPr>
        <w:t>t</w:t>
      </w:r>
      <w:r w:rsidR="00BA58B9" w:rsidRPr="00BA58B9">
        <w:rPr>
          <w:sz w:val="24"/>
          <w:szCs w:val="24"/>
        </w:rPr>
        <w:t>he</w:t>
      </w:r>
      <w:r w:rsidR="005C48F4">
        <w:rPr>
          <w:sz w:val="24"/>
          <w:szCs w:val="24"/>
        </w:rPr>
        <w:t xml:space="preserve">y were not necessarily the best format for the </w:t>
      </w:r>
      <w:bookmarkStart w:id="0" w:name="_GoBack"/>
      <w:bookmarkEnd w:id="0"/>
      <w:r w:rsidR="00BA58B9">
        <w:rPr>
          <w:sz w:val="24"/>
          <w:szCs w:val="24"/>
        </w:rPr>
        <w:lastRenderedPageBreak/>
        <w:t>senior audience</w:t>
      </w:r>
      <w:r w:rsidR="001E6682">
        <w:rPr>
          <w:sz w:val="24"/>
          <w:szCs w:val="24"/>
        </w:rPr>
        <w:t xml:space="preserve"> being targeted</w:t>
      </w:r>
      <w:r w:rsidR="00BA58B9" w:rsidRPr="00BA58B9">
        <w:rPr>
          <w:sz w:val="24"/>
          <w:szCs w:val="24"/>
        </w:rPr>
        <w:t xml:space="preserve">. </w:t>
      </w:r>
      <w:r w:rsidR="00B9010E">
        <w:rPr>
          <w:sz w:val="24"/>
          <w:szCs w:val="24"/>
        </w:rPr>
        <w:t xml:space="preserve">Some interviewees also expressed frustration that </w:t>
      </w:r>
      <w:r w:rsidR="009F4B56">
        <w:rPr>
          <w:sz w:val="24"/>
          <w:szCs w:val="24"/>
        </w:rPr>
        <w:t>the</w:t>
      </w:r>
      <w:r w:rsidR="00B9010E">
        <w:rPr>
          <w:sz w:val="24"/>
          <w:szCs w:val="24"/>
        </w:rPr>
        <w:t xml:space="preserve"> o</w:t>
      </w:r>
      <w:r w:rsidR="00B9010E" w:rsidRPr="00B9010E">
        <w:rPr>
          <w:sz w:val="24"/>
          <w:szCs w:val="24"/>
        </w:rPr>
        <w:t xml:space="preserve">perational </w:t>
      </w:r>
      <w:r w:rsidR="00B9010E">
        <w:rPr>
          <w:sz w:val="24"/>
          <w:szCs w:val="24"/>
        </w:rPr>
        <w:t xml:space="preserve">staff most likely to benefit; </w:t>
      </w:r>
      <w:r w:rsidR="009F4B56">
        <w:rPr>
          <w:sz w:val="24"/>
          <w:szCs w:val="24"/>
        </w:rPr>
        <w:t xml:space="preserve">and </w:t>
      </w:r>
      <w:r w:rsidR="005A5437">
        <w:rPr>
          <w:sz w:val="24"/>
          <w:szCs w:val="24"/>
        </w:rPr>
        <w:t>indeed,</w:t>
      </w:r>
      <w:r w:rsidR="009F4B56">
        <w:rPr>
          <w:sz w:val="24"/>
          <w:szCs w:val="24"/>
        </w:rPr>
        <w:t xml:space="preserve"> </w:t>
      </w:r>
      <w:r w:rsidR="00B9010E">
        <w:rPr>
          <w:sz w:val="24"/>
          <w:szCs w:val="24"/>
        </w:rPr>
        <w:t>the</w:t>
      </w:r>
      <w:r w:rsidR="00B9010E" w:rsidRPr="00B9010E">
        <w:rPr>
          <w:sz w:val="24"/>
          <w:szCs w:val="24"/>
        </w:rPr>
        <w:t xml:space="preserve"> ones most likely to enact rapid </w:t>
      </w:r>
      <w:r w:rsidR="009F4B56">
        <w:rPr>
          <w:sz w:val="24"/>
          <w:szCs w:val="24"/>
        </w:rPr>
        <w:t>improvement activity</w:t>
      </w:r>
      <w:r w:rsidR="00B9010E" w:rsidRPr="00B9010E">
        <w:rPr>
          <w:sz w:val="24"/>
          <w:szCs w:val="24"/>
        </w:rPr>
        <w:t xml:space="preserve"> </w:t>
      </w:r>
      <w:r w:rsidR="00AE235E">
        <w:rPr>
          <w:sz w:val="24"/>
          <w:szCs w:val="24"/>
        </w:rPr>
        <w:t xml:space="preserve">on the ground </w:t>
      </w:r>
      <w:r w:rsidR="00B9010E">
        <w:rPr>
          <w:sz w:val="24"/>
          <w:szCs w:val="24"/>
        </w:rPr>
        <w:t>(Band</w:t>
      </w:r>
      <w:r w:rsidR="009F4B56">
        <w:rPr>
          <w:sz w:val="24"/>
          <w:szCs w:val="24"/>
        </w:rPr>
        <w:t>s</w:t>
      </w:r>
      <w:r w:rsidR="00B9010E">
        <w:rPr>
          <w:sz w:val="24"/>
          <w:szCs w:val="24"/>
        </w:rPr>
        <w:t xml:space="preserve"> 4 to 7)</w:t>
      </w:r>
      <w:r w:rsidR="00087546">
        <w:rPr>
          <w:sz w:val="24"/>
          <w:szCs w:val="24"/>
        </w:rPr>
        <w:t>,</w:t>
      </w:r>
      <w:r w:rsidR="00B9010E">
        <w:rPr>
          <w:sz w:val="24"/>
          <w:szCs w:val="24"/>
        </w:rPr>
        <w:t xml:space="preserve"> were the ones excluded from </w:t>
      </w:r>
      <w:r w:rsidR="00AE235E">
        <w:rPr>
          <w:sz w:val="24"/>
          <w:szCs w:val="24"/>
        </w:rPr>
        <w:t xml:space="preserve">participating in </w:t>
      </w:r>
      <w:r w:rsidR="00B9010E">
        <w:rPr>
          <w:sz w:val="24"/>
          <w:szCs w:val="24"/>
        </w:rPr>
        <w:t xml:space="preserve">the support offer. </w:t>
      </w:r>
      <w:r w:rsidR="00BA58B9" w:rsidRPr="00BA58B9">
        <w:rPr>
          <w:sz w:val="24"/>
          <w:szCs w:val="24"/>
        </w:rPr>
        <w:t xml:space="preserve">The time commitment </w:t>
      </w:r>
      <w:r w:rsidR="00BA58B9">
        <w:rPr>
          <w:sz w:val="24"/>
          <w:szCs w:val="24"/>
        </w:rPr>
        <w:t xml:space="preserve">required for participation </w:t>
      </w:r>
      <w:r w:rsidR="00B9010E">
        <w:rPr>
          <w:sz w:val="24"/>
          <w:szCs w:val="24"/>
        </w:rPr>
        <w:t xml:space="preserve">and the </w:t>
      </w:r>
      <w:r w:rsidR="00B9010E" w:rsidRPr="00B9010E">
        <w:rPr>
          <w:sz w:val="24"/>
          <w:szCs w:val="24"/>
        </w:rPr>
        <w:t xml:space="preserve">perceived </w:t>
      </w:r>
      <w:r w:rsidR="00B9010E">
        <w:rPr>
          <w:sz w:val="24"/>
          <w:szCs w:val="24"/>
        </w:rPr>
        <w:t xml:space="preserve">need to complete </w:t>
      </w:r>
      <w:r w:rsidR="00B9010E" w:rsidRPr="00B9010E">
        <w:rPr>
          <w:sz w:val="24"/>
          <w:szCs w:val="24"/>
        </w:rPr>
        <w:t xml:space="preserve">mandatory </w:t>
      </w:r>
      <w:r w:rsidR="00B9010E" w:rsidRPr="00CE40CC">
        <w:rPr>
          <w:sz w:val="24"/>
          <w:szCs w:val="24"/>
        </w:rPr>
        <w:t>homework</w:t>
      </w:r>
      <w:r w:rsidR="00B9010E" w:rsidRPr="0004412E">
        <w:rPr>
          <w:sz w:val="24"/>
          <w:szCs w:val="24"/>
        </w:rPr>
        <w:t xml:space="preserve"> (even though it actually wasn’t mandatory) were deemed </w:t>
      </w:r>
      <w:r w:rsidR="009F4B56" w:rsidRPr="0004412E">
        <w:rPr>
          <w:sz w:val="24"/>
          <w:szCs w:val="24"/>
        </w:rPr>
        <w:t xml:space="preserve">too </w:t>
      </w:r>
      <w:r w:rsidR="00B9010E" w:rsidRPr="00CE40CC">
        <w:rPr>
          <w:sz w:val="24"/>
          <w:szCs w:val="24"/>
        </w:rPr>
        <w:t>unrealistic in the months leading up</w:t>
      </w:r>
      <w:r w:rsidR="00B9010E" w:rsidRPr="00B9010E">
        <w:rPr>
          <w:sz w:val="24"/>
          <w:szCs w:val="24"/>
        </w:rPr>
        <w:t xml:space="preserve"> to winter</w:t>
      </w:r>
      <w:r w:rsidR="00B9010E">
        <w:rPr>
          <w:sz w:val="24"/>
          <w:szCs w:val="24"/>
        </w:rPr>
        <w:t xml:space="preserve">. </w:t>
      </w:r>
      <w:r w:rsidR="00BA58B9" w:rsidRPr="00BA58B9">
        <w:rPr>
          <w:sz w:val="24"/>
          <w:szCs w:val="24"/>
        </w:rPr>
        <w:t>Additional operational challenges, in</w:t>
      </w:r>
      <w:r w:rsidR="00B9010E">
        <w:rPr>
          <w:sz w:val="24"/>
          <w:szCs w:val="24"/>
        </w:rPr>
        <w:t xml:space="preserve">cluding last-minute invites, </w:t>
      </w:r>
      <w:r w:rsidR="00BA58B9" w:rsidRPr="00BA58B9">
        <w:rPr>
          <w:sz w:val="24"/>
          <w:szCs w:val="24"/>
        </w:rPr>
        <w:t>the inability to forward invites (leading to very senior staff trying to deal with these requests)</w:t>
      </w:r>
      <w:r w:rsidR="00B9010E">
        <w:rPr>
          <w:sz w:val="24"/>
          <w:szCs w:val="24"/>
        </w:rPr>
        <w:t xml:space="preserve"> and clashing session</w:t>
      </w:r>
      <w:r w:rsidR="00B5477B">
        <w:rPr>
          <w:sz w:val="24"/>
          <w:szCs w:val="24"/>
        </w:rPr>
        <w:t>s</w:t>
      </w:r>
      <w:r w:rsidR="00BA58B9" w:rsidRPr="00BA58B9">
        <w:rPr>
          <w:sz w:val="24"/>
          <w:szCs w:val="24"/>
        </w:rPr>
        <w:t xml:space="preserve"> le</w:t>
      </w:r>
      <w:r w:rsidR="00BA58B9">
        <w:rPr>
          <w:sz w:val="24"/>
          <w:szCs w:val="24"/>
        </w:rPr>
        <w:t>d to further drop-off in engagement</w:t>
      </w:r>
      <w:r w:rsidR="009F4B56">
        <w:rPr>
          <w:sz w:val="24"/>
          <w:szCs w:val="24"/>
        </w:rPr>
        <w:t xml:space="preserve"> at both System and P</w:t>
      </w:r>
      <w:r w:rsidR="00B9010E">
        <w:rPr>
          <w:sz w:val="24"/>
          <w:szCs w:val="24"/>
        </w:rPr>
        <w:t>rovider level</w:t>
      </w:r>
      <w:r w:rsidR="009F4B56">
        <w:rPr>
          <w:sz w:val="24"/>
          <w:szCs w:val="24"/>
        </w:rPr>
        <w:t>s</w:t>
      </w:r>
      <w:r w:rsidR="00BA58B9">
        <w:rPr>
          <w:sz w:val="24"/>
          <w:szCs w:val="24"/>
        </w:rPr>
        <w:t>.</w:t>
      </w:r>
    </w:p>
    <w:p w14:paraId="76B5A68C" w14:textId="6BF23E6C" w:rsidR="00B9010E" w:rsidRDefault="00BA58B9" w:rsidP="00BA58B9">
      <w:pPr>
        <w:spacing w:line="276" w:lineRule="auto"/>
        <w:rPr>
          <w:sz w:val="24"/>
          <w:szCs w:val="24"/>
        </w:rPr>
      </w:pPr>
      <w:r w:rsidRPr="00BA58B9">
        <w:rPr>
          <w:sz w:val="24"/>
          <w:szCs w:val="24"/>
        </w:rPr>
        <w:t xml:space="preserve">Despite this, many informants have highlighted that there is a strong appetite for peer-to-peer learning within UEC and that there are already many formal and informal learning </w:t>
      </w:r>
      <w:r w:rsidRPr="00BA58B9">
        <w:rPr>
          <w:sz w:val="24"/>
          <w:szCs w:val="24"/>
        </w:rPr>
        <w:lastRenderedPageBreak/>
        <w:t>networks around urgent and emergency care across regions</w:t>
      </w:r>
      <w:r w:rsidR="002B0A4B">
        <w:rPr>
          <w:sz w:val="24"/>
          <w:szCs w:val="24"/>
        </w:rPr>
        <w:t>; Emergency Medicine Leads have a national WhatsApp advice group for example</w:t>
      </w:r>
      <w:r w:rsidRPr="00BA58B9">
        <w:rPr>
          <w:sz w:val="24"/>
          <w:szCs w:val="24"/>
        </w:rPr>
        <w:t xml:space="preserve">. </w:t>
      </w:r>
    </w:p>
    <w:p w14:paraId="2E98F4AF" w14:textId="1D892093" w:rsidR="001708C8" w:rsidRPr="00B44AF7" w:rsidRDefault="002B0A4B" w:rsidP="00913728">
      <w:pPr>
        <w:spacing w:line="276" w:lineRule="auto"/>
        <w:rPr>
          <w:sz w:val="24"/>
          <w:szCs w:val="24"/>
        </w:rPr>
      </w:pPr>
      <w:r w:rsidRPr="002B0A4B">
        <w:rPr>
          <w:sz w:val="24"/>
          <w:szCs w:val="24"/>
        </w:rPr>
        <w:t xml:space="preserve">Interviewees indicated that </w:t>
      </w:r>
      <w:r w:rsidR="009F4B56" w:rsidRPr="002B0A4B">
        <w:rPr>
          <w:sz w:val="24"/>
          <w:szCs w:val="24"/>
        </w:rPr>
        <w:t>peer-to-peer</w:t>
      </w:r>
      <w:r w:rsidRPr="002B0A4B">
        <w:rPr>
          <w:sz w:val="24"/>
          <w:szCs w:val="24"/>
        </w:rPr>
        <w:t xml:space="preserve"> learning was perceived to be very helpful and something that could be usefully expanded.  Whilst time consuming, people could also see value in practical exposure to peer activities as opposed to seei</w:t>
      </w:r>
      <w:r w:rsidR="00163B35">
        <w:rPr>
          <w:sz w:val="24"/>
          <w:szCs w:val="24"/>
        </w:rPr>
        <w:t>ng a showcase on a webinar. Suggested</w:t>
      </w:r>
      <w:r w:rsidRPr="002B0A4B">
        <w:rPr>
          <w:sz w:val="24"/>
          <w:szCs w:val="24"/>
        </w:rPr>
        <w:t xml:space="preserve"> practical activities included operational site visits to other organisations with similar settings or populations or having in-person meetings with peers to discuss delivery experience and challenges in detail. </w:t>
      </w:r>
      <w:r w:rsidR="00B9010E" w:rsidRPr="00B9010E">
        <w:rPr>
          <w:sz w:val="24"/>
          <w:szCs w:val="24"/>
        </w:rPr>
        <w:t>Regional leads are well placed to coordinate or facilitate th</w:t>
      </w:r>
      <w:r w:rsidR="009F4B56">
        <w:rPr>
          <w:sz w:val="24"/>
          <w:szCs w:val="24"/>
        </w:rPr>
        <w:t>is learning</w:t>
      </w:r>
      <w:r w:rsidR="00B9010E" w:rsidRPr="00B9010E">
        <w:rPr>
          <w:sz w:val="24"/>
          <w:szCs w:val="24"/>
        </w:rPr>
        <w:t xml:space="preserve"> as they </w:t>
      </w:r>
      <w:r w:rsidR="009F4B56">
        <w:rPr>
          <w:sz w:val="24"/>
          <w:szCs w:val="24"/>
        </w:rPr>
        <w:t>well networked into</w:t>
      </w:r>
      <w:r w:rsidR="00B9010E" w:rsidRPr="00B9010E">
        <w:rPr>
          <w:sz w:val="24"/>
          <w:szCs w:val="24"/>
        </w:rPr>
        <w:t xml:space="preserve"> ongoin</w:t>
      </w:r>
      <w:r w:rsidR="009F4B56">
        <w:rPr>
          <w:sz w:val="24"/>
          <w:szCs w:val="24"/>
        </w:rPr>
        <w:t xml:space="preserve">g activities across the region, </w:t>
      </w:r>
      <w:r w:rsidR="00B9010E" w:rsidRPr="00B9010E">
        <w:rPr>
          <w:sz w:val="24"/>
          <w:szCs w:val="24"/>
        </w:rPr>
        <w:t>allowing them to match people from similar settings</w:t>
      </w:r>
      <w:r w:rsidR="00163B35">
        <w:rPr>
          <w:sz w:val="24"/>
          <w:szCs w:val="24"/>
        </w:rPr>
        <w:t>/ facing similar challenges</w:t>
      </w:r>
      <w:r w:rsidR="00B9010E" w:rsidRPr="00B9010E">
        <w:rPr>
          <w:sz w:val="24"/>
          <w:szCs w:val="24"/>
        </w:rPr>
        <w:t>.</w:t>
      </w:r>
    </w:p>
    <w:p w14:paraId="18D3944F" w14:textId="6BE3AA53" w:rsidR="00E64DD5" w:rsidRPr="00B44AF7" w:rsidRDefault="0053057F" w:rsidP="00B44AF7">
      <w:pPr>
        <w:pStyle w:val="Heading1"/>
        <w:rPr>
          <w:i/>
          <w:sz w:val="28"/>
          <w:szCs w:val="24"/>
        </w:rPr>
      </w:pPr>
      <w:r w:rsidRPr="00B44AF7">
        <w:rPr>
          <w:i/>
          <w:sz w:val="28"/>
        </w:rPr>
        <w:lastRenderedPageBreak/>
        <w:t>3.3</w:t>
      </w:r>
      <w:r w:rsidR="00BA3FA7" w:rsidRPr="00B44AF7">
        <w:rPr>
          <w:i/>
          <w:sz w:val="28"/>
        </w:rPr>
        <w:t xml:space="preserve"> </w:t>
      </w:r>
      <w:r w:rsidR="002D75DB" w:rsidRPr="00B44AF7">
        <w:rPr>
          <w:i/>
          <w:sz w:val="28"/>
        </w:rPr>
        <w:t>Initiatives and signals of impact</w:t>
      </w:r>
    </w:p>
    <w:p w14:paraId="67B1E411" w14:textId="77777777" w:rsidR="00AE235E" w:rsidRDefault="00AE235E" w:rsidP="00F07857">
      <w:pPr>
        <w:spacing w:line="276" w:lineRule="auto"/>
        <w:rPr>
          <w:i/>
          <w:iCs/>
          <w:sz w:val="24"/>
          <w:szCs w:val="24"/>
        </w:rPr>
      </w:pPr>
    </w:p>
    <w:p w14:paraId="0992A5B5" w14:textId="484D60B3" w:rsidR="00E64DD5" w:rsidRPr="002B0A4B" w:rsidRDefault="00DF4295" w:rsidP="00F07857">
      <w:pPr>
        <w:spacing w:line="276" w:lineRule="auto"/>
        <w:rPr>
          <w:i/>
          <w:iCs/>
          <w:sz w:val="24"/>
          <w:szCs w:val="24"/>
        </w:rPr>
      </w:pPr>
      <w:r>
        <w:rPr>
          <w:i/>
          <w:iCs/>
          <w:sz w:val="24"/>
          <w:szCs w:val="24"/>
        </w:rPr>
        <w:t>Selection of i</w:t>
      </w:r>
      <w:r w:rsidR="00E64DD5" w:rsidRPr="002B0A4B">
        <w:rPr>
          <w:i/>
          <w:iCs/>
          <w:sz w:val="24"/>
          <w:szCs w:val="24"/>
        </w:rPr>
        <w:t xml:space="preserve">nitiatives </w:t>
      </w:r>
    </w:p>
    <w:p w14:paraId="2F1023AC" w14:textId="62A28D1C" w:rsidR="0085363C" w:rsidRPr="008115B9" w:rsidRDefault="0066460E" w:rsidP="00F07857">
      <w:pPr>
        <w:spacing w:line="276" w:lineRule="auto"/>
        <w:rPr>
          <w:sz w:val="24"/>
          <w:szCs w:val="24"/>
        </w:rPr>
      </w:pPr>
      <w:r>
        <w:rPr>
          <w:sz w:val="24"/>
          <w:szCs w:val="24"/>
        </w:rPr>
        <w:t>From the survey, s</w:t>
      </w:r>
      <w:r w:rsidR="006A0E6E" w:rsidRPr="00863ED5">
        <w:rPr>
          <w:sz w:val="24"/>
          <w:szCs w:val="24"/>
        </w:rPr>
        <w:t xml:space="preserve">ame </w:t>
      </w:r>
      <w:r>
        <w:rPr>
          <w:sz w:val="24"/>
          <w:szCs w:val="24"/>
        </w:rPr>
        <w:t>d</w:t>
      </w:r>
      <w:r w:rsidR="006A0E6E" w:rsidRPr="00863ED5">
        <w:rPr>
          <w:sz w:val="24"/>
          <w:szCs w:val="24"/>
        </w:rPr>
        <w:t xml:space="preserve">ay </w:t>
      </w:r>
      <w:r>
        <w:rPr>
          <w:sz w:val="24"/>
          <w:szCs w:val="24"/>
        </w:rPr>
        <w:t>e</w:t>
      </w:r>
      <w:r w:rsidR="006A0E6E" w:rsidRPr="00863ED5">
        <w:rPr>
          <w:sz w:val="24"/>
          <w:szCs w:val="24"/>
        </w:rPr>
        <w:t xml:space="preserve">mergency </w:t>
      </w:r>
      <w:r>
        <w:rPr>
          <w:sz w:val="24"/>
          <w:szCs w:val="24"/>
        </w:rPr>
        <w:t>c</w:t>
      </w:r>
      <w:r w:rsidR="006A0E6E" w:rsidRPr="00863ED5">
        <w:rPr>
          <w:sz w:val="24"/>
          <w:szCs w:val="24"/>
        </w:rPr>
        <w:t>are (SDEC</w:t>
      </w:r>
      <w:r w:rsidR="00F14911">
        <w:rPr>
          <w:sz w:val="24"/>
          <w:szCs w:val="24"/>
        </w:rPr>
        <w:t>)</w:t>
      </w:r>
      <w:r w:rsidR="006A0E6E" w:rsidRPr="00863ED5">
        <w:rPr>
          <w:sz w:val="24"/>
          <w:szCs w:val="24"/>
        </w:rPr>
        <w:t>, virtual wards, acute frailty services</w:t>
      </w:r>
      <w:r w:rsidR="00E90851" w:rsidRPr="00863ED5">
        <w:rPr>
          <w:sz w:val="24"/>
          <w:szCs w:val="24"/>
        </w:rPr>
        <w:t xml:space="preserve"> </w:t>
      </w:r>
      <w:r w:rsidR="006A0E6E" w:rsidRPr="00863ED5">
        <w:rPr>
          <w:sz w:val="24"/>
          <w:szCs w:val="24"/>
        </w:rPr>
        <w:t>and inpatient flow and management</w:t>
      </w:r>
      <w:r w:rsidR="00ED359B" w:rsidRPr="00863ED5">
        <w:rPr>
          <w:sz w:val="24"/>
          <w:szCs w:val="24"/>
        </w:rPr>
        <w:t xml:space="preserve"> </w:t>
      </w:r>
      <w:r w:rsidR="006A0E6E" w:rsidRPr="00863ED5">
        <w:rPr>
          <w:sz w:val="24"/>
          <w:szCs w:val="24"/>
        </w:rPr>
        <w:t xml:space="preserve">were </w:t>
      </w:r>
      <w:r w:rsidR="001540D7">
        <w:rPr>
          <w:sz w:val="24"/>
          <w:szCs w:val="24"/>
        </w:rPr>
        <w:t xml:space="preserve">the </w:t>
      </w:r>
      <w:r w:rsidR="006A0E6E" w:rsidRPr="00863ED5">
        <w:rPr>
          <w:sz w:val="24"/>
          <w:szCs w:val="24"/>
        </w:rPr>
        <w:t xml:space="preserve">most </w:t>
      </w:r>
      <w:r w:rsidR="001540D7">
        <w:rPr>
          <w:sz w:val="24"/>
          <w:szCs w:val="24"/>
        </w:rPr>
        <w:t xml:space="preserve">commonly </w:t>
      </w:r>
      <w:r w:rsidR="006A0E6E" w:rsidRPr="00863ED5">
        <w:rPr>
          <w:sz w:val="24"/>
          <w:szCs w:val="24"/>
        </w:rPr>
        <w:t xml:space="preserve">selected </w:t>
      </w:r>
      <w:r w:rsidR="001540D7">
        <w:rPr>
          <w:sz w:val="24"/>
          <w:szCs w:val="24"/>
        </w:rPr>
        <w:t>initiatives (</w:t>
      </w:r>
      <w:r w:rsidR="00B44AF7">
        <w:rPr>
          <w:sz w:val="24"/>
          <w:szCs w:val="24"/>
        </w:rPr>
        <w:t xml:space="preserve">see </w:t>
      </w:r>
      <w:r w:rsidR="00D61CB4">
        <w:rPr>
          <w:sz w:val="24"/>
          <w:szCs w:val="24"/>
        </w:rPr>
        <w:t>Table 3</w:t>
      </w:r>
      <w:r w:rsidR="00F14911">
        <w:rPr>
          <w:sz w:val="24"/>
          <w:szCs w:val="24"/>
        </w:rPr>
        <w:t xml:space="preserve"> above</w:t>
      </w:r>
      <w:r w:rsidR="001540D7">
        <w:rPr>
          <w:sz w:val="24"/>
          <w:szCs w:val="24"/>
        </w:rPr>
        <w:t>)</w:t>
      </w:r>
      <w:r w:rsidR="00E90851" w:rsidRPr="00863ED5">
        <w:rPr>
          <w:sz w:val="24"/>
          <w:szCs w:val="24"/>
        </w:rPr>
        <w:t>.</w:t>
      </w:r>
      <w:r w:rsidR="008D6DB3" w:rsidRPr="00863ED5">
        <w:rPr>
          <w:sz w:val="24"/>
          <w:szCs w:val="24"/>
        </w:rPr>
        <w:t xml:space="preserve"> </w:t>
      </w:r>
      <w:r w:rsidR="00F07857">
        <w:rPr>
          <w:sz w:val="24"/>
          <w:szCs w:val="24"/>
        </w:rPr>
        <w:t xml:space="preserve">It was clear from interviews that </w:t>
      </w:r>
      <w:r w:rsidR="00EB4187" w:rsidRPr="00863ED5">
        <w:rPr>
          <w:sz w:val="24"/>
          <w:szCs w:val="24"/>
        </w:rPr>
        <w:t>initiative</w:t>
      </w:r>
      <w:r w:rsidR="00F14911">
        <w:rPr>
          <w:sz w:val="24"/>
          <w:szCs w:val="24"/>
        </w:rPr>
        <w:t xml:space="preserve"> </w:t>
      </w:r>
      <w:r w:rsidR="00EB4187" w:rsidRPr="00863ED5">
        <w:rPr>
          <w:sz w:val="24"/>
          <w:szCs w:val="24"/>
        </w:rPr>
        <w:t>s</w:t>
      </w:r>
      <w:r w:rsidR="00F14911">
        <w:rPr>
          <w:sz w:val="24"/>
          <w:szCs w:val="24"/>
        </w:rPr>
        <w:t>election was informed by</w:t>
      </w:r>
      <w:r w:rsidR="00EB4187" w:rsidRPr="00863ED5">
        <w:rPr>
          <w:sz w:val="24"/>
          <w:szCs w:val="24"/>
        </w:rPr>
        <w:t xml:space="preserve"> regional 23/24 planning</w:t>
      </w:r>
      <w:r w:rsidR="00F14911">
        <w:rPr>
          <w:sz w:val="24"/>
          <w:szCs w:val="24"/>
        </w:rPr>
        <w:t xml:space="preserve"> priorities</w:t>
      </w:r>
      <w:r w:rsidR="00EB4187" w:rsidRPr="00863ED5">
        <w:rPr>
          <w:sz w:val="24"/>
          <w:szCs w:val="24"/>
        </w:rPr>
        <w:t xml:space="preserve">, as well as contextual factors that facilitated or inhibited specific </w:t>
      </w:r>
      <w:r w:rsidR="00F14911">
        <w:rPr>
          <w:sz w:val="24"/>
          <w:szCs w:val="24"/>
        </w:rPr>
        <w:t xml:space="preserve">activities. For example, physical </w:t>
      </w:r>
      <w:r w:rsidR="00EB4187" w:rsidRPr="00863ED5">
        <w:rPr>
          <w:sz w:val="24"/>
          <w:szCs w:val="24"/>
        </w:rPr>
        <w:t xml:space="preserve">estate </w:t>
      </w:r>
      <w:r w:rsidR="00F14911">
        <w:rPr>
          <w:sz w:val="24"/>
          <w:szCs w:val="24"/>
        </w:rPr>
        <w:t>and resource constraints</w:t>
      </w:r>
      <w:r w:rsidR="004A237E">
        <w:rPr>
          <w:sz w:val="24"/>
          <w:szCs w:val="24"/>
        </w:rPr>
        <w:t xml:space="preserve"> in some settings</w:t>
      </w:r>
      <w:r w:rsidR="00F14911">
        <w:rPr>
          <w:sz w:val="24"/>
          <w:szCs w:val="24"/>
        </w:rPr>
        <w:t xml:space="preserve"> meant that some initiatives were not possible to implement some </w:t>
      </w:r>
      <w:r w:rsidR="00EB4187" w:rsidRPr="00F14911">
        <w:rPr>
          <w:sz w:val="24"/>
          <w:szCs w:val="24"/>
        </w:rPr>
        <w:t>s</w:t>
      </w:r>
      <w:r w:rsidR="00EB4187" w:rsidRPr="00863ED5">
        <w:rPr>
          <w:sz w:val="24"/>
          <w:szCs w:val="24"/>
        </w:rPr>
        <w:t>ervice</w:t>
      </w:r>
      <w:r w:rsidR="00F14911">
        <w:rPr>
          <w:sz w:val="24"/>
          <w:szCs w:val="24"/>
        </w:rPr>
        <w:t>s</w:t>
      </w:r>
      <w:r w:rsidR="00EB4187" w:rsidRPr="00863ED5">
        <w:rPr>
          <w:sz w:val="24"/>
          <w:szCs w:val="24"/>
        </w:rPr>
        <w:t xml:space="preserve"> </w:t>
      </w:r>
      <w:r w:rsidR="00F14911" w:rsidRPr="00F14911">
        <w:rPr>
          <w:sz w:val="24"/>
          <w:szCs w:val="24"/>
        </w:rPr>
        <w:t>(SDEC for example)</w:t>
      </w:r>
      <w:r w:rsidR="004A237E">
        <w:rPr>
          <w:sz w:val="24"/>
          <w:szCs w:val="24"/>
        </w:rPr>
        <w:t xml:space="preserve">. </w:t>
      </w:r>
      <w:r w:rsidR="00F14911">
        <w:rPr>
          <w:sz w:val="24"/>
          <w:szCs w:val="24"/>
        </w:rPr>
        <w:t xml:space="preserve">In some settings, regional planning deprioritised initiatives that were either too seasonal or </w:t>
      </w:r>
      <w:r w:rsidR="00CE40CC">
        <w:rPr>
          <w:sz w:val="24"/>
          <w:szCs w:val="24"/>
        </w:rPr>
        <w:t xml:space="preserve">perceived to </w:t>
      </w:r>
      <w:r w:rsidR="00F14911">
        <w:rPr>
          <w:sz w:val="24"/>
          <w:szCs w:val="24"/>
        </w:rPr>
        <w:t xml:space="preserve">lack an evidence base for impact – acute respiratory infection hubs for example. </w:t>
      </w:r>
    </w:p>
    <w:p w14:paraId="218C0FA3" w14:textId="5D92BCAB" w:rsidR="00BC7A70" w:rsidRDefault="00B62C05" w:rsidP="008115B9">
      <w:pPr>
        <w:spacing w:line="276" w:lineRule="auto"/>
        <w:rPr>
          <w:sz w:val="24"/>
          <w:szCs w:val="24"/>
        </w:rPr>
      </w:pPr>
      <w:r w:rsidRPr="00863ED5">
        <w:rPr>
          <w:sz w:val="24"/>
          <w:szCs w:val="24"/>
        </w:rPr>
        <w:lastRenderedPageBreak/>
        <w:t xml:space="preserve">Regions and </w:t>
      </w:r>
      <w:r w:rsidR="004A237E">
        <w:rPr>
          <w:sz w:val="24"/>
          <w:szCs w:val="24"/>
        </w:rPr>
        <w:t>S</w:t>
      </w:r>
      <w:r w:rsidRPr="00863ED5">
        <w:rPr>
          <w:sz w:val="24"/>
          <w:szCs w:val="24"/>
        </w:rPr>
        <w:t xml:space="preserve">ystems aimed to balance what activities were needed with those that would be </w:t>
      </w:r>
      <w:r w:rsidR="00325795" w:rsidRPr="00863ED5">
        <w:rPr>
          <w:sz w:val="24"/>
          <w:szCs w:val="24"/>
        </w:rPr>
        <w:t>achievable</w:t>
      </w:r>
      <w:r w:rsidRPr="00863ED5">
        <w:rPr>
          <w:sz w:val="24"/>
          <w:szCs w:val="24"/>
        </w:rPr>
        <w:t xml:space="preserve"> and provide the biggest gains in improvement. </w:t>
      </w:r>
      <w:r w:rsidR="001466E2">
        <w:rPr>
          <w:sz w:val="24"/>
          <w:szCs w:val="24"/>
        </w:rPr>
        <w:t xml:space="preserve">Survey respondents </w:t>
      </w:r>
      <w:r w:rsidR="00EA312E" w:rsidRPr="00863ED5">
        <w:rPr>
          <w:sz w:val="24"/>
          <w:szCs w:val="24"/>
        </w:rPr>
        <w:t xml:space="preserve">largely perceived they made the right decisions </w:t>
      </w:r>
      <w:r w:rsidR="00CE40CC">
        <w:rPr>
          <w:sz w:val="24"/>
          <w:szCs w:val="24"/>
        </w:rPr>
        <w:t xml:space="preserve">in their </w:t>
      </w:r>
      <w:r w:rsidR="00EA312E" w:rsidRPr="00863ED5">
        <w:rPr>
          <w:sz w:val="24"/>
          <w:szCs w:val="24"/>
        </w:rPr>
        <w:t>initia</w:t>
      </w:r>
      <w:r w:rsidR="008115B9">
        <w:rPr>
          <w:sz w:val="24"/>
          <w:szCs w:val="24"/>
        </w:rPr>
        <w:t>ti</w:t>
      </w:r>
      <w:r w:rsidR="00EA312E" w:rsidRPr="00863ED5">
        <w:rPr>
          <w:sz w:val="24"/>
          <w:szCs w:val="24"/>
        </w:rPr>
        <w:t>v</w:t>
      </w:r>
      <w:r w:rsidR="008115B9">
        <w:rPr>
          <w:sz w:val="24"/>
          <w:szCs w:val="24"/>
        </w:rPr>
        <w:t>e</w:t>
      </w:r>
      <w:r w:rsidR="00EA312E" w:rsidRPr="00863ED5">
        <w:rPr>
          <w:sz w:val="24"/>
          <w:szCs w:val="24"/>
        </w:rPr>
        <w:t xml:space="preserve"> select</w:t>
      </w:r>
      <w:r w:rsidR="00CE40CC">
        <w:rPr>
          <w:sz w:val="24"/>
          <w:szCs w:val="24"/>
        </w:rPr>
        <w:t>ion</w:t>
      </w:r>
      <w:r w:rsidR="00EA312E" w:rsidRPr="00863ED5">
        <w:rPr>
          <w:sz w:val="24"/>
          <w:szCs w:val="24"/>
        </w:rPr>
        <w:t xml:space="preserve">; </w:t>
      </w:r>
      <w:r w:rsidR="00F14911">
        <w:rPr>
          <w:sz w:val="24"/>
          <w:szCs w:val="24"/>
        </w:rPr>
        <w:t xml:space="preserve">there is a commitment to choice. </w:t>
      </w:r>
      <w:r w:rsidR="00CE40CC">
        <w:rPr>
          <w:sz w:val="24"/>
          <w:szCs w:val="24"/>
        </w:rPr>
        <w:t xml:space="preserve">This was supported in interviews, with further insights that </w:t>
      </w:r>
      <w:r w:rsidR="00F14911" w:rsidRPr="00F14911">
        <w:rPr>
          <w:sz w:val="24"/>
          <w:szCs w:val="24"/>
        </w:rPr>
        <w:t>for improvements to be fully realised, there is a need to ‘stick with the plan’ into the medium term.</w:t>
      </w:r>
      <w:r w:rsidR="00BC7A70">
        <w:rPr>
          <w:sz w:val="24"/>
          <w:szCs w:val="24"/>
        </w:rPr>
        <w:t xml:space="preserve"> </w:t>
      </w:r>
    </w:p>
    <w:p w14:paraId="1D5CFAA2" w14:textId="5B93B7D6" w:rsidR="009A0DE3" w:rsidRPr="009A0DE3" w:rsidRDefault="00CE40CC" w:rsidP="008115B9">
      <w:pPr>
        <w:spacing w:line="276" w:lineRule="auto"/>
        <w:rPr>
          <w:sz w:val="24"/>
          <w:szCs w:val="24"/>
        </w:rPr>
      </w:pPr>
      <w:r>
        <w:rPr>
          <w:sz w:val="24"/>
          <w:szCs w:val="24"/>
        </w:rPr>
        <w:t xml:space="preserve">Whilst sticking with the plan was important, there </w:t>
      </w:r>
      <w:r w:rsidR="00DA52DC">
        <w:rPr>
          <w:sz w:val="24"/>
          <w:szCs w:val="24"/>
        </w:rPr>
        <w:t xml:space="preserve">was a strong sense that </w:t>
      </w:r>
      <w:r w:rsidR="00FE7151">
        <w:rPr>
          <w:sz w:val="24"/>
          <w:szCs w:val="24"/>
        </w:rPr>
        <w:t xml:space="preserve">on-going issues </w:t>
      </w:r>
      <w:r w:rsidR="00DA52DC">
        <w:rPr>
          <w:sz w:val="24"/>
          <w:szCs w:val="24"/>
        </w:rPr>
        <w:t xml:space="preserve">of </w:t>
      </w:r>
      <w:r w:rsidR="00FE7151">
        <w:rPr>
          <w:sz w:val="24"/>
          <w:szCs w:val="24"/>
        </w:rPr>
        <w:t xml:space="preserve">resourcing across the </w:t>
      </w:r>
      <w:r w:rsidR="00651231">
        <w:rPr>
          <w:sz w:val="24"/>
          <w:szCs w:val="24"/>
        </w:rPr>
        <w:t xml:space="preserve">wider </w:t>
      </w:r>
      <w:r w:rsidR="00FE7151">
        <w:rPr>
          <w:sz w:val="24"/>
          <w:szCs w:val="24"/>
        </w:rPr>
        <w:t>health and social care system</w:t>
      </w:r>
      <w:r w:rsidR="00DA52DC">
        <w:rPr>
          <w:sz w:val="24"/>
          <w:szCs w:val="24"/>
        </w:rPr>
        <w:t xml:space="preserve"> would continue to </w:t>
      </w:r>
      <w:r w:rsidR="00881356">
        <w:rPr>
          <w:sz w:val="24"/>
          <w:szCs w:val="24"/>
        </w:rPr>
        <w:t>put pressure on UEC</w:t>
      </w:r>
      <w:r w:rsidR="00651231">
        <w:rPr>
          <w:sz w:val="24"/>
          <w:szCs w:val="24"/>
        </w:rPr>
        <w:t xml:space="preserve">. </w:t>
      </w:r>
      <w:r w:rsidR="003004F0">
        <w:rPr>
          <w:sz w:val="24"/>
          <w:szCs w:val="24"/>
        </w:rPr>
        <w:t xml:space="preserve">The interconnectivity between primary </w:t>
      </w:r>
      <w:r w:rsidR="00FD7D79">
        <w:rPr>
          <w:sz w:val="24"/>
          <w:szCs w:val="24"/>
        </w:rPr>
        <w:t xml:space="preserve">and community </w:t>
      </w:r>
      <w:r w:rsidR="003004F0">
        <w:rPr>
          <w:sz w:val="24"/>
          <w:szCs w:val="24"/>
        </w:rPr>
        <w:t xml:space="preserve">care, </w:t>
      </w:r>
      <w:r>
        <w:rPr>
          <w:sz w:val="24"/>
          <w:szCs w:val="24"/>
        </w:rPr>
        <w:t>UEC</w:t>
      </w:r>
      <w:r w:rsidR="003004F0">
        <w:rPr>
          <w:sz w:val="24"/>
          <w:szCs w:val="24"/>
        </w:rPr>
        <w:t xml:space="preserve">, wider acute care and </w:t>
      </w:r>
      <w:r w:rsidR="00FD7D79">
        <w:rPr>
          <w:sz w:val="24"/>
          <w:szCs w:val="24"/>
        </w:rPr>
        <w:t>social care was</w:t>
      </w:r>
      <w:r w:rsidR="002E7F58">
        <w:rPr>
          <w:sz w:val="24"/>
          <w:szCs w:val="24"/>
        </w:rPr>
        <w:t>,</w:t>
      </w:r>
      <w:r w:rsidR="00FD7D79">
        <w:rPr>
          <w:sz w:val="24"/>
          <w:szCs w:val="24"/>
        </w:rPr>
        <w:t xml:space="preserve"> </w:t>
      </w:r>
      <w:r w:rsidR="006719C5">
        <w:rPr>
          <w:sz w:val="24"/>
          <w:szCs w:val="24"/>
        </w:rPr>
        <w:t>unsurprisingly</w:t>
      </w:r>
      <w:r w:rsidR="002E7F58">
        <w:rPr>
          <w:sz w:val="24"/>
          <w:szCs w:val="24"/>
        </w:rPr>
        <w:t>,</w:t>
      </w:r>
      <w:r w:rsidR="006719C5">
        <w:rPr>
          <w:sz w:val="24"/>
          <w:szCs w:val="24"/>
        </w:rPr>
        <w:t xml:space="preserve"> a common theme. Diversi</w:t>
      </w:r>
      <w:r w:rsidR="005C56BB">
        <w:rPr>
          <w:sz w:val="24"/>
          <w:szCs w:val="24"/>
        </w:rPr>
        <w:t xml:space="preserve">fication of </w:t>
      </w:r>
      <w:r>
        <w:rPr>
          <w:sz w:val="24"/>
          <w:szCs w:val="24"/>
        </w:rPr>
        <w:t xml:space="preserve">UEC services </w:t>
      </w:r>
      <w:r w:rsidR="005C56BB">
        <w:rPr>
          <w:sz w:val="24"/>
          <w:szCs w:val="24"/>
        </w:rPr>
        <w:t xml:space="preserve">was recognised as </w:t>
      </w:r>
      <w:r w:rsidR="00DE5C9B">
        <w:rPr>
          <w:sz w:val="24"/>
          <w:szCs w:val="24"/>
        </w:rPr>
        <w:t>vital,</w:t>
      </w:r>
      <w:r w:rsidR="003C6176">
        <w:rPr>
          <w:sz w:val="24"/>
          <w:szCs w:val="24"/>
        </w:rPr>
        <w:t xml:space="preserve"> but </w:t>
      </w:r>
      <w:r w:rsidR="002E7F58">
        <w:rPr>
          <w:sz w:val="24"/>
          <w:szCs w:val="24"/>
        </w:rPr>
        <w:t xml:space="preserve">these activities remain part of </w:t>
      </w:r>
      <w:r w:rsidR="0093457B">
        <w:rPr>
          <w:sz w:val="24"/>
          <w:szCs w:val="24"/>
        </w:rPr>
        <w:t xml:space="preserve">a complex system in which </w:t>
      </w:r>
      <w:r w:rsidR="00925A4E">
        <w:rPr>
          <w:sz w:val="24"/>
          <w:szCs w:val="24"/>
        </w:rPr>
        <w:t xml:space="preserve">there are competing national priorities and where </w:t>
      </w:r>
      <w:r w:rsidR="00D56E65">
        <w:rPr>
          <w:sz w:val="24"/>
          <w:szCs w:val="24"/>
        </w:rPr>
        <w:t>large-scale</w:t>
      </w:r>
      <w:r w:rsidR="00925A4E">
        <w:rPr>
          <w:sz w:val="24"/>
          <w:szCs w:val="24"/>
        </w:rPr>
        <w:t xml:space="preserve"> </w:t>
      </w:r>
      <w:r w:rsidR="0093457B">
        <w:rPr>
          <w:sz w:val="24"/>
          <w:szCs w:val="24"/>
        </w:rPr>
        <w:t>change is challenging</w:t>
      </w:r>
      <w:r w:rsidR="00AA6B55">
        <w:rPr>
          <w:sz w:val="24"/>
          <w:szCs w:val="24"/>
        </w:rPr>
        <w:t xml:space="preserve">. </w:t>
      </w:r>
      <w:r w:rsidR="0093457B">
        <w:rPr>
          <w:sz w:val="24"/>
          <w:szCs w:val="24"/>
        </w:rPr>
        <w:t xml:space="preserve"> </w:t>
      </w:r>
    </w:p>
    <w:p w14:paraId="27E0618C" w14:textId="6C7B015A" w:rsidR="0071062E" w:rsidRPr="008115B9" w:rsidRDefault="0071062E" w:rsidP="008115B9">
      <w:pPr>
        <w:spacing w:line="276" w:lineRule="auto"/>
        <w:rPr>
          <w:sz w:val="24"/>
          <w:szCs w:val="24"/>
        </w:rPr>
      </w:pPr>
      <w:r>
        <w:rPr>
          <w:i/>
          <w:iCs/>
          <w:sz w:val="24"/>
          <w:szCs w:val="24"/>
        </w:rPr>
        <w:t xml:space="preserve">Signals of impact: </w:t>
      </w:r>
      <w:r w:rsidR="00DF4295" w:rsidRPr="00DF4295">
        <w:rPr>
          <w:i/>
          <w:iCs/>
          <w:sz w:val="24"/>
          <w:szCs w:val="24"/>
        </w:rPr>
        <w:t>Category 2 ambulance response time</w:t>
      </w:r>
      <w:r w:rsidR="00DF4295">
        <w:rPr>
          <w:i/>
          <w:iCs/>
          <w:sz w:val="24"/>
          <w:szCs w:val="24"/>
        </w:rPr>
        <w:t>s</w:t>
      </w:r>
      <w:r>
        <w:rPr>
          <w:i/>
          <w:iCs/>
          <w:sz w:val="24"/>
          <w:szCs w:val="24"/>
        </w:rPr>
        <w:t xml:space="preserve"> </w:t>
      </w:r>
    </w:p>
    <w:p w14:paraId="6ADDDC57" w14:textId="4D888E68" w:rsidR="009A0DE3" w:rsidRPr="00E05B7D" w:rsidRDefault="001344D1" w:rsidP="00DF4295">
      <w:pPr>
        <w:spacing w:line="276" w:lineRule="auto"/>
        <w:rPr>
          <w:sz w:val="24"/>
          <w:szCs w:val="24"/>
        </w:rPr>
      </w:pPr>
      <w:r w:rsidRPr="00866A91">
        <w:rPr>
          <w:sz w:val="24"/>
          <w:szCs w:val="24"/>
        </w:rPr>
        <w:lastRenderedPageBreak/>
        <w:t xml:space="preserve">Over 60% of survey respondents reported that </w:t>
      </w:r>
      <w:r w:rsidR="00E96C04" w:rsidRPr="00866A91">
        <w:rPr>
          <w:sz w:val="24"/>
          <w:szCs w:val="24"/>
        </w:rPr>
        <w:t>urgent community response, community bed productivity and flow</w:t>
      </w:r>
      <w:r w:rsidR="00141BCF" w:rsidRPr="00866A91">
        <w:rPr>
          <w:sz w:val="24"/>
          <w:szCs w:val="24"/>
        </w:rPr>
        <w:t>,</w:t>
      </w:r>
      <w:r w:rsidR="00E96C04" w:rsidRPr="00866A91">
        <w:rPr>
          <w:sz w:val="24"/>
          <w:szCs w:val="24"/>
        </w:rPr>
        <w:t xml:space="preserve"> and single point of access </w:t>
      </w:r>
      <w:r w:rsidR="00DA02CB">
        <w:rPr>
          <w:sz w:val="24"/>
          <w:szCs w:val="24"/>
        </w:rPr>
        <w:t>ha</w:t>
      </w:r>
      <w:r w:rsidR="00C6138E">
        <w:rPr>
          <w:sz w:val="24"/>
          <w:szCs w:val="24"/>
        </w:rPr>
        <w:t>d</w:t>
      </w:r>
      <w:r w:rsidR="00DA02CB">
        <w:rPr>
          <w:sz w:val="24"/>
          <w:szCs w:val="24"/>
        </w:rPr>
        <w:t xml:space="preserve">, or </w:t>
      </w:r>
      <w:r w:rsidR="00E96C04" w:rsidRPr="00866A91">
        <w:rPr>
          <w:sz w:val="24"/>
          <w:szCs w:val="24"/>
        </w:rPr>
        <w:t>are likely to</w:t>
      </w:r>
      <w:r w:rsidR="00DA02CB">
        <w:rPr>
          <w:sz w:val="24"/>
          <w:szCs w:val="24"/>
        </w:rPr>
        <w:t>,</w:t>
      </w:r>
      <w:r w:rsidR="00E96C04" w:rsidRPr="00866A91">
        <w:rPr>
          <w:sz w:val="24"/>
          <w:szCs w:val="24"/>
        </w:rPr>
        <w:t xml:space="preserve"> </w:t>
      </w:r>
      <w:r w:rsidRPr="00866A91">
        <w:rPr>
          <w:sz w:val="24"/>
          <w:szCs w:val="24"/>
        </w:rPr>
        <w:t>contribute to improvement in Category 2 ambulance response time</w:t>
      </w:r>
      <w:r w:rsidR="00E96C04" w:rsidRPr="00866A91">
        <w:rPr>
          <w:sz w:val="24"/>
          <w:szCs w:val="24"/>
        </w:rPr>
        <w:t xml:space="preserve"> over the next 12 months</w:t>
      </w:r>
      <w:r w:rsidR="00F61D64">
        <w:rPr>
          <w:sz w:val="24"/>
          <w:szCs w:val="24"/>
        </w:rPr>
        <w:t xml:space="preserve"> (</w:t>
      </w:r>
      <w:r w:rsidR="00DF4295">
        <w:rPr>
          <w:sz w:val="24"/>
          <w:szCs w:val="24"/>
        </w:rPr>
        <w:t xml:space="preserve">see </w:t>
      </w:r>
      <w:r w:rsidR="00F61D64">
        <w:rPr>
          <w:sz w:val="24"/>
          <w:szCs w:val="24"/>
        </w:rPr>
        <w:t>Table</w:t>
      </w:r>
      <w:r w:rsidR="00E75C82">
        <w:rPr>
          <w:sz w:val="24"/>
          <w:szCs w:val="24"/>
        </w:rPr>
        <w:t xml:space="preserve"> </w:t>
      </w:r>
      <w:r w:rsidR="00D61CB4">
        <w:rPr>
          <w:sz w:val="24"/>
          <w:szCs w:val="24"/>
        </w:rPr>
        <w:t>5</w:t>
      </w:r>
      <w:r w:rsidR="00F61D64">
        <w:rPr>
          <w:sz w:val="24"/>
          <w:szCs w:val="24"/>
        </w:rPr>
        <w:t>)</w:t>
      </w:r>
      <w:r w:rsidR="00E96C04" w:rsidRPr="00866A91">
        <w:rPr>
          <w:sz w:val="24"/>
          <w:szCs w:val="24"/>
        </w:rPr>
        <w:t xml:space="preserve">. </w:t>
      </w:r>
      <w:r w:rsidR="00DF4295">
        <w:rPr>
          <w:sz w:val="24"/>
          <w:szCs w:val="24"/>
        </w:rPr>
        <w:t>The regions where agreement was highest for the impact of these initiatives were East of England, London, Midlands and the North</w:t>
      </w:r>
      <w:r w:rsidR="0004412E">
        <w:rPr>
          <w:sz w:val="24"/>
          <w:szCs w:val="24"/>
        </w:rPr>
        <w:t>-</w:t>
      </w:r>
      <w:r w:rsidR="00DF4295">
        <w:rPr>
          <w:sz w:val="24"/>
          <w:szCs w:val="24"/>
        </w:rPr>
        <w:t xml:space="preserve">West. These regional signals are tentative as </w:t>
      </w:r>
      <w:r w:rsidR="00401086">
        <w:rPr>
          <w:sz w:val="24"/>
          <w:szCs w:val="24"/>
        </w:rPr>
        <w:t xml:space="preserve">they are based on small response numbers. </w:t>
      </w:r>
    </w:p>
    <w:p w14:paraId="43CA86A2" w14:textId="5F01259C" w:rsidR="00DF4295" w:rsidRPr="00DF4295" w:rsidRDefault="00DF4295" w:rsidP="00DF4295">
      <w:pPr>
        <w:spacing w:line="276" w:lineRule="auto"/>
        <w:rPr>
          <w:i/>
          <w:sz w:val="24"/>
          <w:szCs w:val="24"/>
        </w:rPr>
      </w:pPr>
      <w:r w:rsidRPr="00DF4295">
        <w:rPr>
          <w:i/>
          <w:sz w:val="24"/>
          <w:szCs w:val="24"/>
        </w:rPr>
        <w:t>Signals of impact: A&amp;E 4-hour waiting times</w:t>
      </w:r>
    </w:p>
    <w:p w14:paraId="57121DA5" w14:textId="3A07B951" w:rsidR="00913728" w:rsidRDefault="00DF4295" w:rsidP="008115B9">
      <w:pPr>
        <w:spacing w:line="276" w:lineRule="auto"/>
        <w:rPr>
          <w:sz w:val="24"/>
          <w:szCs w:val="24"/>
        </w:rPr>
      </w:pPr>
      <w:r w:rsidRPr="00DF4295">
        <w:rPr>
          <w:sz w:val="24"/>
          <w:szCs w:val="24"/>
        </w:rPr>
        <w:t>Over 60% of respondents recorded that SDEC, acute frailty services and urgent community response had, or are likely to, contribute to A&amp;E 4-hour waiting times over the next 12 months</w:t>
      </w:r>
      <w:r w:rsidR="00D61CB4">
        <w:rPr>
          <w:sz w:val="24"/>
          <w:szCs w:val="24"/>
        </w:rPr>
        <w:t xml:space="preserve"> (see Table 5</w:t>
      </w:r>
      <w:r w:rsidR="00401086">
        <w:rPr>
          <w:sz w:val="24"/>
          <w:szCs w:val="24"/>
        </w:rPr>
        <w:t>)</w:t>
      </w:r>
      <w:r w:rsidRPr="00DF4295">
        <w:rPr>
          <w:sz w:val="24"/>
          <w:szCs w:val="24"/>
        </w:rPr>
        <w:t xml:space="preserve">. The regions where agreement was highest for the impact of these initiatives were East of England, </w:t>
      </w:r>
      <w:r w:rsidR="00401086">
        <w:rPr>
          <w:sz w:val="24"/>
          <w:szCs w:val="24"/>
        </w:rPr>
        <w:t>and the</w:t>
      </w:r>
      <w:r w:rsidRPr="00DF4295">
        <w:rPr>
          <w:sz w:val="24"/>
          <w:szCs w:val="24"/>
        </w:rPr>
        <w:t xml:space="preserve"> Midlands.</w:t>
      </w:r>
      <w:r w:rsidR="00401086" w:rsidRPr="00401086">
        <w:t xml:space="preserve"> </w:t>
      </w:r>
      <w:r w:rsidR="00401086">
        <w:rPr>
          <w:sz w:val="24"/>
          <w:szCs w:val="24"/>
        </w:rPr>
        <w:t>Again, t</w:t>
      </w:r>
      <w:r w:rsidR="00401086" w:rsidRPr="00401086">
        <w:rPr>
          <w:sz w:val="24"/>
          <w:szCs w:val="24"/>
        </w:rPr>
        <w:t>hese signals are tentative as they are based on small response numbers.</w:t>
      </w:r>
    </w:p>
    <w:p w14:paraId="52FEACD8" w14:textId="77777777" w:rsidR="009A0DE3" w:rsidRPr="009A0DE3" w:rsidRDefault="009A0DE3" w:rsidP="008115B9">
      <w:pPr>
        <w:spacing w:line="276" w:lineRule="auto"/>
        <w:rPr>
          <w:sz w:val="24"/>
          <w:szCs w:val="24"/>
        </w:rPr>
      </w:pPr>
    </w:p>
    <w:p w14:paraId="0F51F5EA" w14:textId="2B704C53" w:rsidR="00401086" w:rsidRPr="002A3ED1" w:rsidRDefault="00D61CB4" w:rsidP="00401086">
      <w:pPr>
        <w:spacing w:line="240" w:lineRule="auto"/>
        <w:rPr>
          <w:b/>
          <w:bCs/>
          <w:i/>
          <w:iCs/>
          <w:sz w:val="20"/>
          <w:szCs w:val="20"/>
        </w:rPr>
      </w:pPr>
      <w:r>
        <w:rPr>
          <w:b/>
          <w:bCs/>
          <w:i/>
          <w:iCs/>
          <w:sz w:val="20"/>
          <w:szCs w:val="20"/>
        </w:rPr>
        <w:t>Table 5</w:t>
      </w:r>
      <w:r w:rsidR="00401086" w:rsidRPr="002A3ED1">
        <w:rPr>
          <w:b/>
          <w:bCs/>
          <w:i/>
          <w:iCs/>
          <w:sz w:val="20"/>
          <w:szCs w:val="20"/>
        </w:rPr>
        <w:t xml:space="preserve">: Survey responses </w:t>
      </w:r>
      <w:r w:rsidR="005A5437">
        <w:rPr>
          <w:b/>
          <w:bCs/>
          <w:i/>
          <w:iCs/>
          <w:sz w:val="20"/>
          <w:szCs w:val="20"/>
        </w:rPr>
        <w:t xml:space="preserve">to </w:t>
      </w:r>
      <w:r w:rsidR="00CE40CC">
        <w:rPr>
          <w:b/>
          <w:bCs/>
          <w:i/>
          <w:iCs/>
          <w:sz w:val="20"/>
          <w:szCs w:val="20"/>
        </w:rPr>
        <w:t xml:space="preserve">positive </w:t>
      </w:r>
      <w:r w:rsidR="00401086" w:rsidRPr="002A3ED1">
        <w:rPr>
          <w:b/>
          <w:bCs/>
          <w:i/>
          <w:iCs/>
          <w:sz w:val="20"/>
          <w:szCs w:val="20"/>
        </w:rPr>
        <w:t xml:space="preserve">statements on </w:t>
      </w:r>
      <w:r w:rsidR="00913728">
        <w:rPr>
          <w:b/>
          <w:bCs/>
          <w:i/>
          <w:iCs/>
          <w:sz w:val="20"/>
          <w:szCs w:val="20"/>
        </w:rPr>
        <w:t xml:space="preserve">improved ambulance response and A&amp;E waiting times </w:t>
      </w:r>
    </w:p>
    <w:p w14:paraId="2797A56B" w14:textId="27125E3F" w:rsidR="00913728" w:rsidRPr="009A0DE3" w:rsidRDefault="00401086" w:rsidP="009A0DE3">
      <w:pPr>
        <w:spacing w:line="240" w:lineRule="auto"/>
        <w:rPr>
          <w:sz w:val="24"/>
          <w:szCs w:val="24"/>
        </w:rPr>
      </w:pPr>
      <w:r w:rsidRPr="008157F5">
        <w:rPr>
          <w:noProof/>
          <w:sz w:val="24"/>
          <w:szCs w:val="24"/>
          <w:lang w:eastAsia="en-GB"/>
        </w:rPr>
        <w:drawing>
          <wp:inline distT="0" distB="0" distL="0" distR="0" wp14:anchorId="1452DCBD" wp14:editId="49EB0A7D">
            <wp:extent cx="5731510" cy="2715895"/>
            <wp:effectExtent l="0" t="0" r="2540" b="8255"/>
            <wp:docPr id="784381943"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81943" name="Picture 1" descr="A table with numbers and text&#10;&#10;Description automatically generated"/>
                    <pic:cNvPicPr/>
                  </pic:nvPicPr>
                  <pic:blipFill>
                    <a:blip r:embed="rId9"/>
                    <a:stretch>
                      <a:fillRect/>
                    </a:stretch>
                  </pic:blipFill>
                  <pic:spPr>
                    <a:xfrm>
                      <a:off x="0" y="0"/>
                      <a:ext cx="5731510" cy="2715895"/>
                    </a:xfrm>
                    <a:prstGeom prst="rect">
                      <a:avLst/>
                    </a:prstGeom>
                  </pic:spPr>
                </pic:pic>
              </a:graphicData>
            </a:graphic>
          </wp:inline>
        </w:drawing>
      </w:r>
    </w:p>
    <w:p w14:paraId="37170EF8" w14:textId="77777777" w:rsidR="009A0DE3" w:rsidRDefault="009A0DE3" w:rsidP="00401086">
      <w:pPr>
        <w:spacing w:line="276" w:lineRule="auto"/>
        <w:rPr>
          <w:i/>
          <w:sz w:val="24"/>
          <w:szCs w:val="24"/>
        </w:rPr>
      </w:pPr>
    </w:p>
    <w:p w14:paraId="527891C7" w14:textId="661E650A" w:rsidR="00401086" w:rsidRPr="00401086" w:rsidRDefault="00401086" w:rsidP="00401086">
      <w:pPr>
        <w:spacing w:line="276" w:lineRule="auto"/>
        <w:rPr>
          <w:i/>
          <w:sz w:val="24"/>
          <w:szCs w:val="24"/>
        </w:rPr>
      </w:pPr>
      <w:r w:rsidRPr="00401086">
        <w:rPr>
          <w:i/>
          <w:sz w:val="24"/>
          <w:szCs w:val="24"/>
        </w:rPr>
        <w:t xml:space="preserve">Signals of impact: reductions in hospital admissions and timely discharge </w:t>
      </w:r>
    </w:p>
    <w:p w14:paraId="767D5442" w14:textId="6D796802" w:rsidR="00401086" w:rsidRPr="00401086" w:rsidRDefault="00401086" w:rsidP="00401086">
      <w:pPr>
        <w:spacing w:line="276" w:lineRule="auto"/>
        <w:rPr>
          <w:sz w:val="24"/>
          <w:szCs w:val="24"/>
        </w:rPr>
      </w:pPr>
      <w:r w:rsidRPr="00401086">
        <w:rPr>
          <w:sz w:val="24"/>
          <w:szCs w:val="24"/>
        </w:rPr>
        <w:lastRenderedPageBreak/>
        <w:t xml:space="preserve">When asked about perceived impact of initiatives on a reduction in hospital admissions, 60% or more of survey respondents reported that acute frailty services, urgent community response, intermediate care demand and capacity and single point of access had, or </w:t>
      </w:r>
      <w:r w:rsidR="00CE40CC">
        <w:rPr>
          <w:sz w:val="24"/>
          <w:szCs w:val="24"/>
        </w:rPr>
        <w:t xml:space="preserve">are </w:t>
      </w:r>
      <w:r w:rsidRPr="00401086">
        <w:rPr>
          <w:sz w:val="24"/>
          <w:szCs w:val="24"/>
        </w:rPr>
        <w:t>likely to, lead to a reduction in inpatient hospital admissions in the next 12 months (</w:t>
      </w:r>
      <w:r>
        <w:rPr>
          <w:sz w:val="24"/>
          <w:szCs w:val="24"/>
        </w:rPr>
        <w:t xml:space="preserve">see </w:t>
      </w:r>
      <w:r w:rsidRPr="00401086">
        <w:rPr>
          <w:sz w:val="24"/>
          <w:szCs w:val="24"/>
        </w:rPr>
        <w:t xml:space="preserve">Table 5). Some of these initiatives, however, had small response numbers so these results are fragile and </w:t>
      </w:r>
      <w:r w:rsidR="0004412E" w:rsidRPr="00401086">
        <w:rPr>
          <w:sz w:val="24"/>
          <w:szCs w:val="24"/>
        </w:rPr>
        <w:t>su</w:t>
      </w:r>
      <w:r w:rsidR="0004412E">
        <w:rPr>
          <w:sz w:val="24"/>
          <w:szCs w:val="24"/>
        </w:rPr>
        <w:t xml:space="preserve">sceptible </w:t>
      </w:r>
      <w:r w:rsidRPr="00401086">
        <w:rPr>
          <w:sz w:val="24"/>
          <w:szCs w:val="24"/>
        </w:rPr>
        <w:t xml:space="preserve">to change.  </w:t>
      </w:r>
    </w:p>
    <w:p w14:paraId="45DE30D5" w14:textId="7B6A1507" w:rsidR="009A0DE3" w:rsidRDefault="00401086" w:rsidP="00401086">
      <w:pPr>
        <w:spacing w:line="276" w:lineRule="auto"/>
        <w:rPr>
          <w:sz w:val="24"/>
          <w:szCs w:val="24"/>
        </w:rPr>
      </w:pPr>
      <w:r w:rsidRPr="00401086">
        <w:rPr>
          <w:sz w:val="24"/>
          <w:szCs w:val="24"/>
        </w:rPr>
        <w:t>Two thirds or more of survey respondents reported that acute frailty services, community bed productivity and flow, care transfer hubs, inpatient flow and length of stay and intermediate care demand and capacity had, or were likely to, improve timely hospital discharge in the next 12 months (</w:t>
      </w:r>
      <w:r>
        <w:rPr>
          <w:sz w:val="24"/>
          <w:szCs w:val="24"/>
        </w:rPr>
        <w:t xml:space="preserve">see </w:t>
      </w:r>
      <w:r w:rsidR="00D61CB4">
        <w:rPr>
          <w:sz w:val="24"/>
          <w:szCs w:val="24"/>
        </w:rPr>
        <w:t>Table 6</w:t>
      </w:r>
      <w:r w:rsidRPr="00401086">
        <w:rPr>
          <w:sz w:val="24"/>
          <w:szCs w:val="24"/>
        </w:rPr>
        <w:t>). Again, numbers for community bed productiv</w:t>
      </w:r>
      <w:r w:rsidRPr="00401086">
        <w:rPr>
          <w:sz w:val="24"/>
          <w:szCs w:val="24"/>
        </w:rPr>
        <w:lastRenderedPageBreak/>
        <w:t xml:space="preserve">ity and flow, and for intermediate care demand and capacity were small. Additionally, inpatient flow and length of stay was noted by respondents as being the most challenging of the </w:t>
      </w:r>
      <w:r w:rsidR="00DA7203">
        <w:rPr>
          <w:sz w:val="24"/>
          <w:szCs w:val="24"/>
        </w:rPr>
        <w:t>high-impact</w:t>
      </w:r>
      <w:r w:rsidRPr="00401086">
        <w:rPr>
          <w:sz w:val="24"/>
          <w:szCs w:val="24"/>
        </w:rPr>
        <w:t xml:space="preserve"> initiatives to implement.</w:t>
      </w:r>
    </w:p>
    <w:p w14:paraId="0453CB58" w14:textId="77777777" w:rsidR="009A0DE3" w:rsidRDefault="009A0DE3">
      <w:pPr>
        <w:rPr>
          <w:sz w:val="24"/>
          <w:szCs w:val="24"/>
        </w:rPr>
      </w:pPr>
      <w:r>
        <w:rPr>
          <w:sz w:val="24"/>
          <w:szCs w:val="24"/>
        </w:rPr>
        <w:br w:type="page"/>
      </w:r>
    </w:p>
    <w:p w14:paraId="553FA675" w14:textId="62C1E22D" w:rsidR="00DF4295" w:rsidRPr="002A3ED1" w:rsidRDefault="00DF4295" w:rsidP="00DF4295">
      <w:pPr>
        <w:spacing w:line="240" w:lineRule="auto"/>
        <w:rPr>
          <w:b/>
          <w:bCs/>
          <w:i/>
          <w:iCs/>
          <w:sz w:val="20"/>
          <w:szCs w:val="20"/>
        </w:rPr>
      </w:pPr>
      <w:r w:rsidRPr="002A3ED1">
        <w:rPr>
          <w:b/>
          <w:bCs/>
          <w:i/>
          <w:iCs/>
          <w:sz w:val="20"/>
          <w:szCs w:val="20"/>
        </w:rPr>
        <w:lastRenderedPageBreak/>
        <w:t>Tabl</w:t>
      </w:r>
      <w:r w:rsidR="00D61CB4">
        <w:rPr>
          <w:b/>
          <w:bCs/>
          <w:i/>
          <w:iCs/>
          <w:sz w:val="20"/>
          <w:szCs w:val="20"/>
        </w:rPr>
        <w:t>e 6</w:t>
      </w:r>
      <w:r w:rsidRPr="002A3ED1">
        <w:rPr>
          <w:b/>
          <w:bCs/>
          <w:i/>
          <w:iCs/>
          <w:sz w:val="20"/>
          <w:szCs w:val="20"/>
        </w:rPr>
        <w:t xml:space="preserve">: Survey responses </w:t>
      </w:r>
      <w:r w:rsidR="005A5437">
        <w:rPr>
          <w:b/>
          <w:bCs/>
          <w:i/>
          <w:iCs/>
          <w:sz w:val="20"/>
          <w:szCs w:val="20"/>
        </w:rPr>
        <w:t xml:space="preserve">to </w:t>
      </w:r>
      <w:r w:rsidR="00CE40CC">
        <w:rPr>
          <w:b/>
          <w:bCs/>
          <w:i/>
          <w:iCs/>
          <w:sz w:val="20"/>
          <w:szCs w:val="20"/>
        </w:rPr>
        <w:t xml:space="preserve">positive </w:t>
      </w:r>
      <w:r w:rsidRPr="002A3ED1">
        <w:rPr>
          <w:b/>
          <w:bCs/>
          <w:i/>
          <w:iCs/>
          <w:sz w:val="20"/>
          <w:szCs w:val="20"/>
        </w:rPr>
        <w:t>statements on reductions in hospital admission and improved timely discharge</w:t>
      </w:r>
    </w:p>
    <w:p w14:paraId="7594BF70" w14:textId="6A2FDE4E" w:rsidR="00913728" w:rsidRDefault="00DF4295" w:rsidP="0004412E">
      <w:pPr>
        <w:spacing w:line="240" w:lineRule="auto"/>
        <w:rPr>
          <w:sz w:val="24"/>
          <w:szCs w:val="24"/>
        </w:rPr>
      </w:pPr>
      <w:r w:rsidRPr="00CE77AD">
        <w:rPr>
          <w:noProof/>
          <w:sz w:val="24"/>
          <w:szCs w:val="24"/>
          <w:lang w:eastAsia="en-GB"/>
        </w:rPr>
        <w:drawing>
          <wp:inline distT="0" distB="0" distL="0" distR="0" wp14:anchorId="01FCD00A" wp14:editId="5AC5CE92">
            <wp:extent cx="5731510" cy="2736215"/>
            <wp:effectExtent l="0" t="0" r="2540" b="6985"/>
            <wp:docPr id="1277003320"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03320" name="Picture 1" descr="A table with numbers and text&#10;&#10;Description automatically generated"/>
                    <pic:cNvPicPr/>
                  </pic:nvPicPr>
                  <pic:blipFill>
                    <a:blip r:embed="rId10"/>
                    <a:stretch>
                      <a:fillRect/>
                    </a:stretch>
                  </pic:blipFill>
                  <pic:spPr>
                    <a:xfrm>
                      <a:off x="0" y="0"/>
                      <a:ext cx="5731510" cy="2736215"/>
                    </a:xfrm>
                    <a:prstGeom prst="rect">
                      <a:avLst/>
                    </a:prstGeom>
                  </pic:spPr>
                </pic:pic>
              </a:graphicData>
            </a:graphic>
          </wp:inline>
        </w:drawing>
      </w:r>
    </w:p>
    <w:p w14:paraId="75CBBCC4" w14:textId="77777777" w:rsidR="0004412E" w:rsidRPr="0004412E" w:rsidRDefault="0004412E" w:rsidP="0004412E">
      <w:pPr>
        <w:spacing w:after="0" w:line="240" w:lineRule="auto"/>
        <w:rPr>
          <w:sz w:val="20"/>
          <w:szCs w:val="20"/>
        </w:rPr>
      </w:pPr>
    </w:p>
    <w:p w14:paraId="50483C7E" w14:textId="37D80717" w:rsidR="00401086" w:rsidRPr="00401086" w:rsidRDefault="00401086" w:rsidP="0004412E">
      <w:pPr>
        <w:spacing w:line="240" w:lineRule="auto"/>
        <w:rPr>
          <w:i/>
          <w:sz w:val="24"/>
          <w:szCs w:val="24"/>
        </w:rPr>
      </w:pPr>
      <w:r w:rsidRPr="00401086">
        <w:rPr>
          <w:i/>
          <w:sz w:val="24"/>
          <w:szCs w:val="24"/>
        </w:rPr>
        <w:t>Signals of impact summary</w:t>
      </w:r>
    </w:p>
    <w:p w14:paraId="349982D7" w14:textId="65FA3F1F" w:rsidR="0004412E" w:rsidRPr="00E05B7D" w:rsidRDefault="00401086" w:rsidP="008115B9">
      <w:pPr>
        <w:spacing w:line="276" w:lineRule="auto"/>
        <w:rPr>
          <w:sz w:val="24"/>
          <w:szCs w:val="24"/>
        </w:rPr>
      </w:pPr>
      <w:r w:rsidRPr="00401086">
        <w:rPr>
          <w:sz w:val="24"/>
          <w:szCs w:val="24"/>
        </w:rPr>
        <w:t xml:space="preserve">From the survey data, </w:t>
      </w:r>
      <w:r>
        <w:rPr>
          <w:sz w:val="24"/>
          <w:szCs w:val="24"/>
        </w:rPr>
        <w:t>s</w:t>
      </w:r>
      <w:r w:rsidRPr="00401086">
        <w:rPr>
          <w:sz w:val="24"/>
          <w:szCs w:val="24"/>
        </w:rPr>
        <w:t xml:space="preserve">everal </w:t>
      </w:r>
      <w:r>
        <w:rPr>
          <w:sz w:val="24"/>
          <w:szCs w:val="24"/>
        </w:rPr>
        <w:t xml:space="preserve">initiatives were perceived </w:t>
      </w:r>
      <w:r w:rsidRPr="00401086">
        <w:rPr>
          <w:sz w:val="24"/>
          <w:szCs w:val="24"/>
        </w:rPr>
        <w:t xml:space="preserve">to have had, or the potential to have, impacts </w:t>
      </w:r>
      <w:r>
        <w:rPr>
          <w:sz w:val="24"/>
          <w:szCs w:val="24"/>
        </w:rPr>
        <w:t>across</w:t>
      </w:r>
      <w:r w:rsidRPr="00401086">
        <w:rPr>
          <w:sz w:val="24"/>
          <w:szCs w:val="24"/>
        </w:rPr>
        <w:t xml:space="preserve"> key metrics. Acute frailty services and urgent community response </w:t>
      </w:r>
      <w:r w:rsidRPr="00401086">
        <w:rPr>
          <w:sz w:val="24"/>
          <w:szCs w:val="24"/>
        </w:rPr>
        <w:lastRenderedPageBreak/>
        <w:t xml:space="preserve">were </w:t>
      </w:r>
      <w:r w:rsidR="008C2ED6">
        <w:rPr>
          <w:sz w:val="24"/>
          <w:szCs w:val="24"/>
        </w:rPr>
        <w:t>had 60% or higher agreement with pos</w:t>
      </w:r>
      <w:r w:rsidR="00CD3DA8">
        <w:rPr>
          <w:sz w:val="24"/>
          <w:szCs w:val="24"/>
        </w:rPr>
        <w:t xml:space="preserve">itive statements about current or future impact for </w:t>
      </w:r>
      <w:r w:rsidRPr="00E05B7D">
        <w:rPr>
          <w:spacing w:val="-2"/>
          <w:sz w:val="24"/>
          <w:szCs w:val="24"/>
        </w:rPr>
        <w:t>three of the four key metrics</w:t>
      </w:r>
      <w:r w:rsidR="00D61CB4">
        <w:rPr>
          <w:spacing w:val="-2"/>
          <w:sz w:val="24"/>
          <w:szCs w:val="24"/>
        </w:rPr>
        <w:t xml:space="preserve"> measured by the survey (Table 7</w:t>
      </w:r>
      <w:r w:rsidRPr="00E05B7D">
        <w:rPr>
          <w:spacing w:val="-2"/>
          <w:sz w:val="24"/>
          <w:szCs w:val="24"/>
        </w:rPr>
        <w:t>). Whilst selected by a relatively high number of respondents, virtual wards did not score highly on any metric.</w:t>
      </w:r>
      <w:r w:rsidRPr="00E05B7D">
        <w:rPr>
          <w:spacing w:val="-2"/>
        </w:rPr>
        <w:t xml:space="preserve"> </w:t>
      </w:r>
      <w:r w:rsidRPr="00E05B7D">
        <w:rPr>
          <w:spacing w:val="-2"/>
          <w:sz w:val="24"/>
          <w:szCs w:val="24"/>
        </w:rPr>
        <w:t>Interview data suggests that virtual wards are not anticipated to have a major impact on patient flow and discharge but do have potential value for very defined patient groups.</w:t>
      </w:r>
    </w:p>
    <w:p w14:paraId="2A5A3E88" w14:textId="0355AA81" w:rsidR="00DF4295" w:rsidRPr="002B0A4B" w:rsidRDefault="00D61CB4" w:rsidP="00DF4295">
      <w:pPr>
        <w:spacing w:line="276" w:lineRule="auto"/>
        <w:rPr>
          <w:b/>
          <w:bCs/>
          <w:i/>
          <w:iCs/>
          <w:sz w:val="20"/>
          <w:szCs w:val="20"/>
        </w:rPr>
      </w:pPr>
      <w:r>
        <w:rPr>
          <w:b/>
          <w:bCs/>
          <w:i/>
          <w:iCs/>
          <w:sz w:val="20"/>
          <w:szCs w:val="20"/>
        </w:rPr>
        <w:t>Table 7</w:t>
      </w:r>
      <w:r w:rsidR="00DF4295" w:rsidRPr="002B0A4B">
        <w:rPr>
          <w:b/>
          <w:bCs/>
          <w:i/>
          <w:iCs/>
          <w:sz w:val="20"/>
          <w:szCs w:val="20"/>
        </w:rPr>
        <w:t xml:space="preserve">: Summary of initiatives with 60% or more agreement with </w:t>
      </w:r>
      <w:r w:rsidR="00CE40CC">
        <w:rPr>
          <w:b/>
          <w:bCs/>
          <w:i/>
          <w:iCs/>
          <w:sz w:val="20"/>
          <w:szCs w:val="20"/>
        </w:rPr>
        <w:t xml:space="preserve">positive </w:t>
      </w:r>
      <w:r w:rsidR="00DF4295" w:rsidRPr="002B0A4B">
        <w:rPr>
          <w:b/>
          <w:bCs/>
          <w:i/>
          <w:iCs/>
          <w:sz w:val="20"/>
          <w:szCs w:val="20"/>
        </w:rPr>
        <w:t>statements relating to key metrics</w:t>
      </w:r>
      <w:r w:rsidR="00DF4295">
        <w:rPr>
          <w:b/>
          <w:bCs/>
          <w:i/>
          <w:iCs/>
          <w:sz w:val="20"/>
          <w:szCs w:val="20"/>
        </w:rPr>
        <w:t xml:space="preserve"> (*based on very low number of responses)</w:t>
      </w:r>
      <w:r w:rsidR="00DF4295" w:rsidRPr="002B0A4B">
        <w:rPr>
          <w:b/>
          <w:bCs/>
          <w:i/>
          <w:iCs/>
          <w:sz w:val="20"/>
          <w:szCs w:val="20"/>
        </w:rPr>
        <w:t xml:space="preserve">  </w:t>
      </w:r>
    </w:p>
    <w:p w14:paraId="0429975A" w14:textId="7C0BB4D4" w:rsidR="00401086" w:rsidRDefault="00CE40CC" w:rsidP="008115B9">
      <w:pPr>
        <w:spacing w:line="276" w:lineRule="auto"/>
        <w:rPr>
          <w:sz w:val="24"/>
          <w:szCs w:val="24"/>
        </w:rPr>
      </w:pPr>
      <w:r w:rsidRPr="00DD39B7">
        <w:rPr>
          <w:noProof/>
          <w:sz w:val="24"/>
          <w:szCs w:val="24"/>
          <w:lang w:eastAsia="en-GB"/>
        </w:rPr>
        <w:lastRenderedPageBreak/>
        <w:drawing>
          <wp:inline distT="0" distB="0" distL="0" distR="0" wp14:anchorId="68252565" wp14:editId="6E1F333E">
            <wp:extent cx="5276244" cy="2700670"/>
            <wp:effectExtent l="0" t="0" r="635" b="4445"/>
            <wp:docPr id="366227079" name="Picture 1" descr="A table with a list of ite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27079" name="Picture 1" descr="A table with a list of items&#10;&#10;Description automatically generated with medium confidence"/>
                    <pic:cNvPicPr/>
                  </pic:nvPicPr>
                  <pic:blipFill>
                    <a:blip r:embed="rId11"/>
                    <a:stretch>
                      <a:fillRect/>
                    </a:stretch>
                  </pic:blipFill>
                  <pic:spPr>
                    <a:xfrm>
                      <a:off x="0" y="0"/>
                      <a:ext cx="5304788" cy="2715280"/>
                    </a:xfrm>
                    <a:prstGeom prst="rect">
                      <a:avLst/>
                    </a:prstGeom>
                  </pic:spPr>
                </pic:pic>
              </a:graphicData>
            </a:graphic>
          </wp:inline>
        </w:drawing>
      </w:r>
    </w:p>
    <w:p w14:paraId="22B97B9C" w14:textId="107E369D" w:rsidR="00423354" w:rsidRPr="00401086" w:rsidRDefault="00401086" w:rsidP="008115B9">
      <w:pPr>
        <w:spacing w:line="276" w:lineRule="auto"/>
        <w:rPr>
          <w:sz w:val="24"/>
          <w:szCs w:val="24"/>
        </w:rPr>
      </w:pPr>
      <w:r>
        <w:rPr>
          <w:sz w:val="24"/>
          <w:szCs w:val="24"/>
        </w:rPr>
        <w:t>As t</w:t>
      </w:r>
      <w:r w:rsidR="009A5967" w:rsidRPr="00866A91">
        <w:rPr>
          <w:sz w:val="24"/>
          <w:szCs w:val="24"/>
        </w:rPr>
        <w:t>he survey results are based on small numbers</w:t>
      </w:r>
      <w:r w:rsidR="009A5967">
        <w:rPr>
          <w:sz w:val="24"/>
          <w:szCs w:val="24"/>
        </w:rPr>
        <w:t>,</w:t>
      </w:r>
      <w:r w:rsidR="001134B7">
        <w:rPr>
          <w:sz w:val="24"/>
          <w:szCs w:val="24"/>
        </w:rPr>
        <w:t xml:space="preserve"> </w:t>
      </w:r>
      <w:r w:rsidR="009A5967">
        <w:rPr>
          <w:sz w:val="24"/>
          <w:szCs w:val="24"/>
        </w:rPr>
        <w:t xml:space="preserve">it was important to link signals to </w:t>
      </w:r>
      <w:r>
        <w:rPr>
          <w:sz w:val="24"/>
          <w:szCs w:val="24"/>
        </w:rPr>
        <w:t>interview information. However</w:t>
      </w:r>
      <w:r w:rsidR="00423354">
        <w:rPr>
          <w:sz w:val="24"/>
          <w:szCs w:val="24"/>
        </w:rPr>
        <w:t>, people regularly noted that, d</w:t>
      </w:r>
      <w:r w:rsidR="00106E6B" w:rsidRPr="00863ED5">
        <w:rPr>
          <w:sz w:val="24"/>
          <w:szCs w:val="24"/>
        </w:rPr>
        <w:t>ue to the complexity of UEC delivery, the many players involved</w:t>
      </w:r>
      <w:r w:rsidR="00106E6B">
        <w:rPr>
          <w:sz w:val="24"/>
          <w:szCs w:val="24"/>
        </w:rPr>
        <w:t>,</w:t>
      </w:r>
      <w:r w:rsidR="00106E6B" w:rsidRPr="00863ED5">
        <w:rPr>
          <w:sz w:val="24"/>
          <w:szCs w:val="24"/>
        </w:rPr>
        <w:t xml:space="preserve"> and ongoing challenges like industrial action and a </w:t>
      </w:r>
      <w:r w:rsidR="00E05B7D">
        <w:rPr>
          <w:sz w:val="24"/>
          <w:szCs w:val="24"/>
        </w:rPr>
        <w:t xml:space="preserve">post pandemic workforce less </w:t>
      </w:r>
      <w:r w:rsidR="00106E6B" w:rsidRPr="00863ED5">
        <w:rPr>
          <w:sz w:val="24"/>
          <w:szCs w:val="24"/>
        </w:rPr>
        <w:t xml:space="preserve">familiar with </w:t>
      </w:r>
      <w:r w:rsidR="00E05B7D">
        <w:rPr>
          <w:sz w:val="24"/>
          <w:szCs w:val="24"/>
        </w:rPr>
        <w:t xml:space="preserve">working to </w:t>
      </w:r>
      <w:r w:rsidR="00106E6B" w:rsidRPr="00863ED5">
        <w:rPr>
          <w:sz w:val="24"/>
          <w:szCs w:val="24"/>
        </w:rPr>
        <w:t xml:space="preserve">performance standards, it was difficult to </w:t>
      </w:r>
      <w:r w:rsidR="009A5967">
        <w:rPr>
          <w:sz w:val="24"/>
          <w:szCs w:val="24"/>
        </w:rPr>
        <w:t xml:space="preserve">tease out </w:t>
      </w:r>
      <w:r w:rsidR="00106E6B" w:rsidRPr="00863ED5">
        <w:rPr>
          <w:sz w:val="24"/>
          <w:szCs w:val="24"/>
        </w:rPr>
        <w:t xml:space="preserve">signals of impact due to </w:t>
      </w:r>
      <w:r w:rsidR="009A5967">
        <w:rPr>
          <w:sz w:val="24"/>
          <w:szCs w:val="24"/>
        </w:rPr>
        <w:t xml:space="preserve">a particular initiative. </w:t>
      </w:r>
    </w:p>
    <w:p w14:paraId="275EA7D8" w14:textId="3213E5A4" w:rsidR="000D1B69" w:rsidRDefault="003F4B66" w:rsidP="008115B9">
      <w:pPr>
        <w:spacing w:line="276" w:lineRule="auto"/>
        <w:rPr>
          <w:sz w:val="24"/>
          <w:szCs w:val="24"/>
        </w:rPr>
      </w:pPr>
      <w:r w:rsidRPr="00866A91">
        <w:rPr>
          <w:sz w:val="24"/>
          <w:szCs w:val="24"/>
        </w:rPr>
        <w:lastRenderedPageBreak/>
        <w:t xml:space="preserve">Interviewees </w:t>
      </w:r>
      <w:r w:rsidR="00FC3816">
        <w:rPr>
          <w:sz w:val="24"/>
          <w:szCs w:val="24"/>
        </w:rPr>
        <w:t xml:space="preserve">again </w:t>
      </w:r>
      <w:r w:rsidR="00F9229B">
        <w:rPr>
          <w:sz w:val="24"/>
          <w:szCs w:val="24"/>
        </w:rPr>
        <w:t xml:space="preserve">reinforced </w:t>
      </w:r>
      <w:r w:rsidR="00FC3816">
        <w:rPr>
          <w:sz w:val="24"/>
          <w:szCs w:val="24"/>
        </w:rPr>
        <w:t xml:space="preserve">that </w:t>
      </w:r>
      <w:r w:rsidR="001134B7">
        <w:rPr>
          <w:sz w:val="24"/>
          <w:szCs w:val="24"/>
        </w:rPr>
        <w:t>the high</w:t>
      </w:r>
      <w:r w:rsidR="00907314">
        <w:rPr>
          <w:sz w:val="24"/>
          <w:szCs w:val="24"/>
        </w:rPr>
        <w:t>-</w:t>
      </w:r>
      <w:r w:rsidR="001134B7">
        <w:rPr>
          <w:sz w:val="24"/>
          <w:szCs w:val="24"/>
        </w:rPr>
        <w:t xml:space="preserve">impact initiatives </w:t>
      </w:r>
      <w:r w:rsidR="00FC3816">
        <w:rPr>
          <w:sz w:val="24"/>
          <w:szCs w:val="24"/>
        </w:rPr>
        <w:t>are, broadly</w:t>
      </w:r>
      <w:r w:rsidR="00F9229B">
        <w:rPr>
          <w:sz w:val="24"/>
          <w:szCs w:val="24"/>
        </w:rPr>
        <w:t>,</w:t>
      </w:r>
      <w:r w:rsidR="00FC3816">
        <w:rPr>
          <w:sz w:val="24"/>
          <w:szCs w:val="24"/>
        </w:rPr>
        <w:t xml:space="preserve"> the right UEC services</w:t>
      </w:r>
      <w:r w:rsidR="00F9229B">
        <w:rPr>
          <w:sz w:val="24"/>
          <w:szCs w:val="24"/>
        </w:rPr>
        <w:t xml:space="preserve"> of focus and that was largely recognised </w:t>
      </w:r>
      <w:r w:rsidR="00F256FE">
        <w:rPr>
          <w:sz w:val="24"/>
          <w:szCs w:val="24"/>
        </w:rPr>
        <w:t>by systems prior to the July 2023 support offer. People we spo</w:t>
      </w:r>
      <w:r w:rsidR="0090510C">
        <w:rPr>
          <w:sz w:val="24"/>
          <w:szCs w:val="24"/>
        </w:rPr>
        <w:t>k</w:t>
      </w:r>
      <w:r w:rsidR="00F256FE">
        <w:rPr>
          <w:sz w:val="24"/>
          <w:szCs w:val="24"/>
        </w:rPr>
        <w:t xml:space="preserve">e to </w:t>
      </w:r>
      <w:r w:rsidR="007537E3">
        <w:rPr>
          <w:sz w:val="24"/>
          <w:szCs w:val="24"/>
        </w:rPr>
        <w:t>emphasised</w:t>
      </w:r>
      <w:r w:rsidR="0090510C">
        <w:rPr>
          <w:sz w:val="24"/>
          <w:szCs w:val="24"/>
        </w:rPr>
        <w:t xml:space="preserve"> the </w:t>
      </w:r>
      <w:r w:rsidR="007537E3">
        <w:rPr>
          <w:sz w:val="24"/>
          <w:szCs w:val="24"/>
        </w:rPr>
        <w:t xml:space="preserve">potential </w:t>
      </w:r>
      <w:r w:rsidR="0090510C">
        <w:rPr>
          <w:sz w:val="24"/>
          <w:szCs w:val="24"/>
        </w:rPr>
        <w:t xml:space="preserve">value of </w:t>
      </w:r>
      <w:r w:rsidR="003C6264">
        <w:rPr>
          <w:sz w:val="24"/>
          <w:szCs w:val="24"/>
        </w:rPr>
        <w:t xml:space="preserve">single points of access and </w:t>
      </w:r>
      <w:r w:rsidR="000633AE">
        <w:rPr>
          <w:sz w:val="24"/>
          <w:szCs w:val="24"/>
        </w:rPr>
        <w:t xml:space="preserve">the high use of </w:t>
      </w:r>
      <w:r w:rsidR="00DC3EDA" w:rsidRPr="00866A91">
        <w:rPr>
          <w:sz w:val="24"/>
          <w:szCs w:val="24"/>
        </w:rPr>
        <w:t>SDEC</w:t>
      </w:r>
      <w:r w:rsidR="000633AE">
        <w:rPr>
          <w:sz w:val="24"/>
          <w:szCs w:val="24"/>
        </w:rPr>
        <w:t>s</w:t>
      </w:r>
      <w:r w:rsidR="007537E3">
        <w:rPr>
          <w:sz w:val="24"/>
          <w:szCs w:val="24"/>
        </w:rPr>
        <w:t>. However,</w:t>
      </w:r>
      <w:r w:rsidR="000633AE">
        <w:rPr>
          <w:sz w:val="24"/>
          <w:szCs w:val="24"/>
        </w:rPr>
        <w:t xml:space="preserve"> there were often caveats such as whether </w:t>
      </w:r>
      <w:r w:rsidR="007537E3">
        <w:rPr>
          <w:sz w:val="24"/>
          <w:szCs w:val="24"/>
        </w:rPr>
        <w:t>initiatives were targeting</w:t>
      </w:r>
      <w:r w:rsidR="000633AE">
        <w:rPr>
          <w:sz w:val="24"/>
          <w:szCs w:val="24"/>
        </w:rPr>
        <w:t xml:space="preserve"> </w:t>
      </w:r>
      <w:r w:rsidR="00DC3EDA" w:rsidRPr="00866A91">
        <w:rPr>
          <w:sz w:val="24"/>
          <w:szCs w:val="24"/>
        </w:rPr>
        <w:t>the right p</w:t>
      </w:r>
      <w:r w:rsidR="007537E3">
        <w:rPr>
          <w:sz w:val="24"/>
          <w:szCs w:val="24"/>
        </w:rPr>
        <w:t>opulation groups, whether</w:t>
      </w:r>
      <w:r w:rsidR="00DC3EDA" w:rsidRPr="00866A91">
        <w:rPr>
          <w:sz w:val="24"/>
          <w:szCs w:val="24"/>
        </w:rPr>
        <w:t xml:space="preserve"> </w:t>
      </w:r>
      <w:r w:rsidR="00A12F5A" w:rsidRPr="00866A91">
        <w:rPr>
          <w:sz w:val="24"/>
          <w:szCs w:val="24"/>
        </w:rPr>
        <w:t xml:space="preserve">patient experience and care was </w:t>
      </w:r>
      <w:r w:rsidR="007537E3">
        <w:rPr>
          <w:sz w:val="24"/>
          <w:szCs w:val="24"/>
        </w:rPr>
        <w:t xml:space="preserve">actually </w:t>
      </w:r>
      <w:r w:rsidR="00A12F5A" w:rsidRPr="00866A91">
        <w:rPr>
          <w:sz w:val="24"/>
          <w:szCs w:val="24"/>
        </w:rPr>
        <w:t xml:space="preserve">enhanced by </w:t>
      </w:r>
      <w:r w:rsidR="007537E3">
        <w:rPr>
          <w:sz w:val="24"/>
          <w:szCs w:val="24"/>
        </w:rPr>
        <w:t>use of these ‘off clock’ initiatives or whether some</w:t>
      </w:r>
      <w:r w:rsidR="00907314">
        <w:rPr>
          <w:sz w:val="24"/>
          <w:szCs w:val="24"/>
        </w:rPr>
        <w:t>,</w:t>
      </w:r>
      <w:r w:rsidR="007537E3">
        <w:rPr>
          <w:sz w:val="24"/>
          <w:szCs w:val="24"/>
        </w:rPr>
        <w:t xml:space="preserve"> like virtual wards</w:t>
      </w:r>
      <w:r w:rsidR="00907314">
        <w:rPr>
          <w:sz w:val="24"/>
          <w:szCs w:val="24"/>
        </w:rPr>
        <w:t>,</w:t>
      </w:r>
      <w:r w:rsidR="007537E3">
        <w:rPr>
          <w:sz w:val="24"/>
          <w:szCs w:val="24"/>
        </w:rPr>
        <w:t xml:space="preserve"> may be acting as a safety net for people who could or </w:t>
      </w:r>
      <w:r w:rsidR="00CE40CC">
        <w:rPr>
          <w:sz w:val="24"/>
          <w:szCs w:val="24"/>
        </w:rPr>
        <w:t>would</w:t>
      </w:r>
      <w:r w:rsidR="007537E3">
        <w:rPr>
          <w:sz w:val="24"/>
          <w:szCs w:val="24"/>
        </w:rPr>
        <w:t xml:space="preserve"> previously have </w:t>
      </w:r>
      <w:r w:rsidR="007537E3" w:rsidRPr="00866A91">
        <w:rPr>
          <w:sz w:val="24"/>
          <w:szCs w:val="24"/>
        </w:rPr>
        <w:t>been discharged home, without follow-up</w:t>
      </w:r>
      <w:r w:rsidR="00A12F5A" w:rsidRPr="00866A91">
        <w:rPr>
          <w:sz w:val="24"/>
          <w:szCs w:val="24"/>
        </w:rPr>
        <w:t>.</w:t>
      </w:r>
      <w:r w:rsidR="000633AE">
        <w:rPr>
          <w:sz w:val="24"/>
          <w:szCs w:val="24"/>
        </w:rPr>
        <w:t xml:space="preserve"> </w:t>
      </w:r>
      <w:r w:rsidR="000D1B69" w:rsidRPr="00866A91">
        <w:rPr>
          <w:sz w:val="24"/>
          <w:szCs w:val="24"/>
        </w:rPr>
        <w:t xml:space="preserve">Other </w:t>
      </w:r>
      <w:r w:rsidR="000633AE">
        <w:rPr>
          <w:sz w:val="24"/>
          <w:szCs w:val="24"/>
        </w:rPr>
        <w:t xml:space="preserve">people noted again that </w:t>
      </w:r>
      <w:r w:rsidR="000D1B69" w:rsidRPr="00866A91">
        <w:rPr>
          <w:sz w:val="24"/>
          <w:szCs w:val="24"/>
        </w:rPr>
        <w:t xml:space="preserve">the work is difficult to quantify </w:t>
      </w:r>
      <w:r w:rsidR="00736CC0" w:rsidRPr="00866A91">
        <w:rPr>
          <w:sz w:val="24"/>
          <w:szCs w:val="24"/>
        </w:rPr>
        <w:t>yet</w:t>
      </w:r>
      <w:r w:rsidR="000D1B69" w:rsidRPr="00866A91">
        <w:rPr>
          <w:sz w:val="24"/>
          <w:szCs w:val="24"/>
        </w:rPr>
        <w:t xml:space="preserve">, but that </w:t>
      </w:r>
      <w:r w:rsidR="00051DFA">
        <w:rPr>
          <w:sz w:val="24"/>
          <w:szCs w:val="24"/>
        </w:rPr>
        <w:t xml:space="preserve">regular monitoring via dashboards was giving a sense that </w:t>
      </w:r>
      <w:r w:rsidR="000D1B69" w:rsidRPr="00866A91">
        <w:rPr>
          <w:sz w:val="24"/>
          <w:szCs w:val="24"/>
        </w:rPr>
        <w:t xml:space="preserve">improvements </w:t>
      </w:r>
      <w:r w:rsidR="00051DFA">
        <w:rPr>
          <w:sz w:val="24"/>
          <w:szCs w:val="24"/>
        </w:rPr>
        <w:t>are coming but more time is needed for these to be confirmed</w:t>
      </w:r>
      <w:r w:rsidR="000D1B69" w:rsidRPr="00866A91">
        <w:rPr>
          <w:sz w:val="24"/>
          <w:szCs w:val="24"/>
        </w:rPr>
        <w:t>.</w:t>
      </w:r>
    </w:p>
    <w:p w14:paraId="73042CA7" w14:textId="77777777" w:rsidR="007537E3" w:rsidRDefault="007537E3" w:rsidP="008115B9">
      <w:pPr>
        <w:spacing w:line="276" w:lineRule="auto"/>
        <w:rPr>
          <w:sz w:val="24"/>
          <w:szCs w:val="24"/>
        </w:rPr>
      </w:pPr>
    </w:p>
    <w:p w14:paraId="15FE70D1" w14:textId="12B23A9C" w:rsidR="00913728" w:rsidRPr="00913728" w:rsidRDefault="008323CD" w:rsidP="00E0120A">
      <w:pPr>
        <w:spacing w:line="276" w:lineRule="auto"/>
        <w:rPr>
          <w:rFonts w:asciiTheme="majorHAnsi" w:eastAsiaTheme="majorEastAsia" w:hAnsiTheme="majorHAnsi" w:cstheme="majorBidi"/>
          <w:i/>
          <w:color w:val="2F5496" w:themeColor="accent1" w:themeShade="BF"/>
          <w:sz w:val="28"/>
          <w:szCs w:val="32"/>
        </w:rPr>
      </w:pPr>
      <w:r w:rsidRPr="00913728">
        <w:rPr>
          <w:rFonts w:asciiTheme="majorHAnsi" w:eastAsiaTheme="majorEastAsia" w:hAnsiTheme="majorHAnsi" w:cstheme="majorBidi"/>
          <w:i/>
          <w:color w:val="2F5496" w:themeColor="accent1" w:themeShade="BF"/>
          <w:sz w:val="28"/>
          <w:szCs w:val="32"/>
        </w:rPr>
        <w:t>3</w:t>
      </w:r>
      <w:r w:rsidR="002C3DFA" w:rsidRPr="00913728">
        <w:rPr>
          <w:rFonts w:asciiTheme="majorHAnsi" w:eastAsiaTheme="majorEastAsia" w:hAnsiTheme="majorHAnsi" w:cstheme="majorBidi"/>
          <w:i/>
          <w:color w:val="2F5496" w:themeColor="accent1" w:themeShade="BF"/>
          <w:sz w:val="28"/>
          <w:szCs w:val="32"/>
        </w:rPr>
        <w:t xml:space="preserve">.4 </w:t>
      </w:r>
      <w:r w:rsidR="00F61C36" w:rsidRPr="00913728">
        <w:rPr>
          <w:rFonts w:asciiTheme="majorHAnsi" w:eastAsiaTheme="majorEastAsia" w:hAnsiTheme="majorHAnsi" w:cstheme="majorBidi"/>
          <w:i/>
          <w:color w:val="2F5496" w:themeColor="accent1" w:themeShade="BF"/>
          <w:sz w:val="28"/>
          <w:szCs w:val="32"/>
        </w:rPr>
        <w:t xml:space="preserve">Spillover effects and potential gaps in initiative focus </w:t>
      </w:r>
    </w:p>
    <w:p w14:paraId="343F3DF8" w14:textId="5DC68F6F" w:rsidR="00CA45D6" w:rsidRDefault="002C3DFA" w:rsidP="00E0120A">
      <w:pPr>
        <w:spacing w:line="276" w:lineRule="auto"/>
        <w:rPr>
          <w:sz w:val="24"/>
          <w:szCs w:val="24"/>
        </w:rPr>
      </w:pPr>
      <w:r>
        <w:rPr>
          <w:sz w:val="24"/>
          <w:szCs w:val="24"/>
        </w:rPr>
        <w:lastRenderedPageBreak/>
        <w:t xml:space="preserve">In interviews we </w:t>
      </w:r>
      <w:r w:rsidR="00104629">
        <w:rPr>
          <w:sz w:val="24"/>
          <w:szCs w:val="24"/>
        </w:rPr>
        <w:t>explo</w:t>
      </w:r>
      <w:r w:rsidR="00CA45D6">
        <w:rPr>
          <w:sz w:val="24"/>
          <w:szCs w:val="24"/>
        </w:rPr>
        <w:t>red any unintended consequences and</w:t>
      </w:r>
      <w:r w:rsidR="00104629">
        <w:rPr>
          <w:sz w:val="24"/>
          <w:szCs w:val="24"/>
        </w:rPr>
        <w:t xml:space="preserve"> or spillover effects</w:t>
      </w:r>
      <w:r w:rsidR="00CA45D6">
        <w:rPr>
          <w:sz w:val="24"/>
          <w:szCs w:val="24"/>
        </w:rPr>
        <w:t xml:space="preserve"> arising from </w:t>
      </w:r>
      <w:r w:rsidR="00104629">
        <w:rPr>
          <w:sz w:val="24"/>
          <w:szCs w:val="24"/>
        </w:rPr>
        <w:t>the focus on th</w:t>
      </w:r>
      <w:r w:rsidR="00CA45D6">
        <w:rPr>
          <w:sz w:val="24"/>
          <w:szCs w:val="24"/>
        </w:rPr>
        <w:t xml:space="preserve">e </w:t>
      </w:r>
      <w:r w:rsidR="00DA7203">
        <w:rPr>
          <w:sz w:val="24"/>
          <w:szCs w:val="24"/>
        </w:rPr>
        <w:t>high-impact</w:t>
      </w:r>
      <w:r w:rsidR="00CA45D6">
        <w:rPr>
          <w:sz w:val="24"/>
          <w:szCs w:val="24"/>
        </w:rPr>
        <w:t xml:space="preserve"> initiatives</w:t>
      </w:r>
      <w:r w:rsidR="00104629">
        <w:rPr>
          <w:sz w:val="24"/>
          <w:szCs w:val="24"/>
        </w:rPr>
        <w:t>.</w:t>
      </w:r>
      <w:r w:rsidR="00CA45D6">
        <w:rPr>
          <w:sz w:val="24"/>
          <w:szCs w:val="24"/>
        </w:rPr>
        <w:t xml:space="preserve"> It i</w:t>
      </w:r>
      <w:r w:rsidR="002A3ED1" w:rsidRPr="002A3ED1">
        <w:rPr>
          <w:sz w:val="24"/>
          <w:szCs w:val="24"/>
        </w:rPr>
        <w:t xml:space="preserve">s worth highlighting that </w:t>
      </w:r>
      <w:r w:rsidR="00CA45D6">
        <w:rPr>
          <w:sz w:val="24"/>
          <w:szCs w:val="24"/>
        </w:rPr>
        <w:t xml:space="preserve">interviewees do not view the </w:t>
      </w:r>
      <w:r w:rsidR="00DA7203">
        <w:rPr>
          <w:sz w:val="24"/>
          <w:szCs w:val="24"/>
        </w:rPr>
        <w:t>high-impact</w:t>
      </w:r>
      <w:r w:rsidR="00CA45D6" w:rsidRPr="00CA45D6">
        <w:rPr>
          <w:sz w:val="24"/>
          <w:szCs w:val="24"/>
        </w:rPr>
        <w:t xml:space="preserve"> initiatives </w:t>
      </w:r>
      <w:r w:rsidR="002A3ED1" w:rsidRPr="002A3ED1">
        <w:rPr>
          <w:sz w:val="24"/>
          <w:szCs w:val="24"/>
        </w:rPr>
        <w:t>as discrete interventions in their own right but as elements of wider plans to divert patients, avoid admissions</w:t>
      </w:r>
      <w:r w:rsidR="00907314">
        <w:rPr>
          <w:sz w:val="24"/>
          <w:szCs w:val="24"/>
        </w:rPr>
        <w:t>,</w:t>
      </w:r>
      <w:r w:rsidR="002A3ED1" w:rsidRPr="002A3ED1">
        <w:rPr>
          <w:sz w:val="24"/>
          <w:szCs w:val="24"/>
        </w:rPr>
        <w:t xml:space="preserve"> and enhance flow. </w:t>
      </w:r>
      <w:r w:rsidR="00CA45D6">
        <w:rPr>
          <w:sz w:val="24"/>
          <w:szCs w:val="24"/>
        </w:rPr>
        <w:t xml:space="preserve">In this context, it is </w:t>
      </w:r>
      <w:r w:rsidR="009A27AC">
        <w:rPr>
          <w:sz w:val="24"/>
          <w:szCs w:val="24"/>
        </w:rPr>
        <w:t xml:space="preserve">mainly </w:t>
      </w:r>
      <w:r w:rsidR="00CA45D6" w:rsidRPr="00CA45D6">
        <w:rPr>
          <w:sz w:val="24"/>
          <w:szCs w:val="24"/>
        </w:rPr>
        <w:t xml:space="preserve">existing UEC staff </w:t>
      </w:r>
      <w:r w:rsidR="00CA45D6">
        <w:rPr>
          <w:sz w:val="24"/>
          <w:szCs w:val="24"/>
        </w:rPr>
        <w:t xml:space="preserve">that are deployed to deliver these </w:t>
      </w:r>
      <w:r w:rsidR="00CA45D6" w:rsidRPr="00CA45D6">
        <w:rPr>
          <w:sz w:val="24"/>
          <w:szCs w:val="24"/>
        </w:rPr>
        <w:t>services,</w:t>
      </w:r>
      <w:r w:rsidR="00CA45D6">
        <w:rPr>
          <w:sz w:val="24"/>
          <w:szCs w:val="24"/>
        </w:rPr>
        <w:t xml:space="preserve"> and</w:t>
      </w:r>
      <w:r w:rsidR="00CA45D6" w:rsidRPr="00CA45D6">
        <w:rPr>
          <w:sz w:val="24"/>
          <w:szCs w:val="24"/>
        </w:rPr>
        <w:t xml:space="preserve"> sometimes </w:t>
      </w:r>
      <w:r w:rsidR="00CA45D6">
        <w:rPr>
          <w:sz w:val="24"/>
          <w:szCs w:val="24"/>
        </w:rPr>
        <w:t xml:space="preserve">this displacement </w:t>
      </w:r>
      <w:r w:rsidR="009A27AC">
        <w:rPr>
          <w:sz w:val="24"/>
          <w:szCs w:val="24"/>
        </w:rPr>
        <w:t>can</w:t>
      </w:r>
      <w:r w:rsidR="00CA45D6">
        <w:rPr>
          <w:sz w:val="24"/>
          <w:szCs w:val="24"/>
        </w:rPr>
        <w:t xml:space="preserve"> result in </w:t>
      </w:r>
      <w:r w:rsidR="00CA45D6" w:rsidRPr="00CA45D6">
        <w:rPr>
          <w:sz w:val="24"/>
          <w:szCs w:val="24"/>
        </w:rPr>
        <w:t xml:space="preserve">fewer staff members </w:t>
      </w:r>
      <w:r w:rsidR="00CA45D6">
        <w:rPr>
          <w:sz w:val="24"/>
          <w:szCs w:val="24"/>
        </w:rPr>
        <w:t xml:space="preserve">available </w:t>
      </w:r>
      <w:r w:rsidR="00CA45D6" w:rsidRPr="00CA45D6">
        <w:rPr>
          <w:sz w:val="24"/>
          <w:szCs w:val="24"/>
        </w:rPr>
        <w:t>in A&amp;E</w:t>
      </w:r>
      <w:r w:rsidR="00CA45D6">
        <w:rPr>
          <w:sz w:val="24"/>
          <w:szCs w:val="24"/>
        </w:rPr>
        <w:t xml:space="preserve"> to </w:t>
      </w:r>
      <w:r w:rsidR="009A27AC">
        <w:rPr>
          <w:sz w:val="24"/>
          <w:szCs w:val="24"/>
        </w:rPr>
        <w:t>manage</w:t>
      </w:r>
      <w:r w:rsidR="00CA45D6">
        <w:rPr>
          <w:sz w:val="24"/>
          <w:szCs w:val="24"/>
        </w:rPr>
        <w:t xml:space="preserve"> presenting patients.</w:t>
      </w:r>
      <w:r w:rsidR="003261FE">
        <w:rPr>
          <w:sz w:val="24"/>
          <w:szCs w:val="24"/>
        </w:rPr>
        <w:t xml:space="preserve"> All against a backdrop of prolonged</w:t>
      </w:r>
      <w:r w:rsidR="003261FE" w:rsidRPr="003261FE">
        <w:rPr>
          <w:sz w:val="24"/>
          <w:szCs w:val="24"/>
        </w:rPr>
        <w:t xml:space="preserve"> industrial action</w:t>
      </w:r>
      <w:r w:rsidR="003261FE">
        <w:rPr>
          <w:sz w:val="24"/>
          <w:szCs w:val="24"/>
        </w:rPr>
        <w:t>.</w:t>
      </w:r>
    </w:p>
    <w:p w14:paraId="7B4AAD2F" w14:textId="78479E9A" w:rsidR="009A27AC" w:rsidRPr="00866A91" w:rsidRDefault="009A27AC" w:rsidP="00E0120A">
      <w:pPr>
        <w:spacing w:line="276" w:lineRule="auto"/>
        <w:rPr>
          <w:sz w:val="24"/>
          <w:szCs w:val="24"/>
        </w:rPr>
      </w:pPr>
      <w:r>
        <w:rPr>
          <w:sz w:val="24"/>
          <w:szCs w:val="24"/>
        </w:rPr>
        <w:t>S</w:t>
      </w:r>
      <w:r w:rsidR="00CA45D6">
        <w:rPr>
          <w:sz w:val="24"/>
          <w:szCs w:val="24"/>
        </w:rPr>
        <w:t xml:space="preserve">ome interviewees mentioned that </w:t>
      </w:r>
      <w:r w:rsidR="00F71EE7" w:rsidRPr="00866A91">
        <w:rPr>
          <w:sz w:val="24"/>
          <w:szCs w:val="24"/>
        </w:rPr>
        <w:t xml:space="preserve">stopping </w:t>
      </w:r>
      <w:r w:rsidR="00CA45D6">
        <w:rPr>
          <w:sz w:val="24"/>
          <w:szCs w:val="24"/>
        </w:rPr>
        <w:t xml:space="preserve">or diverting </w:t>
      </w:r>
      <w:r w:rsidR="00F71EE7" w:rsidRPr="00866A91">
        <w:rPr>
          <w:sz w:val="24"/>
          <w:szCs w:val="24"/>
        </w:rPr>
        <w:t xml:space="preserve">people from arriving at the </w:t>
      </w:r>
      <w:r w:rsidR="002C270D">
        <w:rPr>
          <w:sz w:val="24"/>
          <w:szCs w:val="24"/>
        </w:rPr>
        <w:t>‘</w:t>
      </w:r>
      <w:r w:rsidR="00F71EE7" w:rsidRPr="00866A91">
        <w:rPr>
          <w:sz w:val="24"/>
          <w:szCs w:val="24"/>
        </w:rPr>
        <w:t>front door</w:t>
      </w:r>
      <w:r w:rsidR="002C270D">
        <w:rPr>
          <w:sz w:val="24"/>
          <w:szCs w:val="24"/>
        </w:rPr>
        <w:t>’</w:t>
      </w:r>
      <w:r w:rsidR="00F71EE7" w:rsidRPr="00866A91">
        <w:rPr>
          <w:sz w:val="24"/>
          <w:szCs w:val="24"/>
        </w:rPr>
        <w:t xml:space="preserve"> was not </w:t>
      </w:r>
      <w:r w:rsidR="00CA45D6">
        <w:rPr>
          <w:sz w:val="24"/>
          <w:szCs w:val="24"/>
        </w:rPr>
        <w:t xml:space="preserve">being </w:t>
      </w:r>
      <w:r w:rsidR="00F71EE7" w:rsidRPr="00866A91">
        <w:rPr>
          <w:sz w:val="24"/>
          <w:szCs w:val="24"/>
        </w:rPr>
        <w:t>rewarded or recognised</w:t>
      </w:r>
      <w:r>
        <w:rPr>
          <w:sz w:val="24"/>
          <w:szCs w:val="24"/>
        </w:rPr>
        <w:t xml:space="preserve"> in the recovery plan</w:t>
      </w:r>
      <w:r w:rsidR="00F71EE7" w:rsidRPr="00866A91">
        <w:rPr>
          <w:sz w:val="24"/>
          <w:szCs w:val="24"/>
        </w:rPr>
        <w:t xml:space="preserve">. </w:t>
      </w:r>
      <w:r w:rsidR="00BB0B4A">
        <w:rPr>
          <w:sz w:val="24"/>
          <w:szCs w:val="24"/>
        </w:rPr>
        <w:t>I</w:t>
      </w:r>
      <w:r w:rsidR="00F71EE7" w:rsidRPr="00866A91">
        <w:rPr>
          <w:sz w:val="24"/>
          <w:szCs w:val="24"/>
        </w:rPr>
        <w:t xml:space="preserve">nterviewees mentioned that </w:t>
      </w:r>
      <w:r w:rsidR="00CA45D6">
        <w:rPr>
          <w:sz w:val="24"/>
          <w:szCs w:val="24"/>
        </w:rPr>
        <w:t xml:space="preserve">patients who </w:t>
      </w:r>
      <w:r w:rsidR="00F71EE7" w:rsidRPr="00866A91">
        <w:rPr>
          <w:sz w:val="24"/>
          <w:szCs w:val="24"/>
        </w:rPr>
        <w:t xml:space="preserve">would have previously been seen, treated, and discharged within four hours, </w:t>
      </w:r>
      <w:r w:rsidR="00CA45D6">
        <w:rPr>
          <w:sz w:val="24"/>
          <w:szCs w:val="24"/>
        </w:rPr>
        <w:t>were</w:t>
      </w:r>
      <w:r w:rsidR="00F71EE7" w:rsidRPr="00866A91">
        <w:rPr>
          <w:sz w:val="24"/>
          <w:szCs w:val="24"/>
        </w:rPr>
        <w:t xml:space="preserve"> now be</w:t>
      </w:r>
      <w:r w:rsidR="00CA45D6">
        <w:rPr>
          <w:sz w:val="24"/>
          <w:szCs w:val="24"/>
        </w:rPr>
        <w:t>ing</w:t>
      </w:r>
      <w:r w:rsidR="00F71EE7" w:rsidRPr="00866A91">
        <w:rPr>
          <w:sz w:val="24"/>
          <w:szCs w:val="24"/>
        </w:rPr>
        <w:t xml:space="preserve"> </w:t>
      </w:r>
      <w:r>
        <w:rPr>
          <w:sz w:val="24"/>
          <w:szCs w:val="24"/>
        </w:rPr>
        <w:t xml:space="preserve">diverted or </w:t>
      </w:r>
      <w:r w:rsidR="00CA45D6">
        <w:rPr>
          <w:sz w:val="24"/>
          <w:szCs w:val="24"/>
        </w:rPr>
        <w:t>managed elsewhere. This in turn has led</w:t>
      </w:r>
      <w:r w:rsidR="00F71EE7" w:rsidRPr="00866A91">
        <w:rPr>
          <w:sz w:val="24"/>
          <w:szCs w:val="24"/>
        </w:rPr>
        <w:t xml:space="preserve"> to </w:t>
      </w:r>
      <w:r w:rsidR="00CA45D6">
        <w:rPr>
          <w:sz w:val="24"/>
          <w:szCs w:val="24"/>
        </w:rPr>
        <w:t>a</w:t>
      </w:r>
      <w:r w:rsidR="002C270D">
        <w:rPr>
          <w:sz w:val="24"/>
          <w:szCs w:val="24"/>
        </w:rPr>
        <w:t xml:space="preserve"> concentration of </w:t>
      </w:r>
      <w:r>
        <w:rPr>
          <w:sz w:val="24"/>
          <w:szCs w:val="24"/>
        </w:rPr>
        <w:t xml:space="preserve">presenting patients with </w:t>
      </w:r>
      <w:r w:rsidR="00F71EE7" w:rsidRPr="00866A91">
        <w:rPr>
          <w:sz w:val="24"/>
          <w:szCs w:val="24"/>
        </w:rPr>
        <w:t xml:space="preserve">more complex </w:t>
      </w:r>
      <w:r>
        <w:rPr>
          <w:sz w:val="24"/>
          <w:szCs w:val="24"/>
        </w:rPr>
        <w:t>needs</w:t>
      </w:r>
      <w:r w:rsidR="00CA45D6">
        <w:rPr>
          <w:sz w:val="24"/>
          <w:szCs w:val="24"/>
        </w:rPr>
        <w:t>, wh</w:t>
      </w:r>
      <w:r w:rsidR="00CA47ED">
        <w:rPr>
          <w:sz w:val="24"/>
          <w:szCs w:val="24"/>
        </w:rPr>
        <w:t>ich</w:t>
      </w:r>
      <w:r w:rsidR="00CA45D6">
        <w:rPr>
          <w:sz w:val="24"/>
          <w:szCs w:val="24"/>
        </w:rPr>
        <w:t xml:space="preserve"> </w:t>
      </w:r>
      <w:r>
        <w:rPr>
          <w:sz w:val="24"/>
          <w:szCs w:val="24"/>
        </w:rPr>
        <w:t>take more time to manage</w:t>
      </w:r>
      <w:r w:rsidR="00CA47ED">
        <w:rPr>
          <w:sz w:val="24"/>
          <w:szCs w:val="24"/>
        </w:rPr>
        <w:t>,</w:t>
      </w:r>
      <w:r>
        <w:rPr>
          <w:sz w:val="24"/>
          <w:szCs w:val="24"/>
        </w:rPr>
        <w:t xml:space="preserve"> </w:t>
      </w:r>
      <w:r>
        <w:rPr>
          <w:sz w:val="24"/>
          <w:szCs w:val="24"/>
        </w:rPr>
        <w:lastRenderedPageBreak/>
        <w:t xml:space="preserve">making </w:t>
      </w:r>
      <w:r w:rsidR="00F71EE7" w:rsidRPr="00866A91">
        <w:rPr>
          <w:sz w:val="24"/>
          <w:szCs w:val="24"/>
        </w:rPr>
        <w:t xml:space="preserve">it more difficult to achieve 4-hour waiting time standards. </w:t>
      </w:r>
      <w:r>
        <w:rPr>
          <w:sz w:val="24"/>
          <w:szCs w:val="24"/>
        </w:rPr>
        <w:t xml:space="preserve">In particular, </w:t>
      </w:r>
      <w:r w:rsidRPr="009A27AC">
        <w:rPr>
          <w:sz w:val="24"/>
          <w:szCs w:val="24"/>
        </w:rPr>
        <w:t xml:space="preserve">people with complex mental </w:t>
      </w:r>
      <w:r w:rsidR="00C037BF">
        <w:rPr>
          <w:sz w:val="24"/>
          <w:szCs w:val="24"/>
        </w:rPr>
        <w:t xml:space="preserve">health </w:t>
      </w:r>
      <w:r w:rsidRPr="00C037BF">
        <w:rPr>
          <w:i/>
          <w:sz w:val="24"/>
          <w:szCs w:val="24"/>
        </w:rPr>
        <w:t>and</w:t>
      </w:r>
      <w:r w:rsidRPr="009A27AC">
        <w:rPr>
          <w:sz w:val="24"/>
          <w:szCs w:val="24"/>
        </w:rPr>
        <w:t xml:space="preserve"> physical health needs</w:t>
      </w:r>
      <w:r>
        <w:rPr>
          <w:sz w:val="24"/>
          <w:szCs w:val="24"/>
        </w:rPr>
        <w:t xml:space="preserve"> were mentioned as a group that were challenging to manage in A&amp;E</w:t>
      </w:r>
      <w:r w:rsidR="00C037BF">
        <w:rPr>
          <w:sz w:val="24"/>
          <w:szCs w:val="24"/>
        </w:rPr>
        <w:t xml:space="preserve">. Whilst there is a focus on improving access to and capacity in </w:t>
      </w:r>
      <w:r w:rsidR="00C037BF" w:rsidRPr="00C037BF">
        <w:rPr>
          <w:sz w:val="24"/>
          <w:szCs w:val="24"/>
        </w:rPr>
        <w:t>mental health crisis</w:t>
      </w:r>
      <w:r w:rsidR="00C037BF">
        <w:rPr>
          <w:sz w:val="24"/>
          <w:szCs w:val="24"/>
        </w:rPr>
        <w:t xml:space="preserve"> services there is a lack of focus on </w:t>
      </w:r>
      <w:r>
        <w:rPr>
          <w:sz w:val="24"/>
          <w:szCs w:val="24"/>
        </w:rPr>
        <w:t>admission and transfer options</w:t>
      </w:r>
      <w:r w:rsidR="00C037BF">
        <w:rPr>
          <w:sz w:val="24"/>
          <w:szCs w:val="24"/>
        </w:rPr>
        <w:t xml:space="preserve"> for those with </w:t>
      </w:r>
      <w:r w:rsidR="00C037BF" w:rsidRPr="00C037BF">
        <w:rPr>
          <w:sz w:val="24"/>
          <w:szCs w:val="24"/>
        </w:rPr>
        <w:t>physical health needs</w:t>
      </w:r>
      <w:r>
        <w:rPr>
          <w:sz w:val="24"/>
          <w:szCs w:val="24"/>
        </w:rPr>
        <w:t xml:space="preserve">. </w:t>
      </w:r>
      <w:r w:rsidR="00C037BF">
        <w:rPr>
          <w:sz w:val="24"/>
          <w:szCs w:val="24"/>
        </w:rPr>
        <w:t xml:space="preserve">Many patients become stuck </w:t>
      </w:r>
      <w:r w:rsidR="00C037BF" w:rsidRPr="00C037BF">
        <w:rPr>
          <w:sz w:val="24"/>
          <w:szCs w:val="24"/>
        </w:rPr>
        <w:t>in A&amp;E</w:t>
      </w:r>
      <w:r w:rsidR="00C037BF">
        <w:rPr>
          <w:sz w:val="24"/>
          <w:szCs w:val="24"/>
        </w:rPr>
        <w:t xml:space="preserve"> as a result.</w:t>
      </w:r>
    </w:p>
    <w:p w14:paraId="2D1A4808" w14:textId="7AA69126" w:rsidR="00820E64" w:rsidRPr="00820E64" w:rsidRDefault="0053057F" w:rsidP="00820E64">
      <w:pPr>
        <w:spacing w:line="276" w:lineRule="auto"/>
        <w:rPr>
          <w:sz w:val="24"/>
          <w:szCs w:val="24"/>
        </w:rPr>
      </w:pPr>
      <w:r>
        <w:rPr>
          <w:sz w:val="24"/>
          <w:szCs w:val="24"/>
        </w:rPr>
        <w:t>Many i</w:t>
      </w:r>
      <w:r w:rsidR="00264287" w:rsidRPr="00863ED5">
        <w:rPr>
          <w:sz w:val="24"/>
          <w:szCs w:val="24"/>
        </w:rPr>
        <w:t xml:space="preserve">nterview participants mentioned that </w:t>
      </w:r>
      <w:r>
        <w:rPr>
          <w:sz w:val="24"/>
          <w:szCs w:val="24"/>
        </w:rPr>
        <w:t xml:space="preserve">in </w:t>
      </w:r>
      <w:r w:rsidR="00264287" w:rsidRPr="00863ED5">
        <w:rPr>
          <w:sz w:val="24"/>
          <w:szCs w:val="24"/>
        </w:rPr>
        <w:t>the post-pandemic</w:t>
      </w:r>
      <w:r>
        <w:rPr>
          <w:sz w:val="24"/>
          <w:szCs w:val="24"/>
        </w:rPr>
        <w:t xml:space="preserve"> period, the</w:t>
      </w:r>
      <w:r w:rsidR="00264287" w:rsidRPr="00863ED5">
        <w:rPr>
          <w:sz w:val="24"/>
          <w:szCs w:val="24"/>
        </w:rPr>
        <w:t xml:space="preserve"> UEC workforce </w:t>
      </w:r>
      <w:r>
        <w:rPr>
          <w:sz w:val="24"/>
          <w:szCs w:val="24"/>
        </w:rPr>
        <w:t>h</w:t>
      </w:r>
      <w:r w:rsidR="00264287" w:rsidRPr="00863ED5">
        <w:rPr>
          <w:sz w:val="24"/>
          <w:szCs w:val="24"/>
        </w:rPr>
        <w:t xml:space="preserve">as not experienced working </w:t>
      </w:r>
      <w:r>
        <w:rPr>
          <w:sz w:val="24"/>
          <w:szCs w:val="24"/>
        </w:rPr>
        <w:t>to performance targets. The pandemic ways of working and the turnover of the UEC workforce has led to a loss of organisational memory</w:t>
      </w:r>
      <w:r w:rsidR="00264287" w:rsidRPr="00863ED5">
        <w:rPr>
          <w:sz w:val="24"/>
          <w:szCs w:val="24"/>
        </w:rPr>
        <w:t xml:space="preserve">, particularly </w:t>
      </w:r>
      <w:r>
        <w:rPr>
          <w:sz w:val="24"/>
          <w:szCs w:val="24"/>
        </w:rPr>
        <w:t>in relation to the 4-hour standard</w:t>
      </w:r>
      <w:r w:rsidR="00264287" w:rsidRPr="00863ED5">
        <w:rPr>
          <w:sz w:val="24"/>
          <w:szCs w:val="24"/>
        </w:rPr>
        <w:t xml:space="preserve">. The March 2024 focus on 4-hour standards </w:t>
      </w:r>
      <w:r>
        <w:rPr>
          <w:sz w:val="24"/>
          <w:szCs w:val="24"/>
        </w:rPr>
        <w:t xml:space="preserve">has helped refocus </w:t>
      </w:r>
      <w:r w:rsidR="003261FE">
        <w:rPr>
          <w:sz w:val="24"/>
          <w:szCs w:val="24"/>
        </w:rPr>
        <w:t xml:space="preserve">but normalising the 76% target will be challenging. Opportunities to share learning on delivering sustained </w:t>
      </w:r>
      <w:r w:rsidRPr="0053057F">
        <w:rPr>
          <w:sz w:val="24"/>
          <w:szCs w:val="24"/>
        </w:rPr>
        <w:t>operational management and productivity</w:t>
      </w:r>
      <w:r w:rsidR="003261FE">
        <w:rPr>
          <w:sz w:val="24"/>
          <w:szCs w:val="24"/>
        </w:rPr>
        <w:t xml:space="preserve"> would be welcome.</w:t>
      </w:r>
    </w:p>
    <w:p w14:paraId="39644DDB" w14:textId="0BE8C053" w:rsidR="009D0834" w:rsidRDefault="003261FE" w:rsidP="009D0834">
      <w:pPr>
        <w:spacing w:line="276" w:lineRule="auto"/>
        <w:rPr>
          <w:sz w:val="24"/>
          <w:szCs w:val="24"/>
        </w:rPr>
      </w:pPr>
      <w:r>
        <w:rPr>
          <w:sz w:val="24"/>
          <w:szCs w:val="24"/>
        </w:rPr>
        <w:lastRenderedPageBreak/>
        <w:t>Finally, many interviewees mentioned that u</w:t>
      </w:r>
      <w:r w:rsidR="00E045DE" w:rsidRPr="00866A91">
        <w:rPr>
          <w:sz w:val="24"/>
          <w:szCs w:val="24"/>
        </w:rPr>
        <w:t xml:space="preserve">nscheduled care </w:t>
      </w:r>
      <w:proofErr w:type="gramStart"/>
      <w:r w:rsidR="00E045DE" w:rsidRPr="00866A91">
        <w:rPr>
          <w:sz w:val="24"/>
          <w:szCs w:val="24"/>
        </w:rPr>
        <w:t>is not just tackled</w:t>
      </w:r>
      <w:proofErr w:type="gramEnd"/>
      <w:r w:rsidR="00E045DE" w:rsidRPr="00866A91">
        <w:rPr>
          <w:sz w:val="24"/>
          <w:szCs w:val="24"/>
        </w:rPr>
        <w:t xml:space="preserve"> in </w:t>
      </w:r>
      <w:r>
        <w:rPr>
          <w:sz w:val="24"/>
          <w:szCs w:val="24"/>
        </w:rPr>
        <w:t>UEC</w:t>
      </w:r>
      <w:r w:rsidR="00E045DE" w:rsidRPr="00866A91">
        <w:rPr>
          <w:sz w:val="24"/>
          <w:szCs w:val="24"/>
        </w:rPr>
        <w:t xml:space="preserve">, but also across the system </w:t>
      </w:r>
      <w:r>
        <w:rPr>
          <w:sz w:val="24"/>
          <w:szCs w:val="24"/>
        </w:rPr>
        <w:t xml:space="preserve">as a whole. Many systems are facing significant financial and workforce challenges and as such have finite capacity to </w:t>
      </w:r>
      <w:r w:rsidR="009D0834">
        <w:rPr>
          <w:sz w:val="24"/>
          <w:szCs w:val="24"/>
        </w:rPr>
        <w:t xml:space="preserve">respond to and address the requirements of the various national programmes and sector recovery plans – this can be </w:t>
      </w:r>
      <w:r w:rsidR="009D0834" w:rsidRPr="003261FE">
        <w:rPr>
          <w:sz w:val="24"/>
          <w:szCs w:val="24"/>
        </w:rPr>
        <w:t>can be ‘a job in itself’</w:t>
      </w:r>
      <w:r w:rsidR="009D0834">
        <w:rPr>
          <w:sz w:val="24"/>
          <w:szCs w:val="24"/>
        </w:rPr>
        <w:t>. Prioritisation and coordination of announcements by national teams would alleviate some of this burden.</w:t>
      </w:r>
    </w:p>
    <w:p w14:paraId="7B26E3E3" w14:textId="77777777" w:rsidR="009D0834" w:rsidRPr="003261FE" w:rsidRDefault="009D0834" w:rsidP="009D0834">
      <w:pPr>
        <w:spacing w:line="276" w:lineRule="auto"/>
        <w:rPr>
          <w:sz w:val="24"/>
          <w:szCs w:val="24"/>
        </w:rPr>
      </w:pPr>
    </w:p>
    <w:p w14:paraId="0CCF9A66" w14:textId="1E68AC99" w:rsidR="008F2802" w:rsidRPr="00DD2CE2" w:rsidRDefault="008F2802" w:rsidP="0004412E">
      <w:pPr>
        <w:pStyle w:val="ListParagraph"/>
        <w:numPr>
          <w:ilvl w:val="0"/>
          <w:numId w:val="2"/>
        </w:numPr>
        <w:spacing w:line="240" w:lineRule="auto"/>
        <w:ind w:left="357" w:hanging="357"/>
        <w:rPr>
          <w:b/>
          <w:bCs/>
          <w:color w:val="193E72"/>
          <w:sz w:val="36"/>
          <w:szCs w:val="36"/>
        </w:rPr>
      </w:pPr>
      <w:r w:rsidRPr="00DD2CE2">
        <w:rPr>
          <w:b/>
          <w:bCs/>
          <w:color w:val="193E72"/>
          <w:sz w:val="36"/>
          <w:szCs w:val="36"/>
        </w:rPr>
        <w:t>Next steps</w:t>
      </w:r>
    </w:p>
    <w:p w14:paraId="23D5F2D6" w14:textId="6806C912" w:rsidR="0071601D" w:rsidRDefault="00FE7160" w:rsidP="00E0120A">
      <w:pPr>
        <w:spacing w:line="276" w:lineRule="auto"/>
        <w:rPr>
          <w:sz w:val="24"/>
          <w:szCs w:val="24"/>
        </w:rPr>
      </w:pPr>
      <w:r w:rsidRPr="00CB260B">
        <w:rPr>
          <w:sz w:val="24"/>
          <w:szCs w:val="24"/>
        </w:rPr>
        <w:t xml:space="preserve">This briefing report aims to provide actionable insights on the initial impact of the </w:t>
      </w:r>
      <w:r w:rsidR="00DA7203">
        <w:rPr>
          <w:sz w:val="24"/>
          <w:szCs w:val="24"/>
        </w:rPr>
        <w:t>high-impact</w:t>
      </w:r>
      <w:r w:rsidRPr="00CB260B">
        <w:rPr>
          <w:sz w:val="24"/>
          <w:szCs w:val="24"/>
        </w:rPr>
        <w:t xml:space="preserve"> initiative to inform the ongoing UEC recovery plan. </w:t>
      </w:r>
      <w:r w:rsidR="00B84129" w:rsidRPr="00CB260B">
        <w:rPr>
          <w:sz w:val="24"/>
          <w:szCs w:val="24"/>
        </w:rPr>
        <w:t xml:space="preserve">Results have been presented in a </w:t>
      </w:r>
      <w:r w:rsidR="00B84129" w:rsidRPr="00CB260B">
        <w:rPr>
          <w:sz w:val="24"/>
          <w:szCs w:val="24"/>
        </w:rPr>
        <w:lastRenderedPageBreak/>
        <w:t xml:space="preserve">feedback session with the national team. A discussion with the national team will be held to inform the development of the 12-month evaluation to follow on from this work. </w:t>
      </w:r>
    </w:p>
    <w:p w14:paraId="396877C0" w14:textId="77777777" w:rsidR="0057647B" w:rsidRDefault="0057647B" w:rsidP="00E0120A">
      <w:pPr>
        <w:spacing w:line="276" w:lineRule="auto"/>
        <w:rPr>
          <w:sz w:val="24"/>
          <w:szCs w:val="24"/>
        </w:rPr>
      </w:pPr>
    </w:p>
    <w:p w14:paraId="36591B98" w14:textId="77777777" w:rsidR="005227FA" w:rsidRPr="00CD7991" w:rsidRDefault="005227FA" w:rsidP="005227FA">
      <w:pPr>
        <w:rPr>
          <w:b/>
          <w:bCs/>
          <w:color w:val="193E72"/>
          <w:sz w:val="36"/>
          <w:szCs w:val="48"/>
        </w:rPr>
      </w:pPr>
      <w:r w:rsidRPr="00CD7991">
        <w:rPr>
          <w:b/>
          <w:bCs/>
          <w:color w:val="193E72"/>
          <w:sz w:val="36"/>
          <w:szCs w:val="48"/>
        </w:rPr>
        <w:t>Authors</w:t>
      </w:r>
    </w:p>
    <w:p w14:paraId="13845E3A" w14:textId="58AE8CD4" w:rsidR="005227FA" w:rsidRPr="00BC279A" w:rsidRDefault="005227FA" w:rsidP="005227FA">
      <w:pPr>
        <w:spacing w:line="240" w:lineRule="auto"/>
        <w:rPr>
          <w:b/>
          <w:bCs/>
          <w:sz w:val="24"/>
          <w:szCs w:val="24"/>
        </w:rPr>
      </w:pPr>
      <w:r w:rsidRPr="00BC279A">
        <w:rPr>
          <w:b/>
          <w:bCs/>
          <w:sz w:val="24"/>
          <w:szCs w:val="24"/>
        </w:rPr>
        <w:t xml:space="preserve">Maartje Kletter, </w:t>
      </w:r>
      <w:r>
        <w:rPr>
          <w:b/>
          <w:bCs/>
          <w:sz w:val="24"/>
          <w:szCs w:val="24"/>
        </w:rPr>
        <w:t xml:space="preserve">Elaine Harkness, </w:t>
      </w:r>
      <w:r w:rsidRPr="00BC279A">
        <w:rPr>
          <w:b/>
          <w:bCs/>
          <w:sz w:val="24"/>
          <w:szCs w:val="24"/>
        </w:rPr>
        <w:t xml:space="preserve">Jo Dumville and Paul Wilson. </w:t>
      </w:r>
    </w:p>
    <w:p w14:paraId="581F9FE6" w14:textId="77777777" w:rsidR="005227FA" w:rsidRPr="00281BFD" w:rsidRDefault="005227FA" w:rsidP="005227FA">
      <w:pPr>
        <w:pStyle w:val="NoSpacing"/>
        <w:rPr>
          <w:sz w:val="24"/>
          <w:szCs w:val="24"/>
        </w:rPr>
      </w:pPr>
      <w:r w:rsidRPr="00281BFD">
        <w:rPr>
          <w:sz w:val="24"/>
          <w:szCs w:val="24"/>
        </w:rPr>
        <w:t>NIHR Rapid Service Evaluation Team (REVAL)</w:t>
      </w:r>
    </w:p>
    <w:p w14:paraId="504629AC" w14:textId="77777777" w:rsidR="005227FA" w:rsidRPr="00281BFD" w:rsidRDefault="005227FA" w:rsidP="005227FA">
      <w:pPr>
        <w:pStyle w:val="NoSpacing"/>
        <w:rPr>
          <w:sz w:val="24"/>
          <w:szCs w:val="24"/>
        </w:rPr>
      </w:pPr>
      <w:r w:rsidRPr="00281BFD">
        <w:rPr>
          <w:sz w:val="24"/>
          <w:szCs w:val="24"/>
        </w:rPr>
        <w:t>School of Health Sciences</w:t>
      </w:r>
    </w:p>
    <w:p w14:paraId="2EB993A3" w14:textId="77777777" w:rsidR="005227FA" w:rsidRPr="00281BFD" w:rsidRDefault="005227FA" w:rsidP="005227FA">
      <w:pPr>
        <w:pStyle w:val="NoSpacing"/>
        <w:rPr>
          <w:sz w:val="24"/>
          <w:szCs w:val="24"/>
        </w:rPr>
      </w:pPr>
      <w:r w:rsidRPr="00281BFD">
        <w:rPr>
          <w:sz w:val="24"/>
          <w:szCs w:val="24"/>
        </w:rPr>
        <w:t>University of Manchester</w:t>
      </w:r>
    </w:p>
    <w:p w14:paraId="20619A20" w14:textId="77777777" w:rsidR="005227FA" w:rsidRPr="00281BFD" w:rsidRDefault="005227FA" w:rsidP="005227FA">
      <w:pPr>
        <w:pStyle w:val="NoSpacing"/>
        <w:rPr>
          <w:sz w:val="24"/>
          <w:szCs w:val="24"/>
        </w:rPr>
      </w:pPr>
    </w:p>
    <w:p w14:paraId="5B628328" w14:textId="77777777" w:rsidR="005227FA" w:rsidRPr="00281BFD" w:rsidRDefault="005227FA" w:rsidP="005227FA">
      <w:pPr>
        <w:pStyle w:val="NoSpacing"/>
        <w:rPr>
          <w:sz w:val="24"/>
          <w:szCs w:val="24"/>
        </w:rPr>
      </w:pPr>
      <w:r w:rsidRPr="00281BFD">
        <w:rPr>
          <w:sz w:val="24"/>
          <w:szCs w:val="24"/>
        </w:rPr>
        <w:t>Address for correspondence; paul.wilson@manchester.ac.uk</w:t>
      </w:r>
    </w:p>
    <w:p w14:paraId="6D4E84F2" w14:textId="77777777" w:rsidR="005227FA" w:rsidRDefault="005227FA" w:rsidP="005227FA">
      <w:pPr>
        <w:spacing w:line="240" w:lineRule="auto"/>
        <w:rPr>
          <w:sz w:val="24"/>
          <w:szCs w:val="24"/>
        </w:rPr>
      </w:pPr>
    </w:p>
    <w:p w14:paraId="784F3BEF" w14:textId="77777777" w:rsidR="005227FA" w:rsidRPr="00840650" w:rsidRDefault="005227FA" w:rsidP="005227FA">
      <w:pPr>
        <w:spacing w:line="240" w:lineRule="auto"/>
        <w:rPr>
          <w:b/>
          <w:bCs/>
          <w:color w:val="193E72"/>
          <w:sz w:val="48"/>
          <w:szCs w:val="48"/>
        </w:rPr>
      </w:pPr>
      <w:r w:rsidRPr="00CD7991">
        <w:rPr>
          <w:b/>
          <w:bCs/>
          <w:color w:val="193E72"/>
          <w:sz w:val="36"/>
          <w:szCs w:val="48"/>
        </w:rPr>
        <w:lastRenderedPageBreak/>
        <w:t>Disclaimer</w:t>
      </w:r>
      <w:r w:rsidRPr="00840650">
        <w:rPr>
          <w:b/>
          <w:bCs/>
          <w:color w:val="193E72"/>
          <w:sz w:val="48"/>
          <w:szCs w:val="48"/>
        </w:rPr>
        <w:t xml:space="preserve"> </w:t>
      </w:r>
    </w:p>
    <w:p w14:paraId="12BB4221" w14:textId="77777777" w:rsidR="005227FA" w:rsidRPr="00CB260B" w:rsidRDefault="005227FA" w:rsidP="005227FA">
      <w:pPr>
        <w:spacing w:line="240" w:lineRule="auto"/>
        <w:rPr>
          <w:sz w:val="24"/>
          <w:szCs w:val="24"/>
        </w:rPr>
      </w:pPr>
      <w:r w:rsidRPr="00CB260B">
        <w:rPr>
          <w:sz w:val="24"/>
          <w:szCs w:val="24"/>
        </w:rPr>
        <w:t xml:space="preserve">This research is an independent evaluation undertaken by the NIHR Rapid Service Evaluation Team (REVAL). REVAL is funded via a competitive review process by the NIHR Health Services and Care Delivery Research Programme (NIHR151666). </w:t>
      </w:r>
    </w:p>
    <w:p w14:paraId="34E49AAB" w14:textId="77777777" w:rsidR="005227FA" w:rsidRPr="00CB260B" w:rsidRDefault="005227FA" w:rsidP="005227FA">
      <w:pPr>
        <w:spacing w:line="240" w:lineRule="auto"/>
        <w:rPr>
          <w:sz w:val="24"/>
          <w:szCs w:val="24"/>
        </w:rPr>
      </w:pPr>
      <w:r w:rsidRPr="00CB260B">
        <w:rPr>
          <w:sz w:val="24"/>
          <w:szCs w:val="24"/>
        </w:rPr>
        <w:t>The views expressed in this briefing are those of the author(s) and not necessarily those of the NIHR, NHS England or the Department of Health and Social Care.</w:t>
      </w:r>
    </w:p>
    <w:p w14:paraId="410E722E" w14:textId="77777777" w:rsidR="005227FA" w:rsidRPr="00CB260B" w:rsidRDefault="005227FA" w:rsidP="005227FA">
      <w:pPr>
        <w:spacing w:line="240" w:lineRule="auto"/>
        <w:rPr>
          <w:sz w:val="24"/>
          <w:szCs w:val="24"/>
        </w:rPr>
      </w:pPr>
    </w:p>
    <w:p w14:paraId="7D02EB3C" w14:textId="3AB999CD" w:rsidR="00CE77AD" w:rsidRPr="00C037BF" w:rsidRDefault="005227FA" w:rsidP="00C037BF">
      <w:pPr>
        <w:spacing w:line="240" w:lineRule="auto"/>
        <w:rPr>
          <w:sz w:val="24"/>
          <w:szCs w:val="24"/>
        </w:rPr>
      </w:pPr>
      <w:r w:rsidRPr="00CB260B">
        <w:rPr>
          <w:sz w:val="24"/>
          <w:szCs w:val="24"/>
        </w:rPr>
        <w:t xml:space="preserve">All the authors are in receipt of funding from the NIHR. </w:t>
      </w:r>
    </w:p>
    <w:sectPr w:rsidR="00CE77AD" w:rsidRPr="00C037BF" w:rsidSect="00F271FE">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8B4C8" w14:textId="77777777" w:rsidR="00506346" w:rsidRDefault="00506346" w:rsidP="006418CD">
      <w:pPr>
        <w:spacing w:after="0" w:line="240" w:lineRule="auto"/>
      </w:pPr>
      <w:r>
        <w:separator/>
      </w:r>
    </w:p>
  </w:endnote>
  <w:endnote w:type="continuationSeparator" w:id="0">
    <w:p w14:paraId="76BCA019" w14:textId="77777777" w:rsidR="00506346" w:rsidRDefault="00506346" w:rsidP="006418CD">
      <w:pPr>
        <w:spacing w:after="0" w:line="240" w:lineRule="auto"/>
      </w:pPr>
      <w:r>
        <w:continuationSeparator/>
      </w:r>
    </w:p>
  </w:endnote>
  <w:endnote w:type="continuationNotice" w:id="1">
    <w:p w14:paraId="48F762E2" w14:textId="77777777" w:rsidR="00506346" w:rsidRDefault="005063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69211387"/>
      <w:docPartObj>
        <w:docPartGallery w:val="Page Numbers (Bottom of Page)"/>
        <w:docPartUnique/>
      </w:docPartObj>
    </w:sdtPr>
    <w:sdtEndPr>
      <w:rPr>
        <w:rStyle w:val="PageNumber"/>
      </w:rPr>
    </w:sdtEndPr>
    <w:sdtContent>
      <w:p w14:paraId="23E4A0B2" w14:textId="2D0D4B0A" w:rsidR="002A3ED1" w:rsidRDefault="002A3ED1" w:rsidP="002A3E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D740FA" w14:textId="77777777" w:rsidR="002A3ED1" w:rsidRDefault="002A3ED1" w:rsidP="006418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02733380"/>
      <w:docPartObj>
        <w:docPartGallery w:val="Page Numbers (Bottom of Page)"/>
        <w:docPartUnique/>
      </w:docPartObj>
    </w:sdtPr>
    <w:sdtEndPr>
      <w:rPr>
        <w:rStyle w:val="PageNumber"/>
      </w:rPr>
    </w:sdtEndPr>
    <w:sdtContent>
      <w:p w14:paraId="74037FF7" w14:textId="206814E0" w:rsidR="002A3ED1" w:rsidRDefault="002A3ED1" w:rsidP="002A3E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F154C">
          <w:rPr>
            <w:rStyle w:val="PageNumber"/>
            <w:noProof/>
          </w:rPr>
          <w:t>12</w:t>
        </w:r>
        <w:r>
          <w:rPr>
            <w:rStyle w:val="PageNumber"/>
          </w:rPr>
          <w:fldChar w:fldCharType="end"/>
        </w:r>
      </w:p>
    </w:sdtContent>
  </w:sdt>
  <w:p w14:paraId="623A5CB5" w14:textId="77777777" w:rsidR="002A3ED1" w:rsidRDefault="002A3ED1" w:rsidP="006418C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37C8D977" w14:paraId="122CA022" w14:textId="77777777" w:rsidTr="00E05B7D">
      <w:trPr>
        <w:trHeight w:val="300"/>
      </w:trPr>
      <w:tc>
        <w:tcPr>
          <w:tcW w:w="3005" w:type="dxa"/>
        </w:tcPr>
        <w:p w14:paraId="6116DFA3" w14:textId="77BC2E09" w:rsidR="37C8D977" w:rsidRDefault="37C8D977" w:rsidP="00E05B7D">
          <w:pPr>
            <w:pStyle w:val="Header"/>
            <w:ind w:left="-115"/>
          </w:pPr>
        </w:p>
      </w:tc>
      <w:tc>
        <w:tcPr>
          <w:tcW w:w="3005" w:type="dxa"/>
        </w:tcPr>
        <w:p w14:paraId="40FB3E09" w14:textId="7EF2BD1B" w:rsidR="37C8D977" w:rsidRDefault="37C8D977" w:rsidP="00E05B7D">
          <w:pPr>
            <w:pStyle w:val="Header"/>
            <w:jc w:val="center"/>
          </w:pPr>
        </w:p>
      </w:tc>
      <w:tc>
        <w:tcPr>
          <w:tcW w:w="3005" w:type="dxa"/>
        </w:tcPr>
        <w:p w14:paraId="64F1BE34" w14:textId="092CFBDB" w:rsidR="37C8D977" w:rsidRDefault="37C8D977" w:rsidP="00E05B7D">
          <w:pPr>
            <w:pStyle w:val="Header"/>
            <w:ind w:right="-115"/>
            <w:jc w:val="right"/>
          </w:pPr>
        </w:p>
      </w:tc>
    </w:tr>
  </w:tbl>
  <w:p w14:paraId="6F786064" w14:textId="18917E48" w:rsidR="00C04E00" w:rsidRDefault="00C04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BB85A" w14:textId="77777777" w:rsidR="00506346" w:rsidRDefault="00506346" w:rsidP="006418CD">
      <w:pPr>
        <w:spacing w:after="0" w:line="240" w:lineRule="auto"/>
      </w:pPr>
      <w:r>
        <w:separator/>
      </w:r>
    </w:p>
  </w:footnote>
  <w:footnote w:type="continuationSeparator" w:id="0">
    <w:p w14:paraId="2345C2B7" w14:textId="77777777" w:rsidR="00506346" w:rsidRDefault="00506346" w:rsidP="006418CD">
      <w:pPr>
        <w:spacing w:after="0" w:line="240" w:lineRule="auto"/>
      </w:pPr>
      <w:r>
        <w:continuationSeparator/>
      </w:r>
    </w:p>
  </w:footnote>
  <w:footnote w:type="continuationNotice" w:id="1">
    <w:p w14:paraId="5D557E10" w14:textId="77777777" w:rsidR="00506346" w:rsidRDefault="005063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37C8D977" w14:paraId="0311D0B2" w14:textId="77777777" w:rsidTr="00E05B7D">
      <w:trPr>
        <w:trHeight w:val="300"/>
      </w:trPr>
      <w:tc>
        <w:tcPr>
          <w:tcW w:w="3005" w:type="dxa"/>
        </w:tcPr>
        <w:p w14:paraId="5489DD2D" w14:textId="53B87308" w:rsidR="37C8D977" w:rsidRDefault="37C8D977" w:rsidP="00E05B7D">
          <w:pPr>
            <w:pStyle w:val="Header"/>
            <w:ind w:left="-115"/>
          </w:pPr>
        </w:p>
      </w:tc>
      <w:tc>
        <w:tcPr>
          <w:tcW w:w="3005" w:type="dxa"/>
        </w:tcPr>
        <w:p w14:paraId="2390B89C" w14:textId="5EFD1381" w:rsidR="37C8D977" w:rsidRDefault="37C8D977" w:rsidP="00E05B7D">
          <w:pPr>
            <w:pStyle w:val="Header"/>
            <w:jc w:val="center"/>
          </w:pPr>
        </w:p>
      </w:tc>
      <w:tc>
        <w:tcPr>
          <w:tcW w:w="3005" w:type="dxa"/>
        </w:tcPr>
        <w:p w14:paraId="7C8CBC10" w14:textId="4107BA2F" w:rsidR="37C8D977" w:rsidRDefault="37C8D977" w:rsidP="00E05B7D">
          <w:pPr>
            <w:pStyle w:val="Header"/>
            <w:ind w:right="-115"/>
            <w:jc w:val="right"/>
          </w:pPr>
        </w:p>
      </w:tc>
    </w:tr>
  </w:tbl>
  <w:p w14:paraId="04DA0B53" w14:textId="7EB98EB7" w:rsidR="00C04E00" w:rsidRDefault="00C04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0F6E7" w14:textId="607CF673" w:rsidR="007B24D5" w:rsidRDefault="007B24D5">
    <w:pPr>
      <w:pStyle w:val="Header"/>
    </w:pPr>
    <w:r>
      <w:rPr>
        <w:noProof/>
        <w:lang w:eastAsia="en-GB"/>
      </w:rPr>
      <w:drawing>
        <wp:anchor distT="0" distB="0" distL="114300" distR="114300" simplePos="0" relativeHeight="251658240" behindDoc="1" locked="0" layoutInCell="1" allowOverlap="1" wp14:anchorId="7A47D871" wp14:editId="7DB1E3E6">
          <wp:simplePos x="0" y="0"/>
          <wp:positionH relativeFrom="column">
            <wp:posOffset>-1047115</wp:posOffset>
          </wp:positionH>
          <wp:positionV relativeFrom="paragraph">
            <wp:posOffset>-476885</wp:posOffset>
          </wp:positionV>
          <wp:extent cx="7492365" cy="1627505"/>
          <wp:effectExtent l="0" t="0" r="0" b="0"/>
          <wp:wrapTight wrapText="bothSides">
            <wp:wrapPolygon edited="0">
              <wp:start x="2032" y="5309"/>
              <wp:lineTo x="1373" y="6321"/>
              <wp:lineTo x="1318" y="8091"/>
              <wp:lineTo x="1593" y="9860"/>
              <wp:lineTo x="1263" y="10113"/>
              <wp:lineTo x="1153" y="10872"/>
              <wp:lineTo x="1263" y="14664"/>
              <wp:lineTo x="2197" y="15928"/>
              <wp:lineTo x="2581" y="15928"/>
              <wp:lineTo x="2911" y="15423"/>
              <wp:lineTo x="3405" y="14411"/>
              <wp:lineTo x="21529" y="13653"/>
              <wp:lineTo x="21529" y="10366"/>
              <wp:lineTo x="20650" y="9860"/>
              <wp:lineTo x="20705" y="7585"/>
              <wp:lineTo x="16146" y="6574"/>
              <wp:lineTo x="2471" y="5309"/>
              <wp:lineTo x="2032" y="530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2365" cy="16275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0FC"/>
    <w:multiLevelType w:val="hybridMultilevel"/>
    <w:tmpl w:val="EC32C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A45B1"/>
    <w:multiLevelType w:val="multilevel"/>
    <w:tmpl w:val="D1540F0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676369D"/>
    <w:multiLevelType w:val="multilevel"/>
    <w:tmpl w:val="B5BA263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E45B70"/>
    <w:multiLevelType w:val="hybridMultilevel"/>
    <w:tmpl w:val="0B1808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4847E5"/>
    <w:multiLevelType w:val="hybridMultilevel"/>
    <w:tmpl w:val="CFDCD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A331E0"/>
    <w:multiLevelType w:val="hybridMultilevel"/>
    <w:tmpl w:val="3BD4B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9AE3E68"/>
    <w:multiLevelType w:val="multilevel"/>
    <w:tmpl w:val="C370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6B66DE"/>
    <w:multiLevelType w:val="hybridMultilevel"/>
    <w:tmpl w:val="5350B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51F"/>
    <w:rsid w:val="000171B5"/>
    <w:rsid w:val="00020293"/>
    <w:rsid w:val="0004412E"/>
    <w:rsid w:val="00051DFA"/>
    <w:rsid w:val="0006248A"/>
    <w:rsid w:val="000633AE"/>
    <w:rsid w:val="00070374"/>
    <w:rsid w:val="00083C60"/>
    <w:rsid w:val="00087546"/>
    <w:rsid w:val="0009198A"/>
    <w:rsid w:val="000A58D1"/>
    <w:rsid w:val="000B738A"/>
    <w:rsid w:val="000C2156"/>
    <w:rsid w:val="000C684B"/>
    <w:rsid w:val="000D0987"/>
    <w:rsid w:val="000D1B69"/>
    <w:rsid w:val="000D7A8A"/>
    <w:rsid w:val="000F03D0"/>
    <w:rsid w:val="000F30C0"/>
    <w:rsid w:val="001010B9"/>
    <w:rsid w:val="001017A5"/>
    <w:rsid w:val="00102259"/>
    <w:rsid w:val="00103B51"/>
    <w:rsid w:val="00104629"/>
    <w:rsid w:val="00106E6B"/>
    <w:rsid w:val="0010743C"/>
    <w:rsid w:val="0011044E"/>
    <w:rsid w:val="001134B7"/>
    <w:rsid w:val="001153FA"/>
    <w:rsid w:val="001250AB"/>
    <w:rsid w:val="001344D1"/>
    <w:rsid w:val="00140478"/>
    <w:rsid w:val="00141BCF"/>
    <w:rsid w:val="001466E2"/>
    <w:rsid w:val="0015362E"/>
    <w:rsid w:val="001540D7"/>
    <w:rsid w:val="001577E9"/>
    <w:rsid w:val="00157EE0"/>
    <w:rsid w:val="00162FAB"/>
    <w:rsid w:val="00163B35"/>
    <w:rsid w:val="001708C8"/>
    <w:rsid w:val="001710F3"/>
    <w:rsid w:val="00175528"/>
    <w:rsid w:val="001760DA"/>
    <w:rsid w:val="00180604"/>
    <w:rsid w:val="0018188F"/>
    <w:rsid w:val="001941CC"/>
    <w:rsid w:val="00196CD6"/>
    <w:rsid w:val="001972A5"/>
    <w:rsid w:val="001B6BE8"/>
    <w:rsid w:val="001D1FE7"/>
    <w:rsid w:val="001D1FF2"/>
    <w:rsid w:val="001D4D7E"/>
    <w:rsid w:val="001D4DF1"/>
    <w:rsid w:val="001E5451"/>
    <w:rsid w:val="001E6682"/>
    <w:rsid w:val="00203182"/>
    <w:rsid w:val="00212D5F"/>
    <w:rsid w:val="00242059"/>
    <w:rsid w:val="00262A1F"/>
    <w:rsid w:val="00263112"/>
    <w:rsid w:val="00263E82"/>
    <w:rsid w:val="00264287"/>
    <w:rsid w:val="0027172D"/>
    <w:rsid w:val="00276EA0"/>
    <w:rsid w:val="00281BFD"/>
    <w:rsid w:val="002A3ED1"/>
    <w:rsid w:val="002A56A7"/>
    <w:rsid w:val="002B0A4B"/>
    <w:rsid w:val="002C01CA"/>
    <w:rsid w:val="002C1663"/>
    <w:rsid w:val="002C270D"/>
    <w:rsid w:val="002C3DFA"/>
    <w:rsid w:val="002D6DCF"/>
    <w:rsid w:val="002D75DB"/>
    <w:rsid w:val="002E7F58"/>
    <w:rsid w:val="002F0675"/>
    <w:rsid w:val="003004F0"/>
    <w:rsid w:val="0030326E"/>
    <w:rsid w:val="003045C5"/>
    <w:rsid w:val="00305309"/>
    <w:rsid w:val="00305C15"/>
    <w:rsid w:val="00307756"/>
    <w:rsid w:val="00325795"/>
    <w:rsid w:val="003261FE"/>
    <w:rsid w:val="00330274"/>
    <w:rsid w:val="0033244B"/>
    <w:rsid w:val="00332C64"/>
    <w:rsid w:val="003449F7"/>
    <w:rsid w:val="00347FE5"/>
    <w:rsid w:val="00361827"/>
    <w:rsid w:val="00364AD5"/>
    <w:rsid w:val="00373061"/>
    <w:rsid w:val="003734D0"/>
    <w:rsid w:val="00373D05"/>
    <w:rsid w:val="00376FB5"/>
    <w:rsid w:val="00385EA2"/>
    <w:rsid w:val="00390A8B"/>
    <w:rsid w:val="00391964"/>
    <w:rsid w:val="0039333F"/>
    <w:rsid w:val="00394C23"/>
    <w:rsid w:val="00397C85"/>
    <w:rsid w:val="003A1138"/>
    <w:rsid w:val="003A569C"/>
    <w:rsid w:val="003B0CE7"/>
    <w:rsid w:val="003C4FE5"/>
    <w:rsid w:val="003C6176"/>
    <w:rsid w:val="003C6264"/>
    <w:rsid w:val="003D3160"/>
    <w:rsid w:val="003D54C1"/>
    <w:rsid w:val="003E52AD"/>
    <w:rsid w:val="003E7C52"/>
    <w:rsid w:val="003F4B66"/>
    <w:rsid w:val="003F7D67"/>
    <w:rsid w:val="00401086"/>
    <w:rsid w:val="00401211"/>
    <w:rsid w:val="00402FA6"/>
    <w:rsid w:val="004058A2"/>
    <w:rsid w:val="00405B22"/>
    <w:rsid w:val="004066F5"/>
    <w:rsid w:val="00410526"/>
    <w:rsid w:val="0041489F"/>
    <w:rsid w:val="00422157"/>
    <w:rsid w:val="00423354"/>
    <w:rsid w:val="004344F8"/>
    <w:rsid w:val="004366C0"/>
    <w:rsid w:val="00441B24"/>
    <w:rsid w:val="00441D12"/>
    <w:rsid w:val="004441F1"/>
    <w:rsid w:val="00456926"/>
    <w:rsid w:val="0047602C"/>
    <w:rsid w:val="004855F4"/>
    <w:rsid w:val="004A237E"/>
    <w:rsid w:val="004A77E3"/>
    <w:rsid w:val="004B22C9"/>
    <w:rsid w:val="004B5F51"/>
    <w:rsid w:val="004C60E1"/>
    <w:rsid w:val="004C73B6"/>
    <w:rsid w:val="004D0814"/>
    <w:rsid w:val="004F4802"/>
    <w:rsid w:val="00501F45"/>
    <w:rsid w:val="00506346"/>
    <w:rsid w:val="0052037A"/>
    <w:rsid w:val="005227FA"/>
    <w:rsid w:val="0053057F"/>
    <w:rsid w:val="00551FA7"/>
    <w:rsid w:val="005619F2"/>
    <w:rsid w:val="005677A4"/>
    <w:rsid w:val="00574BED"/>
    <w:rsid w:val="0057647B"/>
    <w:rsid w:val="00594856"/>
    <w:rsid w:val="005A5437"/>
    <w:rsid w:val="005A5DA1"/>
    <w:rsid w:val="005B0E42"/>
    <w:rsid w:val="005B55A6"/>
    <w:rsid w:val="005B7699"/>
    <w:rsid w:val="005C2609"/>
    <w:rsid w:val="005C48F4"/>
    <w:rsid w:val="005C56BB"/>
    <w:rsid w:val="005D05B9"/>
    <w:rsid w:val="005F2D59"/>
    <w:rsid w:val="005F5335"/>
    <w:rsid w:val="00601227"/>
    <w:rsid w:val="00602BF7"/>
    <w:rsid w:val="00611EF4"/>
    <w:rsid w:val="006245D4"/>
    <w:rsid w:val="00632B0F"/>
    <w:rsid w:val="00632FF9"/>
    <w:rsid w:val="00633E9C"/>
    <w:rsid w:val="006418CD"/>
    <w:rsid w:val="00651231"/>
    <w:rsid w:val="006576A4"/>
    <w:rsid w:val="00660744"/>
    <w:rsid w:val="006628EE"/>
    <w:rsid w:val="00662F98"/>
    <w:rsid w:val="0066460E"/>
    <w:rsid w:val="006719C5"/>
    <w:rsid w:val="006903D2"/>
    <w:rsid w:val="006A0016"/>
    <w:rsid w:val="006A0C8C"/>
    <w:rsid w:val="006A0E6E"/>
    <w:rsid w:val="006A13C8"/>
    <w:rsid w:val="006B2308"/>
    <w:rsid w:val="006B40AE"/>
    <w:rsid w:val="006B7088"/>
    <w:rsid w:val="006C1C22"/>
    <w:rsid w:val="006C4BB4"/>
    <w:rsid w:val="006E399C"/>
    <w:rsid w:val="006E3FA4"/>
    <w:rsid w:val="006F2537"/>
    <w:rsid w:val="0070060C"/>
    <w:rsid w:val="00702B9B"/>
    <w:rsid w:val="0071062E"/>
    <w:rsid w:val="00710B9E"/>
    <w:rsid w:val="0071601D"/>
    <w:rsid w:val="0073021E"/>
    <w:rsid w:val="00736CC0"/>
    <w:rsid w:val="00742BF4"/>
    <w:rsid w:val="007519D6"/>
    <w:rsid w:val="007537E3"/>
    <w:rsid w:val="0076733F"/>
    <w:rsid w:val="007749F0"/>
    <w:rsid w:val="00777520"/>
    <w:rsid w:val="00785F21"/>
    <w:rsid w:val="00790564"/>
    <w:rsid w:val="0079727F"/>
    <w:rsid w:val="007A0A38"/>
    <w:rsid w:val="007A7B4D"/>
    <w:rsid w:val="007B24D5"/>
    <w:rsid w:val="007B36C7"/>
    <w:rsid w:val="007B3A92"/>
    <w:rsid w:val="007B3FAB"/>
    <w:rsid w:val="007B443A"/>
    <w:rsid w:val="007B4AA6"/>
    <w:rsid w:val="007C575A"/>
    <w:rsid w:val="007D09A6"/>
    <w:rsid w:val="007E4B52"/>
    <w:rsid w:val="007F1DED"/>
    <w:rsid w:val="008008B0"/>
    <w:rsid w:val="008102A4"/>
    <w:rsid w:val="00810F30"/>
    <w:rsid w:val="008115B9"/>
    <w:rsid w:val="00814851"/>
    <w:rsid w:val="008157F5"/>
    <w:rsid w:val="00820E64"/>
    <w:rsid w:val="008323CD"/>
    <w:rsid w:val="00835298"/>
    <w:rsid w:val="00840650"/>
    <w:rsid w:val="00851ABF"/>
    <w:rsid w:val="00851B48"/>
    <w:rsid w:val="00852F40"/>
    <w:rsid w:val="0085363C"/>
    <w:rsid w:val="008637F1"/>
    <w:rsid w:val="00863ED5"/>
    <w:rsid w:val="00866A91"/>
    <w:rsid w:val="008700F9"/>
    <w:rsid w:val="00875F9E"/>
    <w:rsid w:val="008774B7"/>
    <w:rsid w:val="00881356"/>
    <w:rsid w:val="008872B5"/>
    <w:rsid w:val="008A25F4"/>
    <w:rsid w:val="008C2ED6"/>
    <w:rsid w:val="008D5D23"/>
    <w:rsid w:val="008D630E"/>
    <w:rsid w:val="008D6DB3"/>
    <w:rsid w:val="008F2802"/>
    <w:rsid w:val="00904AC1"/>
    <w:rsid w:val="00905040"/>
    <w:rsid w:val="0090510C"/>
    <w:rsid w:val="00907314"/>
    <w:rsid w:val="009118C5"/>
    <w:rsid w:val="00913728"/>
    <w:rsid w:val="00915180"/>
    <w:rsid w:val="0092151B"/>
    <w:rsid w:val="00925A4E"/>
    <w:rsid w:val="0093457B"/>
    <w:rsid w:val="00940C2B"/>
    <w:rsid w:val="00952B95"/>
    <w:rsid w:val="00952F2A"/>
    <w:rsid w:val="0095499A"/>
    <w:rsid w:val="00955F1A"/>
    <w:rsid w:val="00975EC1"/>
    <w:rsid w:val="00982D43"/>
    <w:rsid w:val="0099398D"/>
    <w:rsid w:val="009A0DE3"/>
    <w:rsid w:val="009A27AC"/>
    <w:rsid w:val="009A4C22"/>
    <w:rsid w:val="009A5166"/>
    <w:rsid w:val="009A5967"/>
    <w:rsid w:val="009C64E5"/>
    <w:rsid w:val="009D0834"/>
    <w:rsid w:val="009D2B95"/>
    <w:rsid w:val="009E6BB7"/>
    <w:rsid w:val="009F1C88"/>
    <w:rsid w:val="009F4B56"/>
    <w:rsid w:val="009F4DAD"/>
    <w:rsid w:val="00A0283F"/>
    <w:rsid w:val="00A12F5A"/>
    <w:rsid w:val="00A13C6B"/>
    <w:rsid w:val="00A216BE"/>
    <w:rsid w:val="00A45609"/>
    <w:rsid w:val="00A466E4"/>
    <w:rsid w:val="00A47374"/>
    <w:rsid w:val="00A628E9"/>
    <w:rsid w:val="00A66114"/>
    <w:rsid w:val="00A825D7"/>
    <w:rsid w:val="00A90BD4"/>
    <w:rsid w:val="00A924E0"/>
    <w:rsid w:val="00AA157E"/>
    <w:rsid w:val="00AA6B55"/>
    <w:rsid w:val="00AB0471"/>
    <w:rsid w:val="00AB4103"/>
    <w:rsid w:val="00AD086D"/>
    <w:rsid w:val="00AE09B2"/>
    <w:rsid w:val="00AE235E"/>
    <w:rsid w:val="00AE6D31"/>
    <w:rsid w:val="00AF154C"/>
    <w:rsid w:val="00AF4DB6"/>
    <w:rsid w:val="00AF75D8"/>
    <w:rsid w:val="00B14CBB"/>
    <w:rsid w:val="00B22A47"/>
    <w:rsid w:val="00B237CE"/>
    <w:rsid w:val="00B40EA0"/>
    <w:rsid w:val="00B42E63"/>
    <w:rsid w:val="00B43D7B"/>
    <w:rsid w:val="00B44AF7"/>
    <w:rsid w:val="00B46B32"/>
    <w:rsid w:val="00B5477B"/>
    <w:rsid w:val="00B62C05"/>
    <w:rsid w:val="00B6429B"/>
    <w:rsid w:val="00B72785"/>
    <w:rsid w:val="00B84129"/>
    <w:rsid w:val="00B9010E"/>
    <w:rsid w:val="00BA3FA7"/>
    <w:rsid w:val="00BA58B9"/>
    <w:rsid w:val="00BB0B4A"/>
    <w:rsid w:val="00BC279A"/>
    <w:rsid w:val="00BC716A"/>
    <w:rsid w:val="00BC7662"/>
    <w:rsid w:val="00BC7A70"/>
    <w:rsid w:val="00BD2DBE"/>
    <w:rsid w:val="00BE0E43"/>
    <w:rsid w:val="00BE7200"/>
    <w:rsid w:val="00BF2D44"/>
    <w:rsid w:val="00C0023A"/>
    <w:rsid w:val="00C037BF"/>
    <w:rsid w:val="00C04E00"/>
    <w:rsid w:val="00C0757D"/>
    <w:rsid w:val="00C10351"/>
    <w:rsid w:val="00C139A6"/>
    <w:rsid w:val="00C27C69"/>
    <w:rsid w:val="00C35256"/>
    <w:rsid w:val="00C35DAB"/>
    <w:rsid w:val="00C37E76"/>
    <w:rsid w:val="00C40422"/>
    <w:rsid w:val="00C478DB"/>
    <w:rsid w:val="00C53360"/>
    <w:rsid w:val="00C6138E"/>
    <w:rsid w:val="00C62844"/>
    <w:rsid w:val="00C73B6F"/>
    <w:rsid w:val="00C7411A"/>
    <w:rsid w:val="00C75EE6"/>
    <w:rsid w:val="00C8039E"/>
    <w:rsid w:val="00C921C9"/>
    <w:rsid w:val="00CA2768"/>
    <w:rsid w:val="00CA45D6"/>
    <w:rsid w:val="00CA47ED"/>
    <w:rsid w:val="00CA76DC"/>
    <w:rsid w:val="00CA79E8"/>
    <w:rsid w:val="00CB2522"/>
    <w:rsid w:val="00CB260B"/>
    <w:rsid w:val="00CB5211"/>
    <w:rsid w:val="00CC6DD7"/>
    <w:rsid w:val="00CD3DA8"/>
    <w:rsid w:val="00CD6E86"/>
    <w:rsid w:val="00CD7991"/>
    <w:rsid w:val="00CE3CF5"/>
    <w:rsid w:val="00CE40CC"/>
    <w:rsid w:val="00CE5082"/>
    <w:rsid w:val="00CE77AD"/>
    <w:rsid w:val="00CF001F"/>
    <w:rsid w:val="00CF266D"/>
    <w:rsid w:val="00CF6A09"/>
    <w:rsid w:val="00CF7727"/>
    <w:rsid w:val="00D058D3"/>
    <w:rsid w:val="00D07166"/>
    <w:rsid w:val="00D12F17"/>
    <w:rsid w:val="00D13CF5"/>
    <w:rsid w:val="00D1447F"/>
    <w:rsid w:val="00D23182"/>
    <w:rsid w:val="00D26ECE"/>
    <w:rsid w:val="00D272A8"/>
    <w:rsid w:val="00D33B16"/>
    <w:rsid w:val="00D5366E"/>
    <w:rsid w:val="00D53BCB"/>
    <w:rsid w:val="00D561FD"/>
    <w:rsid w:val="00D56E65"/>
    <w:rsid w:val="00D61CB4"/>
    <w:rsid w:val="00D72FD5"/>
    <w:rsid w:val="00D76A31"/>
    <w:rsid w:val="00DA02CB"/>
    <w:rsid w:val="00DA52DC"/>
    <w:rsid w:val="00DA7203"/>
    <w:rsid w:val="00DB53F0"/>
    <w:rsid w:val="00DC3EDA"/>
    <w:rsid w:val="00DD2CE2"/>
    <w:rsid w:val="00DD3AC4"/>
    <w:rsid w:val="00DE176C"/>
    <w:rsid w:val="00DE42D2"/>
    <w:rsid w:val="00DE5C9B"/>
    <w:rsid w:val="00DF4295"/>
    <w:rsid w:val="00DF4C8F"/>
    <w:rsid w:val="00DF7211"/>
    <w:rsid w:val="00E0120A"/>
    <w:rsid w:val="00E045DE"/>
    <w:rsid w:val="00E05B7D"/>
    <w:rsid w:val="00E05F70"/>
    <w:rsid w:val="00E133C5"/>
    <w:rsid w:val="00E24B5C"/>
    <w:rsid w:val="00E35C73"/>
    <w:rsid w:val="00E40E92"/>
    <w:rsid w:val="00E44CC4"/>
    <w:rsid w:val="00E5036E"/>
    <w:rsid w:val="00E52791"/>
    <w:rsid w:val="00E630DB"/>
    <w:rsid w:val="00E64221"/>
    <w:rsid w:val="00E64DD5"/>
    <w:rsid w:val="00E7051F"/>
    <w:rsid w:val="00E75C82"/>
    <w:rsid w:val="00E804CD"/>
    <w:rsid w:val="00E821DC"/>
    <w:rsid w:val="00E90851"/>
    <w:rsid w:val="00E96C04"/>
    <w:rsid w:val="00E97050"/>
    <w:rsid w:val="00EA312E"/>
    <w:rsid w:val="00EA45CD"/>
    <w:rsid w:val="00EA567D"/>
    <w:rsid w:val="00EB4187"/>
    <w:rsid w:val="00EC17B3"/>
    <w:rsid w:val="00EC1CC8"/>
    <w:rsid w:val="00EC6576"/>
    <w:rsid w:val="00ED359B"/>
    <w:rsid w:val="00ED3CD9"/>
    <w:rsid w:val="00ED5BC3"/>
    <w:rsid w:val="00EE1064"/>
    <w:rsid w:val="00F07857"/>
    <w:rsid w:val="00F13653"/>
    <w:rsid w:val="00F136F6"/>
    <w:rsid w:val="00F14911"/>
    <w:rsid w:val="00F24C2A"/>
    <w:rsid w:val="00F256FE"/>
    <w:rsid w:val="00F271FE"/>
    <w:rsid w:val="00F27860"/>
    <w:rsid w:val="00F36D42"/>
    <w:rsid w:val="00F523EF"/>
    <w:rsid w:val="00F530BC"/>
    <w:rsid w:val="00F61C36"/>
    <w:rsid w:val="00F61D64"/>
    <w:rsid w:val="00F71EE7"/>
    <w:rsid w:val="00F72B22"/>
    <w:rsid w:val="00F85B79"/>
    <w:rsid w:val="00F9229B"/>
    <w:rsid w:val="00F97532"/>
    <w:rsid w:val="00FC0513"/>
    <w:rsid w:val="00FC3816"/>
    <w:rsid w:val="00FC5D69"/>
    <w:rsid w:val="00FD208C"/>
    <w:rsid w:val="00FD680C"/>
    <w:rsid w:val="00FD7D79"/>
    <w:rsid w:val="00FE0104"/>
    <w:rsid w:val="00FE33F5"/>
    <w:rsid w:val="00FE4F56"/>
    <w:rsid w:val="00FE7151"/>
    <w:rsid w:val="00FE7160"/>
    <w:rsid w:val="00FF1D56"/>
    <w:rsid w:val="00FF652A"/>
    <w:rsid w:val="37C8D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A05F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7AD"/>
  </w:style>
  <w:style w:type="paragraph" w:styleId="Heading1">
    <w:name w:val="heading 1"/>
    <w:basedOn w:val="Normal"/>
    <w:next w:val="Normal"/>
    <w:link w:val="Heading1Char"/>
    <w:uiPriority w:val="9"/>
    <w:qFormat/>
    <w:rsid w:val="00530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05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0BC"/>
    <w:pPr>
      <w:ind w:left="720"/>
      <w:contextualSpacing/>
    </w:pPr>
  </w:style>
  <w:style w:type="paragraph" w:styleId="NoSpacing">
    <w:name w:val="No Spacing"/>
    <w:uiPriority w:val="1"/>
    <w:qFormat/>
    <w:rsid w:val="00281BFD"/>
    <w:pPr>
      <w:spacing w:after="0" w:line="240" w:lineRule="auto"/>
    </w:pPr>
  </w:style>
  <w:style w:type="paragraph" w:styleId="Footer">
    <w:name w:val="footer"/>
    <w:basedOn w:val="Normal"/>
    <w:link w:val="FooterChar"/>
    <w:uiPriority w:val="99"/>
    <w:unhideWhenUsed/>
    <w:rsid w:val="00641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8CD"/>
  </w:style>
  <w:style w:type="character" w:styleId="PageNumber">
    <w:name w:val="page number"/>
    <w:basedOn w:val="DefaultParagraphFont"/>
    <w:uiPriority w:val="99"/>
    <w:semiHidden/>
    <w:unhideWhenUsed/>
    <w:rsid w:val="006418CD"/>
  </w:style>
  <w:style w:type="table" w:styleId="TableGridLight">
    <w:name w:val="Grid Table Light"/>
    <w:basedOn w:val="TableNormal"/>
    <w:uiPriority w:val="40"/>
    <w:rsid w:val="003E7C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E7C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F4802"/>
    <w:pPr>
      <w:spacing w:after="0" w:line="240" w:lineRule="auto"/>
    </w:pPr>
  </w:style>
  <w:style w:type="character" w:styleId="CommentReference">
    <w:name w:val="annotation reference"/>
    <w:basedOn w:val="DefaultParagraphFont"/>
    <w:uiPriority w:val="99"/>
    <w:semiHidden/>
    <w:unhideWhenUsed/>
    <w:rsid w:val="00E35C73"/>
    <w:rPr>
      <w:sz w:val="16"/>
      <w:szCs w:val="16"/>
    </w:rPr>
  </w:style>
  <w:style w:type="paragraph" w:styleId="CommentText">
    <w:name w:val="annotation text"/>
    <w:basedOn w:val="Normal"/>
    <w:link w:val="CommentTextChar"/>
    <w:uiPriority w:val="99"/>
    <w:unhideWhenUsed/>
    <w:rsid w:val="00E35C73"/>
    <w:pPr>
      <w:spacing w:line="240" w:lineRule="auto"/>
    </w:pPr>
    <w:rPr>
      <w:sz w:val="20"/>
      <w:szCs w:val="20"/>
    </w:rPr>
  </w:style>
  <w:style w:type="character" w:customStyle="1" w:styleId="CommentTextChar">
    <w:name w:val="Comment Text Char"/>
    <w:basedOn w:val="DefaultParagraphFont"/>
    <w:link w:val="CommentText"/>
    <w:uiPriority w:val="99"/>
    <w:rsid w:val="00E35C73"/>
    <w:rPr>
      <w:sz w:val="20"/>
      <w:szCs w:val="20"/>
    </w:rPr>
  </w:style>
  <w:style w:type="paragraph" w:styleId="CommentSubject">
    <w:name w:val="annotation subject"/>
    <w:basedOn w:val="CommentText"/>
    <w:next w:val="CommentText"/>
    <w:link w:val="CommentSubjectChar"/>
    <w:uiPriority w:val="99"/>
    <w:semiHidden/>
    <w:unhideWhenUsed/>
    <w:rsid w:val="00E35C73"/>
    <w:rPr>
      <w:b/>
      <w:bCs/>
    </w:rPr>
  </w:style>
  <w:style w:type="character" w:customStyle="1" w:styleId="CommentSubjectChar">
    <w:name w:val="Comment Subject Char"/>
    <w:basedOn w:val="CommentTextChar"/>
    <w:link w:val="CommentSubject"/>
    <w:uiPriority w:val="99"/>
    <w:semiHidden/>
    <w:rsid w:val="00E35C73"/>
    <w:rPr>
      <w:b/>
      <w:bCs/>
      <w:sz w:val="20"/>
      <w:szCs w:val="20"/>
    </w:rPr>
  </w:style>
  <w:style w:type="paragraph" w:styleId="BalloonText">
    <w:name w:val="Balloon Text"/>
    <w:basedOn w:val="Normal"/>
    <w:link w:val="BalloonTextChar"/>
    <w:uiPriority w:val="99"/>
    <w:semiHidden/>
    <w:unhideWhenUsed/>
    <w:rsid w:val="006A1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3C8"/>
    <w:rPr>
      <w:rFonts w:ascii="Segoe UI" w:hAnsi="Segoe UI" w:cs="Segoe UI"/>
      <w:sz w:val="18"/>
      <w:szCs w:val="18"/>
    </w:rPr>
  </w:style>
  <w:style w:type="paragraph" w:customStyle="1" w:styleId="paragraph">
    <w:name w:val="paragraph"/>
    <w:basedOn w:val="Normal"/>
    <w:rsid w:val="00BF2D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F2D44"/>
  </w:style>
  <w:style w:type="character" w:customStyle="1" w:styleId="eop">
    <w:name w:val="eop"/>
    <w:basedOn w:val="DefaultParagraphFont"/>
    <w:rsid w:val="00BF2D44"/>
  </w:style>
  <w:style w:type="character" w:customStyle="1" w:styleId="Heading2Char">
    <w:name w:val="Heading 2 Char"/>
    <w:basedOn w:val="DefaultParagraphFont"/>
    <w:link w:val="Heading2"/>
    <w:uiPriority w:val="9"/>
    <w:rsid w:val="0053057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3057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B24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4D5"/>
  </w:style>
  <w:style w:type="character" w:styleId="SubtleEmphasis">
    <w:name w:val="Subtle Emphasis"/>
    <w:basedOn w:val="DefaultParagraphFont"/>
    <w:uiPriority w:val="19"/>
    <w:qFormat/>
    <w:rsid w:val="00F1491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9950">
      <w:bodyDiv w:val="1"/>
      <w:marLeft w:val="0"/>
      <w:marRight w:val="0"/>
      <w:marTop w:val="0"/>
      <w:marBottom w:val="0"/>
      <w:divBdr>
        <w:top w:val="none" w:sz="0" w:space="0" w:color="auto"/>
        <w:left w:val="none" w:sz="0" w:space="0" w:color="auto"/>
        <w:bottom w:val="none" w:sz="0" w:space="0" w:color="auto"/>
        <w:right w:val="none" w:sz="0" w:space="0" w:color="auto"/>
      </w:divBdr>
      <w:divsChild>
        <w:div w:id="1133712746">
          <w:marLeft w:val="0"/>
          <w:marRight w:val="0"/>
          <w:marTop w:val="0"/>
          <w:marBottom w:val="0"/>
          <w:divBdr>
            <w:top w:val="none" w:sz="0" w:space="0" w:color="auto"/>
            <w:left w:val="none" w:sz="0" w:space="0" w:color="auto"/>
            <w:bottom w:val="none" w:sz="0" w:space="0" w:color="auto"/>
            <w:right w:val="none" w:sz="0" w:space="0" w:color="auto"/>
          </w:divBdr>
          <w:divsChild>
            <w:div w:id="384991179">
              <w:marLeft w:val="0"/>
              <w:marRight w:val="0"/>
              <w:marTop w:val="0"/>
              <w:marBottom w:val="0"/>
              <w:divBdr>
                <w:top w:val="none" w:sz="0" w:space="0" w:color="auto"/>
                <w:left w:val="none" w:sz="0" w:space="0" w:color="auto"/>
                <w:bottom w:val="none" w:sz="0" w:space="0" w:color="auto"/>
                <w:right w:val="none" w:sz="0" w:space="0" w:color="auto"/>
              </w:divBdr>
              <w:divsChild>
                <w:div w:id="13477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93659">
      <w:bodyDiv w:val="1"/>
      <w:marLeft w:val="0"/>
      <w:marRight w:val="0"/>
      <w:marTop w:val="0"/>
      <w:marBottom w:val="0"/>
      <w:divBdr>
        <w:top w:val="none" w:sz="0" w:space="0" w:color="auto"/>
        <w:left w:val="none" w:sz="0" w:space="0" w:color="auto"/>
        <w:bottom w:val="none" w:sz="0" w:space="0" w:color="auto"/>
        <w:right w:val="none" w:sz="0" w:space="0" w:color="auto"/>
      </w:divBdr>
    </w:div>
    <w:div w:id="1550604115">
      <w:bodyDiv w:val="1"/>
      <w:marLeft w:val="0"/>
      <w:marRight w:val="0"/>
      <w:marTop w:val="0"/>
      <w:marBottom w:val="0"/>
      <w:divBdr>
        <w:top w:val="none" w:sz="0" w:space="0" w:color="auto"/>
        <w:left w:val="none" w:sz="0" w:space="0" w:color="auto"/>
        <w:bottom w:val="none" w:sz="0" w:space="0" w:color="auto"/>
        <w:right w:val="none" w:sz="0" w:space="0" w:color="auto"/>
      </w:divBdr>
    </w:div>
    <w:div w:id="210549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099B-A96F-49C6-86A0-826D0B00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3856</Words>
  <Characters>21985</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2024-05-09T16:29:00Z</dcterms:created>
  <dcterms:modified xsi:type="dcterms:W3CDTF">2024-05-09T16:29:00Z</dcterms:modified>
</cp:coreProperties>
</file>