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EFC8" w14:textId="77777777" w:rsidR="00694A54" w:rsidRPr="003D4DB7" w:rsidRDefault="00694A54" w:rsidP="003D4DB7">
      <w:pPr>
        <w:pStyle w:val="ListParagraph"/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bookmarkStart w:id="0" w:name="_Hlk151368449"/>
    </w:p>
    <w:bookmarkEnd w:id="0"/>
    <w:p w14:paraId="66580698" w14:textId="3E18F2EE" w:rsidR="00D0754D" w:rsidRPr="003D4DB7" w:rsidRDefault="003D4DB7" w:rsidP="003D4DB7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What is the ‘</w:t>
      </w:r>
      <w:r w:rsidR="003D46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U</w:t>
      </w: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rban </w:t>
      </w:r>
      <w:r w:rsidR="003D46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D</w:t>
      </w: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igital </w:t>
      </w:r>
      <w:r w:rsidR="003D46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</w:t>
      </w: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tack’?</w:t>
      </w:r>
    </w:p>
    <w:p w14:paraId="51C8BEC1" w14:textId="5E2C5A71" w:rsidR="003D4DB7" w:rsidRDefault="000A5196" w:rsidP="003D4DB7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It i</w:t>
      </w:r>
      <w:r w:rsidR="003D4DB7" w:rsidRPr="003D4DB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 a framework</w:t>
      </w:r>
      <w:r w:rsidR="003D4DB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to help 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policy officials and decision</w:t>
      </w:r>
      <w:r w:rsidR="003D460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-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makers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UK cities and city-regions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to </w:t>
      </w:r>
      <w:r w:rsidR="003D4DB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understand how 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existing urban public transport systems can be organised to </w:t>
      </w:r>
      <w:r w:rsidR="003D460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incorporate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D4DB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digital mobility platforms.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82BF092" w14:textId="77777777" w:rsidR="003D4DB7" w:rsidRDefault="003D4DB7" w:rsidP="003D4DB7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2AE5AB00" w14:textId="273EAA5E" w:rsidR="008609E9" w:rsidRDefault="000A5196" w:rsidP="005A412B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There is </w:t>
      </w:r>
      <w:r w:rsidR="000D7A0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growing 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understanding of how </w:t>
      </w:r>
      <w:r w:rsidRP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individual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mobility platforms</w:t>
      </w:r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, such as ride-hailing, micro-</w:t>
      </w:r>
      <w:proofErr w:type="gramStart"/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mobility</w:t>
      </w:r>
      <w:proofErr w:type="gramEnd"/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or ticketing platform</w:t>
      </w:r>
      <w:r w:rsid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CD77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are becoming embedded in particular places</w:t>
      </w:r>
      <w:r w:rsid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CD77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–</w:t>
      </w:r>
      <w:r w:rsid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b</w:t>
      </w:r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ut</w:t>
      </w:r>
      <w:r w:rsidR="00CD77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reality is that</w:t>
      </w:r>
      <w:r w:rsidR="002A2AE3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dozens of </w:t>
      </w:r>
      <w:r w:rsidR="00415D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different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kinds o</w:t>
      </w:r>
      <w:r w:rsidR="00415D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f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platforms</w:t>
      </w:r>
      <w:r w:rsidR="00415D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now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operat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="00415D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simultaneously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15DF2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within </w:t>
      </w:r>
      <w:r w:rsidR="00663F8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urban areas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Th</w:t>
      </w:r>
      <w:r w:rsidR="00663F8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e result is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 broad range of </w:t>
      </w:r>
      <w:r w:rsidR="0006766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mobility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services</w:t>
      </w:r>
      <w:r w:rsidR="0006766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interests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compet</w:t>
      </w:r>
      <w:r w:rsidR="0006766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ing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with or complement</w:t>
      </w:r>
      <w:r w:rsidR="0006766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ing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each other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708F1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within any one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city or city-region</w:t>
      </w:r>
      <w:r w:rsidR="008609E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9F09E28" w14:textId="77777777" w:rsidR="008609E9" w:rsidRDefault="008609E9" w:rsidP="005A412B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0F5B8F71" w14:textId="3E37A453" w:rsidR="005A412B" w:rsidRDefault="008F5936" w:rsidP="005A412B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This has produced a</w:t>
      </w:r>
      <w:r w:rsidR="00EE752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="00904F4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uneven</w:t>
      </w:r>
      <w:r w:rsidR="00FC4CD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E35E64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often fragmented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C4CD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and sometimes volatile 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landscape of platform</w:t>
      </w:r>
      <w:r w:rsidR="00FC4CD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activity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</w:t>
      </w:r>
      <w:r w:rsidR="00783E0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n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cities and city-regions </w:t>
      </w:r>
      <w:r w:rsidR="00783E0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across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 UK</w:t>
      </w:r>
      <w:r w:rsidR="007246D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, with system</w:t>
      </w:r>
      <w:r w:rsidR="00AE093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wide</w:t>
      </w:r>
      <w:r w:rsidR="007246D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implications</w:t>
      </w:r>
      <w:r w:rsid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4B188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Control </w:t>
      </w:r>
      <w:r w:rsidR="006647A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over </w:t>
      </w:r>
      <w:r w:rsidR="001F4FDE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platform services</w:t>
      </w:r>
      <w:r w:rsidR="00AB692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</w:t>
      </w:r>
      <w:r w:rsidR="006647A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provision </w:t>
      </w:r>
      <w:r w:rsidR="00AB692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has become</w:t>
      </w:r>
      <w:r w:rsidR="004B188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distributed among 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a variety of public, private and public-private interests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may be organised a</w:t>
      </w:r>
      <w:r w:rsidR="00AE093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ccording to different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economic, </w:t>
      </w:r>
      <w:proofErr w:type="gramStart"/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ecological</w:t>
      </w:r>
      <w:proofErr w:type="gramEnd"/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social </w:t>
      </w:r>
      <w:r w:rsidR="000A519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priorities</w:t>
      </w:r>
      <w:r w:rsidR="005A412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 </w:t>
      </w:r>
    </w:p>
    <w:p w14:paraId="2D5779C6" w14:textId="77777777" w:rsidR="002D3D9F" w:rsidRDefault="002D3D9F" w:rsidP="005A412B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582DACDB" w14:textId="243C5EF2" w:rsidR="008F5936" w:rsidRDefault="000A7227" w:rsidP="005A412B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</w:t>
      </w:r>
      <w:r w:rsidR="002D3D9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igital platforms</w:t>
      </w:r>
      <w:r w:rsidR="005F7D6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248CA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are </w:t>
      </w:r>
      <w:r w:rsidR="005F7D6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in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creasingly</w:t>
      </w:r>
      <w:r w:rsidR="002D3D9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embedded</w:t>
      </w:r>
      <w:r w:rsidR="00E4683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urban transport systems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. T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he </w:t>
      </w:r>
      <w:r w:rsidR="00E4683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rban </w:t>
      </w:r>
      <w:r w:rsidR="00E4683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igital </w:t>
      </w:r>
      <w:r w:rsidR="00E4683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tack provides a </w:t>
      </w:r>
      <w:r w:rsidR="00491AC7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framework and language with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which to understand how a variety of platform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s 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can be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organised in a</w:t>
      </w:r>
      <w:r w:rsidR="002D3D9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particular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place. 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It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is a </w:t>
      </w:r>
      <w:r w:rsidR="00C2497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tool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that helps those charged with making decisions about existing urban public transport systems 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to</w:t>
      </w:r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think strategically about how these systems can be effectively ‘</w:t>
      </w:r>
      <w:proofErr w:type="spellStart"/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platformised</w:t>
      </w:r>
      <w:proofErr w:type="spellEnd"/>
      <w:r w:rsidR="008F5936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’.</w:t>
      </w:r>
    </w:p>
    <w:p w14:paraId="108FA6E8" w14:textId="77777777" w:rsidR="003D4DB7" w:rsidRDefault="003D4DB7" w:rsidP="003D4DB7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EF3B21D" w14:textId="2B57994D" w:rsidR="003D4DB7" w:rsidRPr="003D4DB7" w:rsidRDefault="003D4DB7" w:rsidP="003D4DB7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Who should use it?</w:t>
      </w:r>
    </w:p>
    <w:p w14:paraId="40E227A0" w14:textId="0924A3D1" w:rsidR="00FE61AF" w:rsidRDefault="008F5936" w:rsidP="008F5936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key audience for the </w:t>
      </w:r>
      <w:r w:rsidR="00D2579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rban </w:t>
      </w:r>
      <w:r w:rsidR="00D2579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igital </w:t>
      </w:r>
      <w:r w:rsidR="00D2579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tack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is decision</w:t>
      </w:r>
      <w:r w:rsidR="00C24978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makers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829B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operating at the scale of the city or city-region - particularly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E61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o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fficials</w:t>
      </w:r>
      <w:r w:rsidR="00FE61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metropolitan and </w:t>
      </w:r>
      <w:r w:rsidR="007445A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local</w:t>
      </w:r>
      <w:r w:rsidR="00FE61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transport authorities who are involved in planning and strategic decision-making. </w:t>
      </w:r>
    </w:p>
    <w:p w14:paraId="13377E0B" w14:textId="77777777" w:rsidR="003D4DB7" w:rsidRDefault="003D4DB7" w:rsidP="003D4DB7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83D47D2" w14:textId="6AD547FC" w:rsidR="003D4DB7" w:rsidRPr="003D4DB7" w:rsidRDefault="003D4DB7" w:rsidP="003D4DB7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D4DB7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How should they use it?</w:t>
      </w:r>
    </w:p>
    <w:p w14:paraId="097DA6B4" w14:textId="2E414ED0" w:rsidR="00FC45A1" w:rsidRDefault="0040327F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The urban digital stack provides a framework</w:t>
      </w:r>
      <w:r w:rsidR="007D3F4E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language 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for officials to think about</w:t>
      </w:r>
      <w:r w:rsidR="00FC45A1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discuss with colleagues and stakeholders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the challenges</w:t>
      </w:r>
      <w:r w:rsidR="007D3F4E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and opportunities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presented</w:t>
      </w:r>
      <w:r w:rsidR="00FC45A1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to public transport system</w:t>
      </w:r>
      <w:r w:rsidR="007614DB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651E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by </w:t>
      </w:r>
      <w:r w:rsidR="005260D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1A14D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continuing </w:t>
      </w:r>
      <w:r w:rsidR="005260D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entry and integration of multiple</w:t>
      </w:r>
      <w:r w:rsidR="00EA455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types of </w:t>
      </w:r>
      <w:proofErr w:type="gramStart"/>
      <w:r w:rsidR="00EA455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platform</w:t>
      </w:r>
      <w:proofErr w:type="gramEnd"/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AD10549" w14:textId="77777777" w:rsidR="00FC45A1" w:rsidRDefault="00FC45A1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3238DB93" w14:textId="2A01B7D5" w:rsidR="00FF7A29" w:rsidRDefault="00FC45A1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C8291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variety of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platforms</w:t>
      </w:r>
      <w:r w:rsidR="00C8291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now embedded</w:t>
      </w:r>
      <w:r w:rsidR="005B23FC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urban transport systems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F7A2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broadens the range of social interests and forms of expertise involved.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How platforms and the existing system should be organised </w:t>
      </w:r>
      <w:r w:rsidR="00FF7A2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is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often</w:t>
      </w:r>
      <w:r w:rsidR="00FF7A2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unclear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. Bringing clarity to this requires not a route map or prescription but a framework</w:t>
      </w:r>
      <w:r w:rsidR="005E35AF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to guide</w:t>
      </w:r>
      <w:r w:rsidR="00643F9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the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develop</w:t>
      </w:r>
      <w:r w:rsidR="00643F9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ment</w:t>
      </w:r>
      <w:r w:rsidR="00305B2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strategy</w:t>
      </w:r>
      <w:r w:rsidR="00C122FD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="00C62F65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Underpinning this are the Six Steps:</w:t>
      </w:r>
    </w:p>
    <w:p w14:paraId="23B96480" w14:textId="77777777" w:rsidR="00537089" w:rsidRDefault="00537089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194160A9" w14:textId="3B8ECC90" w:rsidR="00305B20" w:rsidRPr="00537089" w:rsidRDefault="00537089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zoSans-Bold"/>
          <w:color w:val="303030"/>
          <w:kern w:val="0"/>
          <w:sz w:val="24"/>
          <w:szCs w:val="24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>W</w:t>
      </w:r>
      <w:r w:rsidRPr="00537089">
        <w:rPr>
          <w:rFonts w:ascii="Cambria" w:hAnsi="Cambria" w:cs="AzoSans-Bold"/>
          <w:color w:val="303030"/>
          <w:kern w:val="0"/>
          <w:sz w:val="24"/>
          <w:szCs w:val="24"/>
        </w:rPr>
        <w:t>hat are the public priorities and objectives for transport policy?</w:t>
      </w:r>
    </w:p>
    <w:p w14:paraId="51C7EE72" w14:textId="591BF70A" w:rsidR="00537089" w:rsidRPr="00537089" w:rsidRDefault="00537089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zoSans-Bold"/>
          <w:color w:val="303030"/>
          <w:kern w:val="0"/>
          <w:sz w:val="24"/>
          <w:szCs w:val="24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 xml:space="preserve">What </w:t>
      </w:r>
      <w:r w:rsidRPr="00537089">
        <w:rPr>
          <w:rFonts w:ascii="Cambria" w:hAnsi="Cambria" w:cs="AzoSans-Bold"/>
          <w:color w:val="303030"/>
          <w:kern w:val="0"/>
          <w:sz w:val="24"/>
          <w:szCs w:val="24"/>
        </w:rPr>
        <w:t>pressures and opportunities</w:t>
      </w:r>
      <w:r>
        <w:rPr>
          <w:rFonts w:ascii="Cambria" w:hAnsi="Cambria" w:cs="AzoSans-Bold"/>
          <w:color w:val="303030"/>
          <w:kern w:val="0"/>
          <w:sz w:val="24"/>
          <w:szCs w:val="24"/>
        </w:rPr>
        <w:t xml:space="preserve"> are being responded to?</w:t>
      </w:r>
    </w:p>
    <w:p w14:paraId="384F1E9C" w14:textId="755CBD51" w:rsidR="00537089" w:rsidRPr="00537089" w:rsidRDefault="00537089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zoSans-Bold"/>
          <w:color w:val="303030"/>
          <w:kern w:val="0"/>
          <w:sz w:val="24"/>
          <w:szCs w:val="24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>H</w:t>
      </w:r>
      <w:r w:rsidRPr="00537089">
        <w:rPr>
          <w:rFonts w:ascii="Cambria" w:hAnsi="Cambria" w:cs="AzoSans-Bold"/>
          <w:color w:val="303030"/>
          <w:kern w:val="0"/>
          <w:sz w:val="24"/>
          <w:szCs w:val="24"/>
        </w:rPr>
        <w:t>ow is and how should the stack be organised?</w:t>
      </w:r>
    </w:p>
    <w:p w14:paraId="7397C8E3" w14:textId="4D2E611E" w:rsidR="00537089" w:rsidRPr="00537089" w:rsidRDefault="00537089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zoSans-Bold"/>
          <w:color w:val="303030"/>
          <w:kern w:val="0"/>
          <w:sz w:val="24"/>
          <w:szCs w:val="24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>W</w:t>
      </w:r>
      <w:r w:rsidRPr="00537089">
        <w:rPr>
          <w:rFonts w:ascii="Cambria" w:hAnsi="Cambria" w:cs="AzoSans-Bold"/>
          <w:color w:val="303030"/>
          <w:kern w:val="0"/>
          <w:sz w:val="24"/>
          <w:szCs w:val="24"/>
        </w:rPr>
        <w:t>ho is in control?</w:t>
      </w:r>
    </w:p>
    <w:p w14:paraId="1DE756DE" w14:textId="38B5C609" w:rsidR="00537089" w:rsidRPr="00537089" w:rsidRDefault="00537089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AzoSans-Bold"/>
          <w:color w:val="303030"/>
          <w:kern w:val="0"/>
          <w:sz w:val="24"/>
          <w:szCs w:val="24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>W</w:t>
      </w:r>
      <w:r w:rsidRPr="00537089">
        <w:rPr>
          <w:rFonts w:ascii="Cambria" w:hAnsi="Cambria" w:cs="AzoSans-Bold"/>
          <w:color w:val="303030"/>
          <w:kern w:val="0"/>
          <w:sz w:val="24"/>
          <w:szCs w:val="24"/>
        </w:rPr>
        <w:t>hat is the stack’s geography?</w:t>
      </w:r>
    </w:p>
    <w:p w14:paraId="676EED77" w14:textId="1EF6265F" w:rsidR="00537089" w:rsidRPr="00537089" w:rsidRDefault="005E12A1" w:rsidP="00537089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hAnsi="Cambria" w:cs="AzoSans-Bold"/>
          <w:color w:val="303030"/>
          <w:kern w:val="0"/>
          <w:sz w:val="24"/>
          <w:szCs w:val="24"/>
        </w:rPr>
        <w:t>How will the stack</w:t>
      </w:r>
      <w:r w:rsidR="00896E35">
        <w:rPr>
          <w:rFonts w:ascii="Cambria" w:hAnsi="Cambria" w:cs="AzoSans-Bold"/>
          <w:color w:val="303030"/>
          <w:kern w:val="0"/>
          <w:sz w:val="24"/>
          <w:szCs w:val="24"/>
        </w:rPr>
        <w:t xml:space="preserve"> develop over time</w:t>
      </w:r>
      <w:r w:rsidR="00537089" w:rsidRPr="00537089">
        <w:rPr>
          <w:rFonts w:ascii="Cambria" w:hAnsi="Cambria" w:cs="AzoSans-Bold"/>
          <w:color w:val="303030"/>
          <w:kern w:val="0"/>
          <w:sz w:val="24"/>
          <w:szCs w:val="24"/>
        </w:rPr>
        <w:t>?</w:t>
      </w:r>
    </w:p>
    <w:p w14:paraId="3A81D31F" w14:textId="77777777" w:rsidR="00537089" w:rsidRDefault="00537089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59BCD524" w14:textId="2ABE5E47" w:rsidR="00305B20" w:rsidRDefault="00305B20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This can mean using the </w:t>
      </w:r>
      <w:r w:rsidR="003E32E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U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rban </w:t>
      </w:r>
      <w:r w:rsidR="003E32E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igital </w:t>
      </w:r>
      <w:r w:rsidR="003E32E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tack to </w:t>
      </w:r>
      <w:r w:rsidR="003E32E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structure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discussions in internal strategy development and planning meetings. It can also be used to communicate</w:t>
      </w:r>
      <w:r w:rsidR="0053708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policy and strategy documents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 how an existing urban public transport system can be organised to </w:t>
      </w:r>
      <w:r w:rsidR="003E32E0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 xml:space="preserve">incorporate </w:t>
      </w:r>
      <w:r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digital mobility platforms</w:t>
      </w:r>
      <w:r w:rsidR="00537089"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05B9D5C" w14:textId="77777777" w:rsidR="00E062AD" w:rsidRDefault="00E062AD" w:rsidP="00FF7A29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292A3A5C" w14:textId="77777777" w:rsidR="0040327F" w:rsidRDefault="0040327F" w:rsidP="00FE61AF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5F425081" w14:textId="77777777" w:rsidR="003D4DB7" w:rsidRDefault="003D4DB7" w:rsidP="003D4DB7">
      <w:pPr>
        <w:spacing w:after="0" w:line="240" w:lineRule="auto"/>
        <w:rPr>
          <w:rFonts w:ascii="Cambria" w:eastAsia="Times New Roman" w:hAnsi="Cambria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540DAE4B" w14:textId="7D984D84" w:rsidR="0040327F" w:rsidRPr="003D4DB7" w:rsidRDefault="0040327F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40327F" w:rsidRPr="003D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z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10F0"/>
    <w:multiLevelType w:val="hybridMultilevel"/>
    <w:tmpl w:val="0B9A9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054E"/>
    <w:multiLevelType w:val="hybridMultilevel"/>
    <w:tmpl w:val="4F364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5C90"/>
    <w:multiLevelType w:val="hybridMultilevel"/>
    <w:tmpl w:val="71148ECC"/>
    <w:lvl w:ilvl="0" w:tplc="8D5C9C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5EAA"/>
    <w:multiLevelType w:val="hybridMultilevel"/>
    <w:tmpl w:val="833C0590"/>
    <w:lvl w:ilvl="0" w:tplc="8D5C9C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63B4D"/>
    <w:multiLevelType w:val="hybridMultilevel"/>
    <w:tmpl w:val="F8243BA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30063">
    <w:abstractNumId w:val="1"/>
  </w:num>
  <w:num w:numId="2" w16cid:durableId="1442728596">
    <w:abstractNumId w:val="3"/>
  </w:num>
  <w:num w:numId="3" w16cid:durableId="1616257046">
    <w:abstractNumId w:val="0"/>
  </w:num>
  <w:num w:numId="4" w16cid:durableId="43065317">
    <w:abstractNumId w:val="2"/>
  </w:num>
  <w:num w:numId="5" w16cid:durableId="114963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4"/>
    <w:rsid w:val="0006766F"/>
    <w:rsid w:val="000A5196"/>
    <w:rsid w:val="000A7227"/>
    <w:rsid w:val="000D7A07"/>
    <w:rsid w:val="00170888"/>
    <w:rsid w:val="001A14DF"/>
    <w:rsid w:val="001F4FDE"/>
    <w:rsid w:val="002277FC"/>
    <w:rsid w:val="002A2AE3"/>
    <w:rsid w:val="002D3D9F"/>
    <w:rsid w:val="00305B20"/>
    <w:rsid w:val="003D4608"/>
    <w:rsid w:val="003D4DB7"/>
    <w:rsid w:val="003E32E0"/>
    <w:rsid w:val="0040327F"/>
    <w:rsid w:val="00406CCF"/>
    <w:rsid w:val="00415DF2"/>
    <w:rsid w:val="00440CDE"/>
    <w:rsid w:val="004640C4"/>
    <w:rsid w:val="00491AC7"/>
    <w:rsid w:val="004B1886"/>
    <w:rsid w:val="005179B7"/>
    <w:rsid w:val="005260DF"/>
    <w:rsid w:val="00537089"/>
    <w:rsid w:val="005829BD"/>
    <w:rsid w:val="005A412B"/>
    <w:rsid w:val="005B23FC"/>
    <w:rsid w:val="005E12A1"/>
    <w:rsid w:val="005E35AF"/>
    <w:rsid w:val="005F7D67"/>
    <w:rsid w:val="00643F90"/>
    <w:rsid w:val="00651EAF"/>
    <w:rsid w:val="00663F80"/>
    <w:rsid w:val="006647AC"/>
    <w:rsid w:val="00694A54"/>
    <w:rsid w:val="006E2C36"/>
    <w:rsid w:val="007246DB"/>
    <w:rsid w:val="00726A34"/>
    <w:rsid w:val="007445A5"/>
    <w:rsid w:val="007559D2"/>
    <w:rsid w:val="007614DB"/>
    <w:rsid w:val="00783E0C"/>
    <w:rsid w:val="007A31EA"/>
    <w:rsid w:val="007D3F4E"/>
    <w:rsid w:val="008609E9"/>
    <w:rsid w:val="00896E35"/>
    <w:rsid w:val="008F5936"/>
    <w:rsid w:val="00904F4C"/>
    <w:rsid w:val="00A248CA"/>
    <w:rsid w:val="00A50718"/>
    <w:rsid w:val="00A9440B"/>
    <w:rsid w:val="00AB692F"/>
    <w:rsid w:val="00AE0938"/>
    <w:rsid w:val="00BE0624"/>
    <w:rsid w:val="00BE26F2"/>
    <w:rsid w:val="00C122FD"/>
    <w:rsid w:val="00C24978"/>
    <w:rsid w:val="00C62F65"/>
    <w:rsid w:val="00C82910"/>
    <w:rsid w:val="00CC4098"/>
    <w:rsid w:val="00CD77F2"/>
    <w:rsid w:val="00D0754D"/>
    <w:rsid w:val="00D2579B"/>
    <w:rsid w:val="00D708F1"/>
    <w:rsid w:val="00E062AD"/>
    <w:rsid w:val="00E35E64"/>
    <w:rsid w:val="00E46835"/>
    <w:rsid w:val="00EA2172"/>
    <w:rsid w:val="00EA455F"/>
    <w:rsid w:val="00EB5339"/>
    <w:rsid w:val="00EE7528"/>
    <w:rsid w:val="00FC45A1"/>
    <w:rsid w:val="00FC4CDC"/>
    <w:rsid w:val="00FE61AF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86FB"/>
  <w15:chartTrackingRefBased/>
  <w15:docId w15:val="{9CFF9395-CE27-4178-AAF0-8A729F10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A54"/>
    <w:pPr>
      <w:ind w:left="720"/>
      <w:contextualSpacing/>
    </w:pPr>
  </w:style>
  <w:style w:type="paragraph" w:styleId="Revision">
    <w:name w:val="Revision"/>
    <w:hidden/>
    <w:uiPriority w:val="99"/>
    <w:semiHidden/>
    <w:rsid w:val="00755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Hodson</dc:creator>
  <cp:keywords/>
  <dc:description/>
  <cp:lastModifiedBy>Michael Hodson</cp:lastModifiedBy>
  <cp:revision>2</cp:revision>
  <cp:lastPrinted>2023-12-05T15:39:00Z</cp:lastPrinted>
  <dcterms:created xsi:type="dcterms:W3CDTF">2023-12-08T11:43:00Z</dcterms:created>
  <dcterms:modified xsi:type="dcterms:W3CDTF">2023-12-08T11:43:00Z</dcterms:modified>
</cp:coreProperties>
</file>