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F76C" w14:textId="0EC89978" w:rsidR="00804C35" w:rsidRDefault="00C55F50" w:rsidP="00FB6371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9963ED" wp14:editId="6EA0674C">
            <wp:simplePos x="0" y="0"/>
            <wp:positionH relativeFrom="column">
              <wp:posOffset>4064635</wp:posOffset>
            </wp:positionH>
            <wp:positionV relativeFrom="topMargin">
              <wp:align>bottom</wp:align>
            </wp:positionV>
            <wp:extent cx="2419350" cy="633095"/>
            <wp:effectExtent l="0" t="0" r="0" b="0"/>
            <wp:wrapSquare wrapText="bothSides"/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51" w:rsidRPr="0053304C">
        <w:rPr>
          <w:rFonts w:ascii="Calibri" w:hAnsi="Calibri" w:cs="Calibri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D72D7AB" wp14:editId="65718F48">
            <wp:simplePos x="0" y="0"/>
            <wp:positionH relativeFrom="column">
              <wp:posOffset>-274320</wp:posOffset>
            </wp:positionH>
            <wp:positionV relativeFrom="page">
              <wp:posOffset>302260</wp:posOffset>
            </wp:positionV>
            <wp:extent cx="1477645" cy="685165"/>
            <wp:effectExtent l="0" t="0" r="8255" b="635"/>
            <wp:wrapTight wrapText="bothSides">
              <wp:wrapPolygon edited="0">
                <wp:start x="0" y="0"/>
                <wp:lineTo x="0" y="21019"/>
                <wp:lineTo x="21442" y="21019"/>
                <wp:lineTo x="21442" y="0"/>
                <wp:lineTo x="0" y="0"/>
              </wp:wrapPolygon>
            </wp:wrapTight>
            <wp:docPr id="1" name="Picture 70" descr="TUOM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TUOM lt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023A0" w14:textId="6DC4F781" w:rsidR="00804C35" w:rsidRPr="00804C35" w:rsidRDefault="00804C35" w:rsidP="00804C35">
      <w:pPr>
        <w:jc w:val="center"/>
        <w:rPr>
          <w:rFonts w:ascii="Calibri" w:eastAsia="Times New Roman" w:hAnsi="Calibri" w:cs="Calibri"/>
          <w:b/>
          <w:shd w:val="clear" w:color="auto" w:fill="FFFFFF"/>
          <w:lang w:eastAsia="en-GB"/>
        </w:rPr>
      </w:pPr>
      <w:bookmarkStart w:id="0" w:name="_Hlk150776999"/>
      <w:r w:rsidRPr="00AD658D">
        <w:rPr>
          <w:rFonts w:ascii="Calibri" w:eastAsia="Times New Roman" w:hAnsi="Calibri" w:cs="Calibri"/>
          <w:b/>
          <w:shd w:val="clear" w:color="auto" w:fill="FFFFFF"/>
          <w:lang w:eastAsia="en-GB"/>
        </w:rPr>
        <w:t>Faculty of Humanities</w:t>
      </w:r>
    </w:p>
    <w:p w14:paraId="282387AB" w14:textId="0DA1D0E7" w:rsidR="00804C35" w:rsidRPr="00804C35" w:rsidRDefault="00804C35" w:rsidP="00804C35">
      <w:pPr>
        <w:jc w:val="center"/>
        <w:rPr>
          <w:rFonts w:ascii="Calibri" w:eastAsia="Times New Roman" w:hAnsi="Calibri" w:cs="Calibri"/>
          <w:b/>
          <w:shd w:val="clear" w:color="auto" w:fill="FFFFFF"/>
          <w:lang w:eastAsia="en-GB"/>
        </w:rPr>
      </w:pPr>
      <w:r w:rsidRPr="00804C35">
        <w:rPr>
          <w:rFonts w:ascii="Calibri" w:eastAsia="Times New Roman" w:hAnsi="Calibri" w:cs="Calibri"/>
          <w:b/>
          <w:shd w:val="clear" w:color="auto" w:fill="FFFFFF"/>
          <w:lang w:eastAsia="en-GB"/>
        </w:rPr>
        <w:t>EPSRC Doctoral Training Partnership Studentship</w:t>
      </w:r>
    </w:p>
    <w:bookmarkEnd w:id="0"/>
    <w:p w14:paraId="76187D17" w14:textId="27CA3B2A" w:rsidR="00804C35" w:rsidRPr="00804C35" w:rsidRDefault="00804C35" w:rsidP="00804C35">
      <w:pPr>
        <w:jc w:val="center"/>
        <w:rPr>
          <w:rFonts w:ascii="Calibri" w:eastAsia="Times New Roman" w:hAnsi="Calibri" w:cs="Calibri"/>
          <w:b/>
          <w:shd w:val="clear" w:color="auto" w:fill="FFFFFF"/>
          <w:lang w:eastAsia="en-GB"/>
        </w:rPr>
      </w:pPr>
      <w:r w:rsidRPr="00804C35">
        <w:rPr>
          <w:rFonts w:ascii="Calibri" w:eastAsia="Times New Roman" w:hAnsi="Calibri" w:cs="Calibri"/>
          <w:b/>
          <w:shd w:val="clear" w:color="auto" w:fill="FFFFFF"/>
          <w:lang w:eastAsia="en-GB"/>
        </w:rPr>
        <w:t xml:space="preserve">Call for </w:t>
      </w:r>
      <w:proofErr w:type="gramStart"/>
      <w:r w:rsidRPr="00AD658D">
        <w:rPr>
          <w:rFonts w:ascii="Calibri" w:eastAsia="Times New Roman" w:hAnsi="Calibri" w:cs="Calibri"/>
          <w:b/>
          <w:shd w:val="clear" w:color="auto" w:fill="FFFFFF"/>
          <w:lang w:eastAsia="en-GB"/>
        </w:rPr>
        <w:t>Nominations</w:t>
      </w:r>
      <w:proofErr w:type="gramEnd"/>
    </w:p>
    <w:p w14:paraId="2483D09F" w14:textId="3AB3ED82" w:rsidR="00804C35" w:rsidRPr="00804C35" w:rsidRDefault="00804C35" w:rsidP="00804C35">
      <w:pPr>
        <w:jc w:val="center"/>
        <w:rPr>
          <w:rFonts w:ascii="Calibri" w:eastAsia="Times New Roman" w:hAnsi="Calibri" w:cs="Calibri"/>
          <w:b/>
          <w:shd w:val="clear" w:color="auto" w:fill="FFFFFF"/>
          <w:lang w:eastAsia="en-GB"/>
        </w:rPr>
      </w:pPr>
      <w:r w:rsidRPr="00804C35">
        <w:rPr>
          <w:rFonts w:ascii="Calibri" w:eastAsia="Times New Roman" w:hAnsi="Calibri" w:cs="Calibri"/>
          <w:b/>
          <w:shd w:val="clear" w:color="auto" w:fill="FFFFFF"/>
          <w:lang w:eastAsia="en-GB"/>
        </w:rPr>
        <w:t xml:space="preserve">2024/25 </w:t>
      </w:r>
      <w:r w:rsidRPr="00AD658D">
        <w:rPr>
          <w:rFonts w:ascii="Calibri" w:eastAsia="Times New Roman" w:hAnsi="Calibri" w:cs="Calibri"/>
          <w:b/>
          <w:shd w:val="clear" w:color="auto" w:fill="FFFFFF"/>
          <w:lang w:eastAsia="en-GB"/>
        </w:rPr>
        <w:t>Entry</w:t>
      </w:r>
    </w:p>
    <w:p w14:paraId="38CC0417" w14:textId="77777777" w:rsidR="00804C35" w:rsidRDefault="00804C35" w:rsidP="00FB6371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7FB2F83F" w14:textId="30F3A7A0" w:rsidR="00EA5FE1" w:rsidRPr="00AD658D" w:rsidRDefault="00587951" w:rsidP="00EA5FE1">
      <w:pPr>
        <w:pStyle w:val="PlainText"/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 xml:space="preserve">EPSRC Doctoral Training Partnership PhD proposals are invited that fall within any of the EPSRC </w:t>
      </w:r>
      <w:hyperlink r:id="rId10" w:anchor="contents-list" w:history="1">
        <w:r w:rsidRPr="00AD658D">
          <w:rPr>
            <w:rStyle w:val="Hyperlink"/>
            <w:rFonts w:cs="Calibri"/>
            <w:sz w:val="20"/>
            <w:szCs w:val="20"/>
          </w:rPr>
          <w:t>themes</w:t>
        </w:r>
      </w:hyperlink>
      <w:r w:rsidRPr="00AD658D">
        <w:rPr>
          <w:rFonts w:cs="Calibri"/>
          <w:sz w:val="20"/>
          <w:szCs w:val="20"/>
        </w:rPr>
        <w:t>.</w:t>
      </w:r>
      <w:r w:rsidR="00EA5FE1" w:rsidRPr="00EA5FE1">
        <w:rPr>
          <w:rFonts w:cs="Calibri"/>
          <w:sz w:val="20"/>
          <w:szCs w:val="20"/>
        </w:rPr>
        <w:t xml:space="preserve"> </w:t>
      </w:r>
      <w:r w:rsidR="00EA5FE1" w:rsidRPr="00AD658D">
        <w:rPr>
          <w:rFonts w:cs="Calibri"/>
          <w:sz w:val="20"/>
          <w:szCs w:val="20"/>
        </w:rPr>
        <w:t xml:space="preserve">More information about the EPSRC DTP funding can be found on </w:t>
      </w:r>
      <w:hyperlink r:id="rId11" w:history="1">
        <w:r w:rsidR="00EA5FE1" w:rsidRPr="00AD658D">
          <w:rPr>
            <w:rStyle w:val="Hyperlink"/>
            <w:rFonts w:cs="Calibri"/>
            <w:sz w:val="20"/>
            <w:szCs w:val="20"/>
          </w:rPr>
          <w:t>Doctoral Training Partnerships – UKRI</w:t>
        </w:r>
      </w:hyperlink>
      <w:r w:rsidR="00EA5FE1" w:rsidRPr="00AD658D">
        <w:rPr>
          <w:rFonts w:cs="Calibri"/>
          <w:sz w:val="20"/>
          <w:szCs w:val="20"/>
        </w:rPr>
        <w:t xml:space="preserve">.  </w:t>
      </w:r>
    </w:p>
    <w:p w14:paraId="5E8C1410" w14:textId="77777777" w:rsidR="00587951" w:rsidRPr="00AD658D" w:rsidRDefault="00587951" w:rsidP="00FB6371">
      <w:pPr>
        <w:pStyle w:val="PlainText"/>
        <w:rPr>
          <w:rFonts w:cs="Calibri"/>
          <w:sz w:val="20"/>
          <w:szCs w:val="20"/>
        </w:rPr>
      </w:pPr>
    </w:p>
    <w:p w14:paraId="1896A8C6" w14:textId="66A05C01" w:rsidR="00587951" w:rsidRPr="00AD658D" w:rsidRDefault="00587951" w:rsidP="00FB6371">
      <w:pPr>
        <w:pStyle w:val="PlainText"/>
        <w:rPr>
          <w:rFonts w:cs="Calibri"/>
          <w:b/>
          <w:bCs/>
          <w:sz w:val="20"/>
          <w:szCs w:val="20"/>
        </w:rPr>
      </w:pPr>
      <w:r w:rsidRPr="00AD658D">
        <w:rPr>
          <w:rFonts w:cs="Calibri"/>
          <w:b/>
          <w:bCs/>
          <w:sz w:val="20"/>
          <w:szCs w:val="20"/>
        </w:rPr>
        <w:t>Funding</w:t>
      </w:r>
    </w:p>
    <w:p w14:paraId="2F322C0A" w14:textId="1BA13887" w:rsidR="00587951" w:rsidRDefault="00587951" w:rsidP="00587951">
      <w:pPr>
        <w:pStyle w:val="PlainText"/>
        <w:rPr>
          <w:rFonts w:cs="Calibri"/>
          <w:bCs/>
          <w:sz w:val="20"/>
          <w:szCs w:val="20"/>
        </w:rPr>
      </w:pPr>
      <w:r w:rsidRPr="00587951">
        <w:rPr>
          <w:rFonts w:cs="Calibri"/>
          <w:bCs/>
          <w:sz w:val="20"/>
          <w:szCs w:val="20"/>
        </w:rPr>
        <w:t xml:space="preserve">There </w:t>
      </w:r>
      <w:r w:rsidRPr="00AD658D">
        <w:rPr>
          <w:rFonts w:cs="Calibri"/>
          <w:bCs/>
          <w:sz w:val="20"/>
          <w:szCs w:val="20"/>
        </w:rPr>
        <w:t xml:space="preserve">is </w:t>
      </w:r>
      <w:r w:rsidRPr="00864353">
        <w:rPr>
          <w:rFonts w:cs="Calibri"/>
          <w:b/>
          <w:sz w:val="20"/>
          <w:szCs w:val="20"/>
          <w:u w:val="single"/>
        </w:rPr>
        <w:t>one</w:t>
      </w:r>
      <w:r w:rsidRPr="00587951">
        <w:rPr>
          <w:rFonts w:cs="Calibri"/>
          <w:bCs/>
          <w:sz w:val="20"/>
          <w:szCs w:val="20"/>
        </w:rPr>
        <w:t xml:space="preserve"> studentship available,</w:t>
      </w:r>
      <w:r w:rsidRPr="00AD658D">
        <w:rPr>
          <w:rFonts w:cs="Calibri"/>
          <w:bCs/>
          <w:sz w:val="20"/>
          <w:szCs w:val="20"/>
        </w:rPr>
        <w:t xml:space="preserve"> that</w:t>
      </w:r>
      <w:r w:rsidRPr="00587951">
        <w:rPr>
          <w:rFonts w:cs="Calibri"/>
          <w:bCs/>
          <w:sz w:val="20"/>
          <w:szCs w:val="20"/>
        </w:rPr>
        <w:t xml:space="preserve"> </w:t>
      </w:r>
      <w:r w:rsidRPr="00AD658D">
        <w:rPr>
          <w:rFonts w:cs="Calibri"/>
          <w:bCs/>
          <w:sz w:val="20"/>
          <w:szCs w:val="20"/>
        </w:rPr>
        <w:t xml:space="preserve">can be offered on a 3.5-year or 4-year full-time basis, depending on the programme of registration but excluding SPP. </w:t>
      </w:r>
      <w:bookmarkStart w:id="1" w:name="_Hlk150783933"/>
      <w:r w:rsidRPr="00AD658D">
        <w:rPr>
          <w:rFonts w:cs="Calibri"/>
          <w:bCs/>
          <w:sz w:val="20"/>
          <w:szCs w:val="20"/>
        </w:rPr>
        <w:t>The s</w:t>
      </w:r>
      <w:r w:rsidRPr="00587951">
        <w:rPr>
          <w:rFonts w:cs="Calibri"/>
          <w:bCs/>
          <w:sz w:val="20"/>
          <w:szCs w:val="20"/>
        </w:rPr>
        <w:t>tudentship will provide</w:t>
      </w:r>
      <w:r w:rsidRPr="00AD658D">
        <w:rPr>
          <w:rFonts w:cs="Calibri"/>
          <w:bCs/>
          <w:sz w:val="20"/>
          <w:szCs w:val="20"/>
        </w:rPr>
        <w:t>:</w:t>
      </w:r>
    </w:p>
    <w:p w14:paraId="56BD5B16" w14:textId="77777777" w:rsidR="00EA5FE1" w:rsidRPr="00AD658D" w:rsidRDefault="00EA5FE1" w:rsidP="00587951">
      <w:pPr>
        <w:pStyle w:val="PlainText"/>
        <w:rPr>
          <w:rFonts w:cs="Calibri"/>
          <w:b/>
          <w:bCs/>
          <w:sz w:val="20"/>
          <w:szCs w:val="20"/>
        </w:rPr>
      </w:pPr>
    </w:p>
    <w:p w14:paraId="24915F9C" w14:textId="0B064C44" w:rsidR="00587951" w:rsidRPr="00587951" w:rsidRDefault="00587951" w:rsidP="00587951">
      <w:pPr>
        <w:pStyle w:val="PlainText"/>
        <w:numPr>
          <w:ilvl w:val="0"/>
          <w:numId w:val="14"/>
        </w:numPr>
        <w:rPr>
          <w:rFonts w:cs="Calibri"/>
          <w:bCs/>
          <w:sz w:val="20"/>
          <w:szCs w:val="20"/>
        </w:rPr>
      </w:pPr>
      <w:r w:rsidRPr="00AD658D">
        <w:rPr>
          <w:rFonts w:cs="Calibri"/>
          <w:sz w:val="20"/>
          <w:szCs w:val="20"/>
        </w:rPr>
        <w:t xml:space="preserve">tuition fees at (Home) UKRI approved </w:t>
      </w:r>
      <w:proofErr w:type="gramStart"/>
      <w:r w:rsidRPr="00AD658D">
        <w:rPr>
          <w:rFonts w:cs="Calibri"/>
          <w:sz w:val="20"/>
          <w:szCs w:val="20"/>
        </w:rPr>
        <w:t>rate</w:t>
      </w:r>
      <w:proofErr w:type="gramEnd"/>
    </w:p>
    <w:p w14:paraId="7B49A9F0" w14:textId="7FD3C1FF" w:rsidR="00587951" w:rsidRPr="00AD658D" w:rsidRDefault="00587951" w:rsidP="00587951">
      <w:pPr>
        <w:pStyle w:val="PlainText"/>
        <w:numPr>
          <w:ilvl w:val="0"/>
          <w:numId w:val="14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an annual stipend at the standard UKRI rate (or pro rata if part-time)</w:t>
      </w:r>
    </w:p>
    <w:p w14:paraId="3599CC70" w14:textId="77777777" w:rsidR="00587951" w:rsidRPr="00AD658D" w:rsidRDefault="00587951" w:rsidP="00587951">
      <w:pPr>
        <w:pStyle w:val="PlainText"/>
        <w:numPr>
          <w:ilvl w:val="0"/>
          <w:numId w:val="14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 xml:space="preserve">£1,000/year research training support grant (RTSG) </w:t>
      </w:r>
    </w:p>
    <w:p w14:paraId="033EDBB4" w14:textId="6D5F65DD" w:rsidR="00587951" w:rsidRPr="00AD658D" w:rsidRDefault="00587951" w:rsidP="00587951">
      <w:pPr>
        <w:pStyle w:val="PlainText"/>
        <w:numPr>
          <w:ilvl w:val="0"/>
          <w:numId w:val="14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additional support for periods of illness, maternity leave, and placements, in accordance with UKRI policy</w:t>
      </w:r>
    </w:p>
    <w:bookmarkEnd w:id="1"/>
    <w:p w14:paraId="6FC52A20" w14:textId="77777777" w:rsidR="00587951" w:rsidRPr="00AD658D" w:rsidRDefault="00587951" w:rsidP="00325FE2">
      <w:pPr>
        <w:pStyle w:val="PlainText"/>
        <w:rPr>
          <w:rFonts w:cs="Calibri"/>
          <w:sz w:val="20"/>
          <w:szCs w:val="20"/>
        </w:rPr>
      </w:pPr>
    </w:p>
    <w:p w14:paraId="32A4BD6C" w14:textId="77777777" w:rsidR="00587951" w:rsidRPr="00587951" w:rsidRDefault="00587951" w:rsidP="00587951">
      <w:pPr>
        <w:pStyle w:val="PlainText"/>
        <w:rPr>
          <w:rFonts w:cs="Calibri"/>
          <w:b/>
          <w:bCs/>
          <w:sz w:val="20"/>
          <w:szCs w:val="20"/>
        </w:rPr>
      </w:pPr>
      <w:r w:rsidRPr="00587951">
        <w:rPr>
          <w:rFonts w:cs="Calibri"/>
          <w:b/>
          <w:bCs/>
          <w:sz w:val="20"/>
          <w:szCs w:val="20"/>
        </w:rPr>
        <w:t>CASE Conversion</w:t>
      </w:r>
    </w:p>
    <w:p w14:paraId="433B4715" w14:textId="1E21B212" w:rsidR="00587951" w:rsidRPr="00AD658D" w:rsidRDefault="00587951" w:rsidP="00587951">
      <w:pPr>
        <w:pStyle w:val="PlainText"/>
        <w:rPr>
          <w:rFonts w:cs="Calibri"/>
          <w:sz w:val="20"/>
          <w:szCs w:val="20"/>
        </w:rPr>
      </w:pPr>
      <w:r w:rsidRPr="00AD658D">
        <w:rPr>
          <w:rFonts w:cs="Calibri"/>
          <w:bCs/>
          <w:sz w:val="20"/>
          <w:szCs w:val="20"/>
        </w:rPr>
        <w:t>The award can be converted to ICASE</w:t>
      </w:r>
      <w:r w:rsidRPr="00587951">
        <w:rPr>
          <w:rFonts w:cs="Calibri"/>
          <w:bCs/>
          <w:sz w:val="20"/>
          <w:szCs w:val="20"/>
        </w:rPr>
        <w:t xml:space="preserve">.  To </w:t>
      </w:r>
      <w:r w:rsidR="00864353">
        <w:rPr>
          <w:rFonts w:cs="Calibri"/>
          <w:bCs/>
          <w:sz w:val="20"/>
          <w:szCs w:val="20"/>
        </w:rPr>
        <w:t>convert</w:t>
      </w:r>
      <w:r w:rsidRPr="00587951">
        <w:rPr>
          <w:rFonts w:cs="Calibri"/>
          <w:bCs/>
          <w:sz w:val="20"/>
          <w:szCs w:val="20"/>
        </w:rPr>
        <w:t xml:space="preserve"> an EPSRC DTP to a CASE Studentship the Industrial funding component should be a third </w:t>
      </w:r>
      <w:r w:rsidRPr="00AD658D">
        <w:rPr>
          <w:rFonts w:cs="Calibri"/>
          <w:bCs/>
          <w:sz w:val="20"/>
          <w:szCs w:val="20"/>
        </w:rPr>
        <w:t>of the overall value of the studentship</w:t>
      </w:r>
      <w:r w:rsidRPr="00587951">
        <w:rPr>
          <w:rFonts w:cs="Calibri"/>
          <w:bCs/>
          <w:sz w:val="20"/>
          <w:szCs w:val="20"/>
        </w:rPr>
        <w:t xml:space="preserve">. </w:t>
      </w:r>
      <w:r w:rsidRPr="00587951">
        <w:rPr>
          <w:rFonts w:cs="Calibri"/>
          <w:sz w:val="20"/>
          <w:szCs w:val="20"/>
        </w:rPr>
        <w:t xml:space="preserve">To be an Industrial CASE sponsor, companies must have established UK-based research and/or commercial production capability.  </w:t>
      </w:r>
      <w:r w:rsidRPr="00AD658D">
        <w:rPr>
          <w:rFonts w:cs="Calibri"/>
          <w:bCs/>
          <w:sz w:val="20"/>
          <w:szCs w:val="20"/>
        </w:rPr>
        <w:t xml:space="preserve">More information can be found on </w:t>
      </w:r>
      <w:hyperlink r:id="rId12" w:history="1">
        <w:r w:rsidRPr="00AD658D">
          <w:rPr>
            <w:rStyle w:val="Hyperlink"/>
            <w:rFonts w:cs="Calibri"/>
            <w:sz w:val="20"/>
            <w:szCs w:val="20"/>
          </w:rPr>
          <w:t>Industrial CASE – UKRI</w:t>
        </w:r>
      </w:hyperlink>
      <w:r w:rsidRPr="00AD658D">
        <w:rPr>
          <w:rFonts w:cs="Calibri"/>
          <w:bCs/>
          <w:sz w:val="20"/>
          <w:szCs w:val="20"/>
        </w:rPr>
        <w:t>.</w:t>
      </w:r>
    </w:p>
    <w:p w14:paraId="472EEA40" w14:textId="25A0B237" w:rsidR="00FB6371" w:rsidRPr="00AD658D" w:rsidRDefault="00FB6371" w:rsidP="00FB6371">
      <w:pPr>
        <w:pStyle w:val="PlainText"/>
        <w:rPr>
          <w:rFonts w:cs="Calibri"/>
          <w:sz w:val="20"/>
          <w:szCs w:val="20"/>
        </w:rPr>
      </w:pPr>
    </w:p>
    <w:p w14:paraId="62531983" w14:textId="1F2ECFE2" w:rsidR="00DC4194" w:rsidRPr="00AD658D" w:rsidRDefault="00AC29D3" w:rsidP="00AC29D3">
      <w:pPr>
        <w:rPr>
          <w:rFonts w:ascii="Calibri" w:hAnsi="Calibri" w:cs="Calibri"/>
          <w:b/>
          <w:sz w:val="20"/>
          <w:szCs w:val="20"/>
        </w:rPr>
      </w:pPr>
      <w:r w:rsidRPr="00AD658D">
        <w:rPr>
          <w:rFonts w:ascii="Calibri" w:hAnsi="Calibri" w:cs="Calibri"/>
          <w:b/>
          <w:sz w:val="20"/>
          <w:szCs w:val="20"/>
        </w:rPr>
        <w:t>Eligibility</w:t>
      </w:r>
      <w:r w:rsidR="003F3197" w:rsidRPr="00AD658D">
        <w:rPr>
          <w:rFonts w:ascii="Calibri" w:hAnsi="Calibri" w:cs="Calibri"/>
          <w:b/>
          <w:sz w:val="20"/>
          <w:szCs w:val="20"/>
        </w:rPr>
        <w:t xml:space="preserve"> criteria</w:t>
      </w:r>
    </w:p>
    <w:p w14:paraId="29069154" w14:textId="32ECF34B" w:rsidR="00325256" w:rsidRDefault="00561CA0" w:rsidP="00DC4194">
      <w:pPr>
        <w:pStyle w:val="PlainText"/>
        <w:numPr>
          <w:ilvl w:val="0"/>
          <w:numId w:val="10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The award</w:t>
      </w:r>
      <w:r w:rsidR="002B455A" w:rsidRPr="00AD658D">
        <w:rPr>
          <w:rFonts w:cs="Calibri"/>
          <w:sz w:val="20"/>
          <w:szCs w:val="20"/>
        </w:rPr>
        <w:t xml:space="preserve"> is</w:t>
      </w:r>
      <w:r w:rsidRPr="00AD658D">
        <w:rPr>
          <w:rFonts w:cs="Calibri"/>
          <w:sz w:val="20"/>
          <w:szCs w:val="20"/>
        </w:rPr>
        <w:t xml:space="preserve"> open to </w:t>
      </w:r>
      <w:r w:rsidR="001C6B8B" w:rsidRPr="00AD658D">
        <w:rPr>
          <w:rFonts w:cs="Calibri"/>
          <w:sz w:val="20"/>
          <w:szCs w:val="20"/>
        </w:rPr>
        <w:t>Home and International</w:t>
      </w:r>
      <w:r w:rsidRPr="00AD658D">
        <w:rPr>
          <w:rFonts w:cs="Calibri"/>
          <w:sz w:val="20"/>
          <w:szCs w:val="20"/>
        </w:rPr>
        <w:t xml:space="preserve"> candidates</w:t>
      </w:r>
      <w:r w:rsidR="00B54CDE" w:rsidRPr="00AD658D">
        <w:rPr>
          <w:rStyle w:val="FootnoteReference"/>
          <w:rFonts w:cs="Calibri"/>
          <w:sz w:val="20"/>
          <w:szCs w:val="20"/>
        </w:rPr>
        <w:footnoteReference w:id="1"/>
      </w:r>
      <w:r w:rsidRPr="00AD658D">
        <w:rPr>
          <w:rFonts w:cs="Calibri"/>
          <w:sz w:val="20"/>
          <w:szCs w:val="20"/>
        </w:rPr>
        <w:t>.</w:t>
      </w:r>
    </w:p>
    <w:p w14:paraId="58380146" w14:textId="77777777" w:rsidR="00AD658D" w:rsidRPr="00AD658D" w:rsidRDefault="00AD658D" w:rsidP="00AD658D">
      <w:pPr>
        <w:pStyle w:val="PlainText"/>
        <w:ind w:left="360"/>
        <w:rPr>
          <w:rFonts w:cs="Calibri"/>
          <w:sz w:val="20"/>
          <w:szCs w:val="20"/>
        </w:rPr>
      </w:pPr>
    </w:p>
    <w:p w14:paraId="1658DF7B" w14:textId="20C96D5A" w:rsidR="00DC4194" w:rsidRPr="00AD658D" w:rsidRDefault="00DC4194" w:rsidP="00325FE2">
      <w:pPr>
        <w:pStyle w:val="PlainText"/>
        <w:numPr>
          <w:ilvl w:val="0"/>
          <w:numId w:val="10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 xml:space="preserve">Candidates must have </w:t>
      </w:r>
      <w:r w:rsidRPr="00AD658D">
        <w:rPr>
          <w:rFonts w:cs="Calibri"/>
          <w:sz w:val="20"/>
          <w:szCs w:val="20"/>
          <w:lang w:val="en"/>
        </w:rPr>
        <w:t>an upper second</w:t>
      </w:r>
      <w:r w:rsidR="003F23BD">
        <w:rPr>
          <w:rFonts w:cs="Calibri"/>
          <w:sz w:val="20"/>
          <w:szCs w:val="20"/>
          <w:lang w:val="en"/>
        </w:rPr>
        <w:t>-</w:t>
      </w:r>
      <w:r w:rsidRPr="00AD658D">
        <w:rPr>
          <w:rFonts w:cs="Calibri"/>
          <w:sz w:val="20"/>
          <w:szCs w:val="20"/>
          <w:lang w:val="en"/>
        </w:rPr>
        <w:t xml:space="preserve">class </w:t>
      </w:r>
      <w:proofErr w:type="spellStart"/>
      <w:r w:rsidRPr="00AD658D">
        <w:rPr>
          <w:rFonts w:cs="Calibri"/>
          <w:sz w:val="20"/>
          <w:szCs w:val="20"/>
          <w:lang w:val="en"/>
        </w:rPr>
        <w:t>honours</w:t>
      </w:r>
      <w:proofErr w:type="spellEnd"/>
      <w:r w:rsidRPr="00AD658D">
        <w:rPr>
          <w:rFonts w:cs="Calibri"/>
          <w:sz w:val="20"/>
          <w:szCs w:val="20"/>
          <w:lang w:val="en"/>
        </w:rPr>
        <w:t xml:space="preserve"> degree or above and a </w:t>
      </w:r>
      <w:r w:rsidR="00FC326B" w:rsidRPr="00AD658D">
        <w:rPr>
          <w:rFonts w:cs="Calibri"/>
          <w:sz w:val="20"/>
          <w:szCs w:val="20"/>
          <w:lang w:val="en"/>
        </w:rPr>
        <w:t>master's</w:t>
      </w:r>
      <w:r w:rsidRPr="00AD658D">
        <w:rPr>
          <w:rFonts w:cs="Calibri"/>
          <w:sz w:val="20"/>
          <w:szCs w:val="20"/>
          <w:lang w:val="en"/>
        </w:rPr>
        <w:t xml:space="preserve"> degree with an overall mark of 60% or above, or a</w:t>
      </w:r>
      <w:r w:rsidR="009B2C0F" w:rsidRPr="00AD658D">
        <w:rPr>
          <w:rFonts w:cs="Calibri"/>
          <w:sz w:val="20"/>
          <w:szCs w:val="20"/>
          <w:lang w:val="en"/>
        </w:rPr>
        <w:t>n equivalent</w:t>
      </w:r>
      <w:r w:rsidRPr="00AD658D">
        <w:rPr>
          <w:rFonts w:cs="Calibri"/>
          <w:sz w:val="20"/>
          <w:szCs w:val="20"/>
          <w:lang w:val="en"/>
        </w:rPr>
        <w:t xml:space="preserve"> combination of qualifications and/or expe</w:t>
      </w:r>
      <w:r w:rsidR="000C143A" w:rsidRPr="00AD658D">
        <w:rPr>
          <w:rFonts w:cs="Calibri"/>
          <w:sz w:val="20"/>
          <w:szCs w:val="20"/>
          <w:lang w:val="en"/>
        </w:rPr>
        <w:t xml:space="preserve">rience. Additionally, they are expected to meet the specific requirements of the intended PhD </w:t>
      </w:r>
      <w:proofErr w:type="spellStart"/>
      <w:r w:rsidR="000C143A" w:rsidRPr="00AD658D">
        <w:rPr>
          <w:rFonts w:cs="Calibri"/>
          <w:sz w:val="20"/>
          <w:szCs w:val="20"/>
          <w:lang w:val="en"/>
        </w:rPr>
        <w:t>programme</w:t>
      </w:r>
      <w:proofErr w:type="spellEnd"/>
      <w:r w:rsidR="000C143A" w:rsidRPr="00AD658D">
        <w:rPr>
          <w:rFonts w:cs="Calibri"/>
          <w:sz w:val="20"/>
          <w:szCs w:val="20"/>
          <w:lang w:val="en"/>
        </w:rPr>
        <w:t xml:space="preserve">. </w:t>
      </w:r>
    </w:p>
    <w:p w14:paraId="49AF5902" w14:textId="77777777" w:rsidR="00AD658D" w:rsidRPr="00AD658D" w:rsidRDefault="00AD658D" w:rsidP="00AD658D">
      <w:pPr>
        <w:pStyle w:val="PlainText"/>
        <w:rPr>
          <w:rFonts w:cs="Calibri"/>
          <w:sz w:val="20"/>
          <w:szCs w:val="20"/>
        </w:rPr>
      </w:pPr>
    </w:p>
    <w:p w14:paraId="6A823EEF" w14:textId="311AF010" w:rsidR="005E3460" w:rsidRPr="00AD658D" w:rsidRDefault="00FB6371" w:rsidP="00DC4194">
      <w:pPr>
        <w:pStyle w:val="PlainText"/>
        <w:numPr>
          <w:ilvl w:val="0"/>
          <w:numId w:val="10"/>
        </w:numPr>
        <w:rPr>
          <w:rFonts w:cs="Calibri"/>
          <w:sz w:val="20"/>
          <w:szCs w:val="20"/>
        </w:rPr>
      </w:pPr>
      <w:bookmarkStart w:id="6" w:name="_Hlk150784066"/>
      <w:r w:rsidRPr="00AD658D">
        <w:rPr>
          <w:rFonts w:cs="Calibri"/>
          <w:sz w:val="20"/>
          <w:szCs w:val="20"/>
        </w:rPr>
        <w:t xml:space="preserve">The </w:t>
      </w:r>
      <w:r w:rsidR="00DC4194" w:rsidRPr="00AD658D">
        <w:rPr>
          <w:rFonts w:cs="Calibri"/>
          <w:sz w:val="20"/>
          <w:szCs w:val="20"/>
        </w:rPr>
        <w:t xml:space="preserve">proposed research </w:t>
      </w:r>
      <w:r w:rsidRPr="00AD658D">
        <w:rPr>
          <w:rFonts w:cs="Calibri"/>
          <w:sz w:val="20"/>
          <w:szCs w:val="20"/>
        </w:rPr>
        <w:t>project must be within the remit of EPSRC’s research themes</w:t>
      </w:r>
      <w:r w:rsidR="005E3460" w:rsidRPr="00AD658D">
        <w:rPr>
          <w:rFonts w:cs="Calibri"/>
          <w:sz w:val="20"/>
          <w:szCs w:val="20"/>
        </w:rPr>
        <w:t xml:space="preserve"> as </w:t>
      </w:r>
      <w:r w:rsidR="00FC326B" w:rsidRPr="00AD658D">
        <w:rPr>
          <w:rFonts w:cs="Calibri"/>
          <w:sz w:val="20"/>
          <w:szCs w:val="20"/>
        </w:rPr>
        <w:t>follows</w:t>
      </w:r>
      <w:r w:rsidR="005E3460" w:rsidRPr="00AD658D">
        <w:rPr>
          <w:rFonts w:cs="Calibri"/>
          <w:sz w:val="20"/>
          <w:szCs w:val="20"/>
        </w:rPr>
        <w:t xml:space="preserve">: </w:t>
      </w:r>
    </w:p>
    <w:p w14:paraId="01793EDC" w14:textId="77777777" w:rsidR="00FC326B" w:rsidRPr="00AD658D" w:rsidRDefault="00FC326B" w:rsidP="00FC326B">
      <w:pPr>
        <w:pStyle w:val="PlainText"/>
        <w:ind w:left="360"/>
        <w:rPr>
          <w:rFonts w:cs="Calibri"/>
          <w:sz w:val="20"/>
          <w:szCs w:val="20"/>
        </w:rPr>
      </w:pPr>
    </w:p>
    <w:p w14:paraId="56F4D578" w14:textId="58DA49BE" w:rsidR="00FC326B" w:rsidRPr="00AD658D" w:rsidRDefault="00FC326B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Advanced materials</w:t>
      </w:r>
    </w:p>
    <w:p w14:paraId="4505CF59" w14:textId="7EE640E8" w:rsidR="00B7296A" w:rsidRPr="00AD658D" w:rsidRDefault="00B7296A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Artificial intelligence and robotics</w:t>
      </w:r>
    </w:p>
    <w:p w14:paraId="4611A8B6" w14:textId="4F300FC4" w:rsidR="00FC326B" w:rsidRPr="00AD658D" w:rsidRDefault="00FC326B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Circular Economy</w:t>
      </w:r>
    </w:p>
    <w:p w14:paraId="40A84974" w14:textId="256BA9CB" w:rsidR="00FB6371" w:rsidRPr="00AD658D" w:rsidRDefault="00FB6371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 xml:space="preserve">Digital </w:t>
      </w:r>
      <w:r w:rsidR="00FC326B" w:rsidRPr="00AD658D">
        <w:rPr>
          <w:rFonts w:cs="Calibri"/>
          <w:sz w:val="20"/>
          <w:szCs w:val="20"/>
        </w:rPr>
        <w:t>Economy</w:t>
      </w:r>
    </w:p>
    <w:p w14:paraId="15317B9E" w14:textId="1F72639C" w:rsidR="00FC326B" w:rsidRPr="00AD658D" w:rsidRDefault="00FC326B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Digital twins</w:t>
      </w:r>
    </w:p>
    <w:p w14:paraId="1316C328" w14:textId="3B944433" w:rsidR="00FB6371" w:rsidRPr="00AD658D" w:rsidRDefault="00FB6371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Energy</w:t>
      </w:r>
      <w:r w:rsidR="00FC326B" w:rsidRPr="00AD658D">
        <w:rPr>
          <w:rFonts w:cs="Calibri"/>
          <w:sz w:val="20"/>
          <w:szCs w:val="20"/>
        </w:rPr>
        <w:t xml:space="preserve"> and decarbonisation</w:t>
      </w:r>
    </w:p>
    <w:p w14:paraId="6B498B1A" w14:textId="77777777" w:rsidR="00FB6371" w:rsidRPr="00AD658D" w:rsidRDefault="00FB6371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Engineering</w:t>
      </w:r>
    </w:p>
    <w:p w14:paraId="2EE92E89" w14:textId="77777777" w:rsidR="00FB6371" w:rsidRPr="00AD658D" w:rsidRDefault="00FB6371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Healthcare technologies</w:t>
      </w:r>
    </w:p>
    <w:p w14:paraId="34E43951" w14:textId="098EC8AA" w:rsidR="00FB6371" w:rsidRPr="00AD658D" w:rsidRDefault="00FB6371" w:rsidP="00FC326B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Information and communication technologies (ICT)</w:t>
      </w:r>
    </w:p>
    <w:p w14:paraId="32779F89" w14:textId="77777777" w:rsidR="00FB6371" w:rsidRPr="00AD658D" w:rsidRDefault="00FB6371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Manufacturing the future</w:t>
      </w:r>
    </w:p>
    <w:p w14:paraId="32300CB5" w14:textId="77777777" w:rsidR="00FB6371" w:rsidRPr="00AD658D" w:rsidRDefault="00FB6371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Mathematical sciences</w:t>
      </w:r>
    </w:p>
    <w:p w14:paraId="78644F98" w14:textId="77777777" w:rsidR="00FB6371" w:rsidRPr="00AD658D" w:rsidRDefault="00FB6371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Physical sciences</w:t>
      </w:r>
    </w:p>
    <w:p w14:paraId="3B4E843D" w14:textId="77777777" w:rsidR="00983415" w:rsidRPr="00AD658D" w:rsidRDefault="00983415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>Quantum technologies</w:t>
      </w:r>
    </w:p>
    <w:p w14:paraId="4E33E21D" w14:textId="5A494F75" w:rsidR="00FB6371" w:rsidRPr="00AD658D" w:rsidRDefault="00FB6371" w:rsidP="00FE4E89">
      <w:pPr>
        <w:pStyle w:val="PlainText"/>
        <w:numPr>
          <w:ilvl w:val="0"/>
          <w:numId w:val="6"/>
        </w:numPr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 xml:space="preserve">Research </w:t>
      </w:r>
      <w:r w:rsidR="00FC326B" w:rsidRPr="00AD658D">
        <w:rPr>
          <w:rFonts w:cs="Calibri"/>
          <w:sz w:val="20"/>
          <w:szCs w:val="20"/>
        </w:rPr>
        <w:t>Infrastructure</w:t>
      </w:r>
    </w:p>
    <w:p w14:paraId="146DE42A" w14:textId="77777777" w:rsidR="00864353" w:rsidRDefault="00864353" w:rsidP="00FC326B">
      <w:pPr>
        <w:pStyle w:val="PlainText"/>
        <w:rPr>
          <w:rFonts w:cs="Calibri"/>
          <w:sz w:val="20"/>
          <w:szCs w:val="20"/>
        </w:rPr>
      </w:pPr>
    </w:p>
    <w:p w14:paraId="58119569" w14:textId="0DB92FDD" w:rsidR="00AD658D" w:rsidRDefault="009C524D" w:rsidP="00FC326B">
      <w:pPr>
        <w:pStyle w:val="PlainText"/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 xml:space="preserve">Candidates and supervisors should consult </w:t>
      </w:r>
      <w:r w:rsidR="00FA1CFA" w:rsidRPr="00AD658D">
        <w:rPr>
          <w:rFonts w:cs="Calibri"/>
          <w:sz w:val="20"/>
          <w:szCs w:val="20"/>
        </w:rPr>
        <w:t xml:space="preserve">the </w:t>
      </w:r>
      <w:r w:rsidRPr="00AD658D">
        <w:rPr>
          <w:rFonts w:cs="Calibri"/>
          <w:sz w:val="20"/>
          <w:szCs w:val="20"/>
        </w:rPr>
        <w:t>E</w:t>
      </w:r>
      <w:r w:rsidR="009A4555" w:rsidRPr="00AD658D">
        <w:rPr>
          <w:rFonts w:cs="Calibri"/>
          <w:sz w:val="20"/>
          <w:szCs w:val="20"/>
        </w:rPr>
        <w:t>PSRC website for further</w:t>
      </w:r>
      <w:r w:rsidR="00FB6371" w:rsidRPr="00AD658D">
        <w:rPr>
          <w:rFonts w:cs="Calibri"/>
          <w:sz w:val="20"/>
          <w:szCs w:val="20"/>
        </w:rPr>
        <w:t xml:space="preserve"> details of </w:t>
      </w:r>
      <w:r w:rsidR="00FA1CFA" w:rsidRPr="00AD658D">
        <w:rPr>
          <w:rFonts w:cs="Calibri"/>
          <w:sz w:val="20"/>
          <w:szCs w:val="20"/>
        </w:rPr>
        <w:t xml:space="preserve">the </w:t>
      </w:r>
      <w:r w:rsidR="00983415" w:rsidRPr="00AD658D">
        <w:rPr>
          <w:rFonts w:cs="Calibri"/>
          <w:sz w:val="20"/>
          <w:szCs w:val="20"/>
        </w:rPr>
        <w:t>eligible</w:t>
      </w:r>
      <w:r w:rsidR="00FB6371" w:rsidRPr="00AD658D">
        <w:rPr>
          <w:rFonts w:cs="Calibri"/>
          <w:sz w:val="20"/>
          <w:szCs w:val="20"/>
        </w:rPr>
        <w:t xml:space="preserve"> </w:t>
      </w:r>
      <w:hyperlink r:id="rId13" w:anchor="contents-list" w:history="1">
        <w:r w:rsidR="005E3460" w:rsidRPr="00AD658D">
          <w:rPr>
            <w:rStyle w:val="Hyperlink"/>
            <w:rFonts w:cs="Calibri"/>
            <w:sz w:val="20"/>
            <w:szCs w:val="20"/>
          </w:rPr>
          <w:t xml:space="preserve">research </w:t>
        </w:r>
        <w:r w:rsidR="00B7296A" w:rsidRPr="00AD658D">
          <w:rPr>
            <w:rStyle w:val="Hyperlink"/>
            <w:rFonts w:cs="Calibri"/>
            <w:sz w:val="20"/>
            <w:szCs w:val="20"/>
          </w:rPr>
          <w:t>areas</w:t>
        </w:r>
      </w:hyperlink>
      <w:r w:rsidR="00B7296A" w:rsidRPr="00AD658D">
        <w:rPr>
          <w:rFonts w:cs="Calibri"/>
          <w:sz w:val="20"/>
          <w:szCs w:val="20"/>
        </w:rPr>
        <w:t xml:space="preserve"> and </w:t>
      </w:r>
      <w:hyperlink r:id="rId14" w:anchor="contents-list" w:history="1">
        <w:r w:rsidR="00FB6371" w:rsidRPr="00AD658D">
          <w:rPr>
            <w:rStyle w:val="Hyperlink"/>
            <w:rFonts w:cs="Calibri"/>
            <w:sz w:val="20"/>
            <w:szCs w:val="20"/>
          </w:rPr>
          <w:t>theme</w:t>
        </w:r>
        <w:r w:rsidR="00B7296A" w:rsidRPr="00AD658D">
          <w:rPr>
            <w:rStyle w:val="Hyperlink"/>
            <w:rFonts w:cs="Calibri"/>
            <w:sz w:val="20"/>
            <w:szCs w:val="20"/>
          </w:rPr>
          <w:t>s</w:t>
        </w:r>
      </w:hyperlink>
      <w:r w:rsidR="00B7296A" w:rsidRPr="00AD658D">
        <w:rPr>
          <w:rFonts w:cs="Calibri"/>
          <w:sz w:val="20"/>
          <w:szCs w:val="20"/>
        </w:rPr>
        <w:t>.</w:t>
      </w:r>
      <w:r w:rsidR="00373C46" w:rsidRPr="00373C46">
        <w:rPr>
          <w:rFonts w:cs="Calibri"/>
          <w:sz w:val="20"/>
          <w:szCs w:val="20"/>
        </w:rPr>
        <w:t xml:space="preserve"> </w:t>
      </w:r>
      <w:bookmarkEnd w:id="6"/>
      <w:r w:rsidR="00373C46">
        <w:rPr>
          <w:rFonts w:cs="Calibri"/>
          <w:sz w:val="20"/>
          <w:szCs w:val="20"/>
        </w:rPr>
        <w:t>The research</w:t>
      </w:r>
      <w:r w:rsidR="00373C46" w:rsidRPr="00373C46">
        <w:rPr>
          <w:rFonts w:cs="Calibri"/>
          <w:sz w:val="20"/>
          <w:szCs w:val="20"/>
        </w:rPr>
        <w:t xml:space="preserve"> proposal </w:t>
      </w:r>
      <w:r w:rsidR="00373C46">
        <w:rPr>
          <w:rFonts w:cs="Calibri"/>
          <w:sz w:val="20"/>
          <w:szCs w:val="20"/>
        </w:rPr>
        <w:t xml:space="preserve">should be a </w:t>
      </w:r>
      <w:r w:rsidR="00373C46" w:rsidRPr="00373C46">
        <w:rPr>
          <w:rFonts w:cs="Calibri"/>
          <w:sz w:val="20"/>
          <w:szCs w:val="20"/>
        </w:rPr>
        <w:t xml:space="preserve">maximum of 1,500 words excluding </w:t>
      </w:r>
      <w:r w:rsidR="00373C46">
        <w:rPr>
          <w:rFonts w:cs="Calibri"/>
          <w:sz w:val="20"/>
          <w:szCs w:val="20"/>
        </w:rPr>
        <w:t>references</w:t>
      </w:r>
      <w:r w:rsidR="00373C46" w:rsidRPr="00373C46">
        <w:rPr>
          <w:rFonts w:cs="Calibri"/>
          <w:sz w:val="20"/>
          <w:szCs w:val="20"/>
        </w:rPr>
        <w:t xml:space="preserve">. </w:t>
      </w:r>
    </w:p>
    <w:p w14:paraId="64A3F91E" w14:textId="77777777" w:rsidR="00AD658D" w:rsidRPr="00AD658D" w:rsidRDefault="00AD658D" w:rsidP="00FC326B">
      <w:pPr>
        <w:pStyle w:val="PlainText"/>
        <w:rPr>
          <w:rFonts w:cs="Calibri"/>
          <w:sz w:val="20"/>
          <w:szCs w:val="20"/>
        </w:rPr>
      </w:pPr>
    </w:p>
    <w:p w14:paraId="21E88679" w14:textId="4E7DF909" w:rsidR="00843331" w:rsidRPr="00AD658D" w:rsidRDefault="00B7296A" w:rsidP="00843331">
      <w:pPr>
        <w:pStyle w:val="PlainText"/>
        <w:numPr>
          <w:ilvl w:val="0"/>
          <w:numId w:val="10"/>
        </w:numPr>
        <w:rPr>
          <w:rFonts w:cs="Calibri"/>
          <w:sz w:val="20"/>
          <w:szCs w:val="20"/>
        </w:rPr>
      </w:pPr>
      <w:r w:rsidRPr="00AD658D">
        <w:rPr>
          <w:rFonts w:cs="Calibri"/>
          <w:bCs/>
          <w:sz w:val="20"/>
          <w:szCs w:val="20"/>
        </w:rPr>
        <w:t>PGR</w:t>
      </w:r>
      <w:r w:rsidR="00041BBC" w:rsidRPr="00AD658D">
        <w:rPr>
          <w:rFonts w:cs="Calibri"/>
          <w:bCs/>
          <w:sz w:val="20"/>
          <w:szCs w:val="20"/>
        </w:rPr>
        <w:t xml:space="preserve">s </w:t>
      </w:r>
      <w:r w:rsidR="004C1952" w:rsidRPr="00AD658D">
        <w:rPr>
          <w:rFonts w:cs="Calibri"/>
          <w:bCs/>
          <w:sz w:val="20"/>
          <w:szCs w:val="20"/>
        </w:rPr>
        <w:t xml:space="preserve">who have started the PhD </w:t>
      </w:r>
      <w:r w:rsidR="00041BBC" w:rsidRPr="00AD658D">
        <w:rPr>
          <w:rFonts w:cs="Calibri"/>
          <w:bCs/>
          <w:sz w:val="20"/>
          <w:szCs w:val="20"/>
        </w:rPr>
        <w:t xml:space="preserve">are not </w:t>
      </w:r>
      <w:r w:rsidR="00176487" w:rsidRPr="00AD658D">
        <w:rPr>
          <w:rFonts w:cs="Calibri"/>
          <w:bCs/>
          <w:sz w:val="20"/>
          <w:szCs w:val="20"/>
        </w:rPr>
        <w:t>eligible.</w:t>
      </w:r>
      <w:r w:rsidR="003274EA" w:rsidRPr="00AD658D">
        <w:rPr>
          <w:rFonts w:cs="Calibri"/>
          <w:bCs/>
          <w:sz w:val="20"/>
          <w:szCs w:val="20"/>
        </w:rPr>
        <w:t xml:space="preserve"> </w:t>
      </w:r>
      <w:r w:rsidR="00843331" w:rsidRPr="00AD658D">
        <w:rPr>
          <w:rFonts w:cs="Calibri"/>
          <w:bCs/>
          <w:sz w:val="20"/>
          <w:szCs w:val="20"/>
        </w:rPr>
        <w:t xml:space="preserve">    </w:t>
      </w:r>
    </w:p>
    <w:p w14:paraId="707B96D6" w14:textId="77777777" w:rsidR="00811A2D" w:rsidRPr="00AD658D" w:rsidRDefault="00811A2D" w:rsidP="00FB6371">
      <w:pPr>
        <w:pStyle w:val="PlainText"/>
        <w:rPr>
          <w:rFonts w:cs="Calibri"/>
          <w:b/>
          <w:sz w:val="20"/>
          <w:szCs w:val="20"/>
        </w:rPr>
      </w:pPr>
    </w:p>
    <w:p w14:paraId="5DB2D1DD" w14:textId="5915CE0D" w:rsidR="00AD658D" w:rsidRPr="00AD658D" w:rsidRDefault="00AD658D" w:rsidP="00AD658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AD658D">
        <w:rPr>
          <w:rStyle w:val="normaltextrun"/>
          <w:rFonts w:ascii="Calibri" w:hAnsi="Calibri" w:cs="Calibri"/>
          <w:b/>
          <w:bCs/>
          <w:sz w:val="20"/>
          <w:szCs w:val="20"/>
        </w:rPr>
        <w:t>Selection Process</w:t>
      </w:r>
    </w:p>
    <w:p w14:paraId="302A01D3" w14:textId="77777777" w:rsidR="00AD658D" w:rsidRPr="00AD658D" w:rsidRDefault="00AD658D" w:rsidP="00AD658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AD658D">
        <w:rPr>
          <w:rStyle w:val="normaltextrun"/>
          <w:rFonts w:ascii="Calibri" w:hAnsi="Calibri" w:cs="Calibri"/>
          <w:sz w:val="20"/>
          <w:szCs w:val="20"/>
        </w:rPr>
        <w:t xml:space="preserve">The scheme requires the </w:t>
      </w:r>
      <w:proofErr w:type="gramStart"/>
      <w:r w:rsidRPr="00AD658D">
        <w:rPr>
          <w:rStyle w:val="normaltextrun"/>
          <w:rFonts w:ascii="Calibri" w:hAnsi="Calibri" w:cs="Calibri"/>
          <w:sz w:val="20"/>
          <w:szCs w:val="20"/>
        </w:rPr>
        <w:t>School</w:t>
      </w:r>
      <w:proofErr w:type="gramEnd"/>
      <w:r w:rsidRPr="00AD658D">
        <w:rPr>
          <w:rStyle w:val="normaltextrun"/>
          <w:rFonts w:ascii="Calibri" w:hAnsi="Calibri" w:cs="Calibri"/>
          <w:sz w:val="20"/>
          <w:szCs w:val="20"/>
        </w:rPr>
        <w:t xml:space="preserve"> to put forward a candidate for consideration by the Doctoral Academy.  Before submitting the nomination form for the scheme, the chosen candidate MUST hold a formal offer for a PhD from the School; this will ensure they meet all the standard entry requirements and have been through the standard admissions process.</w:t>
      </w:r>
      <w:r w:rsidRPr="00AD658D">
        <w:rPr>
          <w:rStyle w:val="eop"/>
          <w:rFonts w:ascii="Calibri" w:hAnsi="Calibri" w:cs="Calibri"/>
          <w:sz w:val="20"/>
          <w:szCs w:val="20"/>
        </w:rPr>
        <w:t> </w:t>
      </w:r>
    </w:p>
    <w:p w14:paraId="3A25F754" w14:textId="53F288E2" w:rsidR="00373C46" w:rsidRPr="00373C46" w:rsidRDefault="00AD658D" w:rsidP="00373C46">
      <w:pPr>
        <w:pStyle w:val="paragraph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  <w:r w:rsidRPr="00AD658D">
        <w:rPr>
          <w:rStyle w:val="normaltextrun"/>
          <w:rFonts w:ascii="Calibri" w:hAnsi="Calibri" w:cs="Calibri"/>
          <w:sz w:val="20"/>
          <w:szCs w:val="20"/>
        </w:rPr>
        <w:t>E</w:t>
      </w:r>
      <w:r w:rsidRPr="00AD658D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ach School will nominate </w:t>
      </w:r>
      <w:r w:rsidR="000D7575" w:rsidRPr="000D7575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one candidate of high calibre whose research projects are aligned with EPSRC research theme(s). </w:t>
      </w:r>
      <w:r w:rsidRPr="00AD658D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  <w:r w:rsidRPr="007D0D35">
        <w:rPr>
          <w:rStyle w:val="normaltextrun"/>
          <w:rFonts w:ascii="Calibri" w:hAnsi="Calibri" w:cs="Calibri"/>
          <w:sz w:val="20"/>
          <w:szCs w:val="20"/>
          <w:lang w:val="en-US"/>
        </w:rPr>
        <w:t>The</w:t>
      </w:r>
      <w:r w:rsidRPr="00AD658D">
        <w:rPr>
          <w:rStyle w:val="normaltextrun"/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373C46">
        <w:rPr>
          <w:rStyle w:val="normaltextrun"/>
          <w:rFonts w:ascii="Calibri" w:hAnsi="Calibri" w:cs="Calibri"/>
          <w:b/>
          <w:bCs/>
          <w:sz w:val="20"/>
          <w:szCs w:val="20"/>
          <w:lang w:val="en-US"/>
        </w:rPr>
        <w:t>EPSRC DTP</w:t>
      </w:r>
      <w:r w:rsidRPr="00AD658D">
        <w:rPr>
          <w:rStyle w:val="normaltextrun"/>
          <w:rFonts w:ascii="Calibri" w:hAnsi="Calibri" w:cs="Calibri"/>
          <w:b/>
          <w:bCs/>
          <w:sz w:val="20"/>
          <w:szCs w:val="20"/>
          <w:lang w:val="en-US"/>
        </w:rPr>
        <w:t xml:space="preserve"> Studentship Nomination Form</w:t>
      </w:r>
      <w:r w:rsidRPr="00AD658D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must be submitted by the School to the Doctoral Academy for their selected candidate.  A formal Doctoral Academy selection panel </w:t>
      </w:r>
      <w:r w:rsidR="00373C46" w:rsidRPr="00373C46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consisting of </w:t>
      </w:r>
      <w:r w:rsidR="003F23BD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the </w:t>
      </w:r>
      <w:r w:rsidR="003F23BD" w:rsidRPr="003F23BD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Faculty Associate Dean for PGR, the Faculty Deputy Associate Dean for </w:t>
      </w:r>
      <w:proofErr w:type="gramStart"/>
      <w:r w:rsidR="003F23BD" w:rsidRPr="003F23BD">
        <w:rPr>
          <w:rStyle w:val="normaltextrun"/>
          <w:rFonts w:ascii="Calibri" w:hAnsi="Calibri" w:cs="Calibri"/>
          <w:sz w:val="20"/>
          <w:szCs w:val="20"/>
          <w:lang w:val="en-US"/>
        </w:rPr>
        <w:t>PGR</w:t>
      </w:r>
      <w:proofErr w:type="gramEnd"/>
      <w:r w:rsidR="003F23BD" w:rsidRPr="003F23BD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and an independent panel member with expertise of the remit of EPSRC</w:t>
      </w:r>
      <w:r w:rsidR="00373C46" w:rsidRPr="003F23BD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will score nominations based on:</w:t>
      </w:r>
      <w:r w:rsidR="00373C46" w:rsidRPr="00373C46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</w:p>
    <w:p w14:paraId="798A18DD" w14:textId="41E8C614" w:rsidR="00373C46" w:rsidRDefault="00373C46" w:rsidP="00373C46">
      <w:pPr>
        <w:pStyle w:val="paragraph"/>
        <w:numPr>
          <w:ilvl w:val="0"/>
          <w:numId w:val="15"/>
        </w:numPr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  <w:r w:rsidRPr="00373C46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Proposal quality and research potential </w:t>
      </w:r>
    </w:p>
    <w:p w14:paraId="6144A468" w14:textId="7B1D0FDB" w:rsidR="002B455A" w:rsidRPr="00373C46" w:rsidRDefault="005125C4" w:rsidP="00AD658D">
      <w:pPr>
        <w:pStyle w:val="paragraph"/>
        <w:numPr>
          <w:ilvl w:val="0"/>
          <w:numId w:val="15"/>
        </w:numPr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Preparedness for research</w:t>
      </w:r>
    </w:p>
    <w:p w14:paraId="6F87BE06" w14:textId="20E65BDA" w:rsidR="007B36CD" w:rsidRPr="00AD658D" w:rsidRDefault="007B36CD" w:rsidP="004417D5">
      <w:pPr>
        <w:pStyle w:val="PlainText"/>
        <w:rPr>
          <w:rFonts w:cs="Calibri"/>
          <w:sz w:val="20"/>
          <w:szCs w:val="20"/>
        </w:rPr>
      </w:pPr>
      <w:bookmarkStart w:id="7" w:name="_Hlk150783963"/>
      <w:r w:rsidRPr="00AD658D">
        <w:rPr>
          <w:rFonts w:cs="Calibri"/>
          <w:sz w:val="20"/>
          <w:szCs w:val="20"/>
        </w:rPr>
        <w:t xml:space="preserve">Schools nominating </w:t>
      </w:r>
      <w:r w:rsidR="002B455A" w:rsidRPr="00AD658D">
        <w:rPr>
          <w:rFonts w:cs="Calibri"/>
          <w:sz w:val="20"/>
          <w:szCs w:val="20"/>
        </w:rPr>
        <w:t xml:space="preserve">an </w:t>
      </w:r>
      <w:r w:rsidR="00373C46" w:rsidRPr="00AD658D">
        <w:rPr>
          <w:rFonts w:cs="Calibri"/>
          <w:sz w:val="20"/>
          <w:szCs w:val="20"/>
        </w:rPr>
        <w:t>international</w:t>
      </w:r>
      <w:r w:rsidRPr="00AD658D">
        <w:rPr>
          <w:rFonts w:cs="Calibri"/>
          <w:sz w:val="20"/>
          <w:szCs w:val="20"/>
        </w:rPr>
        <w:t xml:space="preserve"> candidate should note that </w:t>
      </w:r>
      <w:r w:rsidR="002B455A" w:rsidRPr="00AD658D">
        <w:rPr>
          <w:rFonts w:cs="Calibri"/>
          <w:sz w:val="20"/>
          <w:szCs w:val="20"/>
        </w:rPr>
        <w:t>if selected by the panel, the award</w:t>
      </w:r>
      <w:r w:rsidRPr="00AD658D">
        <w:rPr>
          <w:rFonts w:cs="Calibri"/>
          <w:sz w:val="20"/>
          <w:szCs w:val="20"/>
        </w:rPr>
        <w:t xml:space="preserve"> will be subject to consideration by </w:t>
      </w:r>
      <w:r w:rsidR="00BF2B64" w:rsidRPr="00AD658D">
        <w:rPr>
          <w:rFonts w:cs="Calibri"/>
          <w:sz w:val="20"/>
          <w:szCs w:val="20"/>
        </w:rPr>
        <w:t>the Faculty of Science and Engineering</w:t>
      </w:r>
      <w:r w:rsidR="003F23BD">
        <w:rPr>
          <w:rFonts w:cs="Calibri"/>
          <w:sz w:val="20"/>
          <w:szCs w:val="20"/>
        </w:rPr>
        <w:t xml:space="preserve"> (FSE)</w:t>
      </w:r>
      <w:r w:rsidR="00325FE2" w:rsidRPr="00AD658D">
        <w:rPr>
          <w:rFonts w:cs="Calibri"/>
          <w:sz w:val="20"/>
          <w:szCs w:val="20"/>
        </w:rPr>
        <w:t xml:space="preserve"> as the grant holder</w:t>
      </w:r>
      <w:r w:rsidRPr="00AD658D">
        <w:rPr>
          <w:rFonts w:cs="Calibri"/>
          <w:sz w:val="20"/>
          <w:szCs w:val="20"/>
        </w:rPr>
        <w:t xml:space="preserve">. The </w:t>
      </w:r>
      <w:r w:rsidR="00373C46">
        <w:rPr>
          <w:rFonts w:cs="Calibri"/>
          <w:sz w:val="20"/>
          <w:szCs w:val="20"/>
        </w:rPr>
        <w:t>Doctoral Academy</w:t>
      </w:r>
      <w:r w:rsidRPr="00AD658D">
        <w:rPr>
          <w:rFonts w:cs="Calibri"/>
          <w:sz w:val="20"/>
          <w:szCs w:val="20"/>
        </w:rPr>
        <w:t xml:space="preserve"> will liaise with </w:t>
      </w:r>
      <w:r w:rsidR="00BF2B64" w:rsidRPr="00AD658D">
        <w:rPr>
          <w:rFonts w:cs="Calibri"/>
          <w:sz w:val="20"/>
          <w:szCs w:val="20"/>
        </w:rPr>
        <w:t>FSE</w:t>
      </w:r>
      <w:r w:rsidRPr="00AD658D">
        <w:rPr>
          <w:rFonts w:cs="Calibri"/>
          <w:sz w:val="20"/>
          <w:szCs w:val="20"/>
        </w:rPr>
        <w:t xml:space="preserve"> only </w:t>
      </w:r>
      <w:r w:rsidR="009D1B4A" w:rsidRPr="00AD658D">
        <w:rPr>
          <w:rFonts w:cs="Calibri"/>
          <w:sz w:val="20"/>
          <w:szCs w:val="20"/>
        </w:rPr>
        <w:t>after the</w:t>
      </w:r>
      <w:r w:rsidRPr="00AD658D">
        <w:rPr>
          <w:rFonts w:cs="Calibri"/>
          <w:sz w:val="20"/>
          <w:szCs w:val="20"/>
        </w:rPr>
        <w:t xml:space="preserve"> candidate</w:t>
      </w:r>
      <w:r w:rsidR="002B455A" w:rsidRPr="00AD658D">
        <w:rPr>
          <w:rFonts w:cs="Calibri"/>
          <w:sz w:val="20"/>
          <w:szCs w:val="20"/>
        </w:rPr>
        <w:t>s have been approve</w:t>
      </w:r>
      <w:r w:rsidRPr="00AD658D">
        <w:rPr>
          <w:rFonts w:cs="Calibri"/>
          <w:sz w:val="20"/>
          <w:szCs w:val="20"/>
        </w:rPr>
        <w:t xml:space="preserve">d by the </w:t>
      </w:r>
      <w:r w:rsidR="00373C46">
        <w:rPr>
          <w:rFonts w:cs="Calibri"/>
          <w:sz w:val="20"/>
          <w:szCs w:val="20"/>
        </w:rPr>
        <w:t>Doctoral Academy selection panel</w:t>
      </w:r>
      <w:r w:rsidRPr="00AD658D">
        <w:rPr>
          <w:rFonts w:cs="Calibri"/>
          <w:sz w:val="20"/>
          <w:szCs w:val="20"/>
        </w:rPr>
        <w:t xml:space="preserve">. </w:t>
      </w:r>
      <w:r w:rsidR="00AB2B12" w:rsidRPr="00AD658D">
        <w:rPr>
          <w:rFonts w:cs="Calibri"/>
          <w:sz w:val="20"/>
          <w:szCs w:val="20"/>
        </w:rPr>
        <w:t xml:space="preserve">The Home and International tuition fee difference must also be covered by the </w:t>
      </w:r>
      <w:proofErr w:type="gramStart"/>
      <w:r w:rsidR="00AB2B12" w:rsidRPr="00AD658D">
        <w:rPr>
          <w:rFonts w:cs="Calibri"/>
          <w:sz w:val="20"/>
          <w:szCs w:val="20"/>
        </w:rPr>
        <w:t>School</w:t>
      </w:r>
      <w:proofErr w:type="gramEnd"/>
      <w:r w:rsidR="00AB2B12" w:rsidRPr="00AD658D">
        <w:rPr>
          <w:rFonts w:cs="Calibri"/>
          <w:sz w:val="20"/>
          <w:szCs w:val="20"/>
        </w:rPr>
        <w:t xml:space="preserve">. </w:t>
      </w:r>
    </w:p>
    <w:bookmarkEnd w:id="7"/>
    <w:p w14:paraId="67299E0A" w14:textId="77777777" w:rsidR="00325256" w:rsidRPr="00AD658D" w:rsidRDefault="00325256" w:rsidP="00FB6371">
      <w:pPr>
        <w:pStyle w:val="PlainText"/>
        <w:rPr>
          <w:rFonts w:cs="Calibri"/>
          <w:sz w:val="20"/>
          <w:szCs w:val="20"/>
        </w:rPr>
      </w:pPr>
    </w:p>
    <w:p w14:paraId="0859CF52" w14:textId="5744C58D" w:rsidR="00B50E79" w:rsidRPr="00AD658D" w:rsidRDefault="00B50E79" w:rsidP="00FB6371">
      <w:pPr>
        <w:pStyle w:val="PlainText"/>
        <w:rPr>
          <w:rFonts w:cs="Calibri"/>
          <w:sz w:val="20"/>
          <w:szCs w:val="20"/>
        </w:rPr>
      </w:pPr>
      <w:r w:rsidRPr="00AD658D">
        <w:rPr>
          <w:rFonts w:cs="Calibri"/>
          <w:sz w:val="20"/>
          <w:szCs w:val="20"/>
        </w:rPr>
        <w:t xml:space="preserve">The </w:t>
      </w:r>
      <w:r w:rsidR="00C55F50" w:rsidRPr="00AD658D">
        <w:rPr>
          <w:rFonts w:cs="Calibri"/>
          <w:sz w:val="20"/>
          <w:szCs w:val="20"/>
        </w:rPr>
        <w:t>Doctoral Academy Admissions Team</w:t>
      </w:r>
      <w:r w:rsidRPr="00AD658D">
        <w:rPr>
          <w:rFonts w:cs="Calibri"/>
          <w:sz w:val="20"/>
          <w:szCs w:val="20"/>
        </w:rPr>
        <w:t xml:space="preserve"> will co</w:t>
      </w:r>
      <w:r w:rsidR="00980071" w:rsidRPr="00AD658D">
        <w:rPr>
          <w:rFonts w:cs="Calibri"/>
          <w:sz w:val="20"/>
          <w:szCs w:val="20"/>
        </w:rPr>
        <w:t xml:space="preserve">mmunicate the outcome </w:t>
      </w:r>
      <w:r w:rsidR="00C55F50" w:rsidRPr="00AD658D">
        <w:rPr>
          <w:rFonts w:cs="Calibri"/>
          <w:sz w:val="20"/>
          <w:szCs w:val="20"/>
        </w:rPr>
        <w:t>to the supervisor and candidate. A</w:t>
      </w:r>
      <w:r w:rsidR="00FC326B" w:rsidRPr="00AD658D">
        <w:rPr>
          <w:rFonts w:cs="Calibri"/>
          <w:sz w:val="20"/>
          <w:szCs w:val="20"/>
        </w:rPr>
        <w:t>n award</w:t>
      </w:r>
      <w:r w:rsidRPr="00AD658D">
        <w:rPr>
          <w:rFonts w:cs="Calibri"/>
          <w:sz w:val="20"/>
          <w:szCs w:val="20"/>
        </w:rPr>
        <w:t xml:space="preserve"> letter</w:t>
      </w:r>
      <w:r w:rsidR="00C55F50" w:rsidRPr="00AD658D">
        <w:rPr>
          <w:rFonts w:cs="Calibri"/>
          <w:sz w:val="20"/>
          <w:szCs w:val="20"/>
        </w:rPr>
        <w:t xml:space="preserve"> will be sent</w:t>
      </w:r>
      <w:r w:rsidRPr="00AD658D">
        <w:rPr>
          <w:rFonts w:cs="Calibri"/>
          <w:sz w:val="20"/>
          <w:szCs w:val="20"/>
        </w:rPr>
        <w:t xml:space="preserve"> to </w:t>
      </w:r>
      <w:r w:rsidR="002B455A" w:rsidRPr="00AD658D">
        <w:rPr>
          <w:rFonts w:cs="Calibri"/>
          <w:sz w:val="20"/>
          <w:szCs w:val="20"/>
        </w:rPr>
        <w:t xml:space="preserve">the </w:t>
      </w:r>
      <w:r w:rsidRPr="00AD658D">
        <w:rPr>
          <w:rFonts w:cs="Calibri"/>
          <w:sz w:val="20"/>
          <w:szCs w:val="20"/>
        </w:rPr>
        <w:t xml:space="preserve">successful candidate outlining the award details and conditions. </w:t>
      </w:r>
    </w:p>
    <w:p w14:paraId="59F78944" w14:textId="77777777" w:rsidR="00B50E79" w:rsidRPr="00AD658D" w:rsidRDefault="00B50E79" w:rsidP="00FB6371">
      <w:pPr>
        <w:pStyle w:val="PlainText"/>
        <w:rPr>
          <w:rFonts w:cs="Calibri"/>
          <w:sz w:val="20"/>
          <w:szCs w:val="20"/>
        </w:rPr>
      </w:pPr>
    </w:p>
    <w:p w14:paraId="6B2AB562" w14:textId="77777777" w:rsidR="009A6CBC" w:rsidRPr="00AD658D" w:rsidRDefault="009A6CBC" w:rsidP="00FB6371">
      <w:pPr>
        <w:pStyle w:val="PlainText"/>
        <w:rPr>
          <w:rFonts w:cs="Calibri"/>
          <w:b/>
          <w:sz w:val="20"/>
          <w:szCs w:val="20"/>
        </w:rPr>
      </w:pPr>
      <w:r w:rsidRPr="00AD658D">
        <w:rPr>
          <w:rFonts w:cs="Calibri"/>
          <w:b/>
          <w:sz w:val="20"/>
          <w:szCs w:val="20"/>
        </w:rPr>
        <w:t>Timetable for recruitment</w:t>
      </w:r>
    </w:p>
    <w:p w14:paraId="607D4E56" w14:textId="77777777" w:rsidR="009A6CBC" w:rsidRPr="00AD658D" w:rsidRDefault="009A6CBC" w:rsidP="00FB6371">
      <w:pPr>
        <w:pStyle w:val="PlainText"/>
        <w:rPr>
          <w:rFonts w:cs="Calibri"/>
          <w:sz w:val="20"/>
          <w:szCs w:val="20"/>
        </w:rPr>
      </w:pPr>
    </w:p>
    <w:tbl>
      <w:tblPr>
        <w:tblW w:w="8943" w:type="dxa"/>
        <w:tblInd w:w="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  <w:gridCol w:w="3260"/>
      </w:tblGrid>
      <w:tr w:rsidR="00AD658D" w:rsidRPr="00AD658D" w14:paraId="762730EA" w14:textId="77777777" w:rsidTr="004B5EDA">
        <w:trPr>
          <w:trHeight w:val="375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4B85EF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5E13B8" w14:textId="77777777" w:rsidR="00AD658D" w:rsidRPr="00AD658D" w:rsidRDefault="00AD658D" w:rsidP="00AD658D">
            <w:pPr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Deadline</w:t>
            </w: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AD658D" w:rsidRPr="00AD658D" w14:paraId="1143F7AE" w14:textId="77777777" w:rsidTr="004B5EDA">
        <w:trPr>
          <w:trHeight w:val="42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C6E41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Formal Offers to be issued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E8729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By 30 April 2024 </w:t>
            </w:r>
          </w:p>
        </w:tc>
      </w:tr>
      <w:tr w:rsidR="00AD658D" w:rsidRPr="00AD658D" w14:paraId="0F38CB69" w14:textId="77777777" w:rsidTr="004B5EDA">
        <w:trPr>
          <w:trHeight w:val="585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18222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Offer holders to work with the proposed main supervisor and submit the completed nomination form to the Doctoral Academy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A4DD5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 May 2024 </w:t>
            </w:r>
          </w:p>
        </w:tc>
      </w:tr>
      <w:tr w:rsidR="00AD658D" w:rsidRPr="00AD658D" w14:paraId="2383D662" w14:textId="77777777" w:rsidTr="004B5EDA">
        <w:trPr>
          <w:trHeight w:val="585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02542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Admissions Team to collate nomination forms and grant access to SPGRD for consideration and selection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20B9A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By 17 May 2024 </w:t>
            </w:r>
          </w:p>
        </w:tc>
      </w:tr>
      <w:tr w:rsidR="00AD658D" w:rsidRPr="00AD658D" w14:paraId="0982EEE7" w14:textId="77777777" w:rsidTr="004B5EDA">
        <w:trPr>
          <w:trHeight w:val="30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4335D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Schools to provide the name of their nominee to the Doctoral Academy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34562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 May 2024 </w:t>
            </w:r>
          </w:p>
          <w:p w14:paraId="57B9AF32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AD658D" w:rsidRPr="00AD658D" w14:paraId="36A7E53D" w14:textId="77777777" w:rsidTr="004B5EDA">
        <w:trPr>
          <w:trHeight w:val="36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3D04F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Formal Doctoral Academy Panel selection of the candidate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B4FF9" w14:textId="77777777" w:rsidR="00AD658D" w:rsidRPr="00AD658D" w:rsidRDefault="00AD658D" w:rsidP="00AD658D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AD658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Mid-June 2024 </w:t>
            </w:r>
          </w:p>
        </w:tc>
      </w:tr>
    </w:tbl>
    <w:p w14:paraId="40E99081" w14:textId="77777777" w:rsidR="00E55C90" w:rsidRDefault="00E55C90">
      <w:pPr>
        <w:rPr>
          <w:rFonts w:ascii="Calibri" w:hAnsi="Calibri" w:cs="Calibri"/>
          <w:sz w:val="20"/>
          <w:szCs w:val="20"/>
        </w:rPr>
      </w:pPr>
    </w:p>
    <w:p w14:paraId="628BEA1E" w14:textId="77777777" w:rsidR="00AD658D" w:rsidRPr="00AD658D" w:rsidRDefault="00AD658D">
      <w:pPr>
        <w:rPr>
          <w:rFonts w:ascii="Calibri" w:hAnsi="Calibri" w:cs="Calibri"/>
          <w:sz w:val="20"/>
          <w:szCs w:val="20"/>
        </w:rPr>
      </w:pPr>
    </w:p>
    <w:p w14:paraId="156C9966" w14:textId="00EE3932" w:rsidR="00917DFA" w:rsidRPr="00126A14" w:rsidRDefault="00071E3C">
      <w:pPr>
        <w:rPr>
          <w:rFonts w:ascii="Calibri" w:hAnsi="Calibri" w:cs="Calibri"/>
          <w:b/>
          <w:sz w:val="20"/>
          <w:szCs w:val="20"/>
        </w:rPr>
      </w:pPr>
      <w:r w:rsidRPr="00AD658D">
        <w:rPr>
          <w:rFonts w:ascii="Calibri" w:hAnsi="Calibri" w:cs="Calibri"/>
          <w:b/>
          <w:sz w:val="20"/>
          <w:szCs w:val="20"/>
        </w:rPr>
        <w:t>Administration of the awards</w:t>
      </w:r>
    </w:p>
    <w:p w14:paraId="5470D82E" w14:textId="77777777" w:rsidR="00176487" w:rsidRDefault="00071E3C" w:rsidP="00126A14">
      <w:pPr>
        <w:rPr>
          <w:rFonts w:ascii="Calibri" w:hAnsi="Calibri" w:cs="Calibri"/>
          <w:sz w:val="20"/>
          <w:szCs w:val="20"/>
        </w:rPr>
      </w:pPr>
      <w:r w:rsidRPr="00126A14">
        <w:rPr>
          <w:rFonts w:ascii="Calibri" w:hAnsi="Calibri" w:cs="Calibri"/>
          <w:sz w:val="20"/>
          <w:szCs w:val="20"/>
        </w:rPr>
        <w:t xml:space="preserve">The </w:t>
      </w:r>
      <w:r w:rsidR="00FC326B" w:rsidRPr="00126A14">
        <w:rPr>
          <w:rFonts w:ascii="Calibri" w:hAnsi="Calibri" w:cs="Calibri"/>
          <w:sz w:val="20"/>
          <w:szCs w:val="20"/>
        </w:rPr>
        <w:t>Doctoral Academy team</w:t>
      </w:r>
      <w:r w:rsidRPr="00126A14">
        <w:rPr>
          <w:rFonts w:ascii="Calibri" w:hAnsi="Calibri" w:cs="Calibri"/>
          <w:sz w:val="20"/>
          <w:szCs w:val="20"/>
        </w:rPr>
        <w:t xml:space="preserve"> </w:t>
      </w:r>
      <w:r w:rsidR="00176487" w:rsidRPr="00126A14">
        <w:rPr>
          <w:rFonts w:ascii="Calibri" w:hAnsi="Calibri" w:cs="Calibri"/>
          <w:sz w:val="20"/>
          <w:szCs w:val="20"/>
        </w:rPr>
        <w:t>will:</w:t>
      </w:r>
    </w:p>
    <w:p w14:paraId="1065AFD6" w14:textId="77777777" w:rsidR="00126A14" w:rsidRPr="00126A14" w:rsidRDefault="00126A14" w:rsidP="00126A14">
      <w:pPr>
        <w:rPr>
          <w:rFonts w:ascii="Calibri" w:hAnsi="Calibri" w:cs="Calibri"/>
          <w:sz w:val="20"/>
          <w:szCs w:val="20"/>
        </w:rPr>
      </w:pPr>
    </w:p>
    <w:p w14:paraId="7B015A59" w14:textId="34535F2C" w:rsidR="00FC326B" w:rsidRPr="00AD658D" w:rsidRDefault="00071E3C" w:rsidP="00126A14">
      <w:pPr>
        <w:pStyle w:val="ListParagraph"/>
        <w:numPr>
          <w:ilvl w:val="1"/>
          <w:numId w:val="16"/>
        </w:numPr>
        <w:rPr>
          <w:rFonts w:ascii="Calibri" w:hAnsi="Calibri" w:cs="Calibri"/>
          <w:sz w:val="20"/>
          <w:szCs w:val="20"/>
        </w:rPr>
      </w:pPr>
      <w:r w:rsidRPr="00AD658D">
        <w:rPr>
          <w:rFonts w:ascii="Calibri" w:hAnsi="Calibri" w:cs="Calibri"/>
          <w:sz w:val="20"/>
          <w:szCs w:val="20"/>
        </w:rPr>
        <w:t>create</w:t>
      </w:r>
      <w:r w:rsidR="00E33332" w:rsidRPr="00AD658D">
        <w:rPr>
          <w:rFonts w:ascii="Calibri" w:hAnsi="Calibri" w:cs="Calibri"/>
          <w:sz w:val="20"/>
          <w:szCs w:val="20"/>
        </w:rPr>
        <w:t xml:space="preserve"> </w:t>
      </w:r>
      <w:r w:rsidRPr="00AD658D">
        <w:rPr>
          <w:rFonts w:ascii="Calibri" w:hAnsi="Calibri" w:cs="Calibri"/>
          <w:sz w:val="20"/>
          <w:szCs w:val="20"/>
        </w:rPr>
        <w:t>Je-S document</w:t>
      </w:r>
      <w:r w:rsidR="00E33332" w:rsidRPr="00AD658D">
        <w:rPr>
          <w:rFonts w:ascii="Calibri" w:hAnsi="Calibri" w:cs="Calibri"/>
          <w:sz w:val="20"/>
          <w:szCs w:val="20"/>
        </w:rPr>
        <w:t>s</w:t>
      </w:r>
      <w:r w:rsidR="00FE4E89" w:rsidRPr="00AD658D">
        <w:rPr>
          <w:rFonts w:ascii="Calibri" w:hAnsi="Calibri" w:cs="Calibri"/>
          <w:sz w:val="20"/>
          <w:szCs w:val="20"/>
        </w:rPr>
        <w:t xml:space="preserve"> </w:t>
      </w:r>
      <w:r w:rsidRPr="00AD658D">
        <w:rPr>
          <w:rFonts w:ascii="Calibri" w:hAnsi="Calibri" w:cs="Calibri"/>
          <w:sz w:val="20"/>
          <w:szCs w:val="20"/>
        </w:rPr>
        <w:t>at the beginning of the studentship</w:t>
      </w:r>
      <w:r w:rsidR="00AD658D">
        <w:rPr>
          <w:rFonts w:ascii="Calibri" w:hAnsi="Calibri" w:cs="Calibri"/>
          <w:sz w:val="20"/>
          <w:szCs w:val="20"/>
        </w:rPr>
        <w:t>.</w:t>
      </w:r>
    </w:p>
    <w:p w14:paraId="285E9BBC" w14:textId="46810A23" w:rsidR="00FC326B" w:rsidRPr="00AD658D" w:rsidRDefault="00F34641" w:rsidP="00126A14">
      <w:pPr>
        <w:pStyle w:val="ListParagraph"/>
        <w:numPr>
          <w:ilvl w:val="1"/>
          <w:numId w:val="16"/>
        </w:numPr>
        <w:rPr>
          <w:rFonts w:ascii="Calibri" w:hAnsi="Calibri" w:cs="Calibri"/>
          <w:sz w:val="20"/>
          <w:szCs w:val="20"/>
        </w:rPr>
      </w:pPr>
      <w:r w:rsidRPr="00AD658D">
        <w:rPr>
          <w:rFonts w:ascii="Calibri" w:hAnsi="Calibri" w:cs="Calibri"/>
          <w:sz w:val="20"/>
          <w:szCs w:val="20"/>
        </w:rPr>
        <w:t xml:space="preserve">process tuition </w:t>
      </w:r>
      <w:r w:rsidR="00AD658D">
        <w:rPr>
          <w:rFonts w:ascii="Calibri" w:hAnsi="Calibri" w:cs="Calibri"/>
          <w:sz w:val="20"/>
          <w:szCs w:val="20"/>
        </w:rPr>
        <w:t>fees</w:t>
      </w:r>
      <w:r w:rsidRPr="00AD658D">
        <w:rPr>
          <w:rFonts w:ascii="Calibri" w:hAnsi="Calibri" w:cs="Calibri"/>
          <w:sz w:val="20"/>
          <w:szCs w:val="20"/>
        </w:rPr>
        <w:t xml:space="preserve"> and stipend payments</w:t>
      </w:r>
      <w:r w:rsidR="00F40AB6" w:rsidRPr="00AD658D">
        <w:rPr>
          <w:rFonts w:ascii="Calibri" w:hAnsi="Calibri" w:cs="Calibri"/>
          <w:sz w:val="20"/>
          <w:szCs w:val="20"/>
        </w:rPr>
        <w:t xml:space="preserve"> and support the PGR with RTSG which is </w:t>
      </w:r>
      <w:r w:rsidR="00220387" w:rsidRPr="00AD658D">
        <w:rPr>
          <w:rFonts w:ascii="Calibri" w:hAnsi="Calibri" w:cs="Calibri"/>
          <w:sz w:val="20"/>
          <w:szCs w:val="20"/>
        </w:rPr>
        <w:t xml:space="preserve">allocated through </w:t>
      </w:r>
      <w:r w:rsidR="00F40AB6" w:rsidRPr="00AD658D">
        <w:rPr>
          <w:rFonts w:ascii="Calibri" w:hAnsi="Calibri" w:cs="Calibri"/>
          <w:sz w:val="20"/>
          <w:szCs w:val="20"/>
        </w:rPr>
        <w:t xml:space="preserve">either the requisition or </w:t>
      </w:r>
      <w:r w:rsidR="00220387" w:rsidRPr="00AD658D">
        <w:rPr>
          <w:rFonts w:ascii="Calibri" w:hAnsi="Calibri" w:cs="Calibri"/>
          <w:sz w:val="20"/>
          <w:szCs w:val="20"/>
        </w:rPr>
        <w:t>reimbursement (</w:t>
      </w:r>
      <w:r w:rsidRPr="00AD658D">
        <w:rPr>
          <w:rFonts w:ascii="Calibri" w:hAnsi="Calibri" w:cs="Calibri"/>
          <w:sz w:val="20"/>
          <w:szCs w:val="20"/>
        </w:rPr>
        <w:t>PR7</w:t>
      </w:r>
      <w:r w:rsidR="00220387" w:rsidRPr="00AD658D">
        <w:rPr>
          <w:rFonts w:ascii="Calibri" w:hAnsi="Calibri" w:cs="Calibri"/>
          <w:sz w:val="20"/>
          <w:szCs w:val="20"/>
        </w:rPr>
        <w:t>)</w:t>
      </w:r>
      <w:r w:rsidR="00F40AB6" w:rsidRPr="00AD658D">
        <w:rPr>
          <w:rFonts w:ascii="Calibri" w:hAnsi="Calibri" w:cs="Calibri"/>
          <w:sz w:val="20"/>
          <w:szCs w:val="20"/>
        </w:rPr>
        <w:t xml:space="preserve"> process</w:t>
      </w:r>
      <w:r w:rsidR="00220387" w:rsidRPr="00AD658D">
        <w:rPr>
          <w:rFonts w:ascii="Calibri" w:hAnsi="Calibri" w:cs="Calibri"/>
          <w:sz w:val="20"/>
          <w:szCs w:val="20"/>
        </w:rPr>
        <w:t xml:space="preserve">. </w:t>
      </w:r>
    </w:p>
    <w:p w14:paraId="114E7C64" w14:textId="5F6EADF7" w:rsidR="00071E3C" w:rsidRPr="00AD658D" w:rsidRDefault="00071E3C" w:rsidP="00126A14">
      <w:pPr>
        <w:pStyle w:val="ListParagraph"/>
        <w:numPr>
          <w:ilvl w:val="1"/>
          <w:numId w:val="16"/>
        </w:numPr>
        <w:rPr>
          <w:rFonts w:ascii="Calibri" w:hAnsi="Calibri" w:cs="Calibri"/>
          <w:sz w:val="20"/>
          <w:szCs w:val="20"/>
        </w:rPr>
      </w:pPr>
      <w:r w:rsidRPr="00AD658D">
        <w:rPr>
          <w:rFonts w:ascii="Calibri" w:hAnsi="Calibri" w:cs="Calibri"/>
          <w:sz w:val="20"/>
          <w:szCs w:val="20"/>
        </w:rPr>
        <w:t xml:space="preserve">Changes to </w:t>
      </w:r>
      <w:r w:rsidR="00176487" w:rsidRPr="00AD658D">
        <w:rPr>
          <w:rFonts w:ascii="Calibri" w:hAnsi="Calibri" w:cs="Calibri"/>
          <w:sz w:val="20"/>
          <w:szCs w:val="20"/>
        </w:rPr>
        <w:t>PGR</w:t>
      </w:r>
      <w:r w:rsidRPr="00AD658D">
        <w:rPr>
          <w:rFonts w:ascii="Calibri" w:hAnsi="Calibri" w:cs="Calibri"/>
          <w:sz w:val="20"/>
          <w:szCs w:val="20"/>
        </w:rPr>
        <w:t xml:space="preserve"> registration </w:t>
      </w:r>
      <w:r w:rsidR="00C94D78" w:rsidRPr="00AD658D">
        <w:rPr>
          <w:rFonts w:ascii="Calibri" w:hAnsi="Calibri" w:cs="Calibri"/>
          <w:sz w:val="20"/>
          <w:szCs w:val="20"/>
        </w:rPr>
        <w:t>(including</w:t>
      </w:r>
      <w:r w:rsidR="007748FD" w:rsidRPr="00AD658D">
        <w:rPr>
          <w:rFonts w:ascii="Calibri" w:hAnsi="Calibri" w:cs="Calibri"/>
          <w:sz w:val="20"/>
          <w:szCs w:val="20"/>
        </w:rPr>
        <w:t xml:space="preserve"> changes to </w:t>
      </w:r>
      <w:r w:rsidR="00AD658D">
        <w:rPr>
          <w:rFonts w:ascii="Calibri" w:hAnsi="Calibri" w:cs="Calibri"/>
          <w:sz w:val="20"/>
          <w:szCs w:val="20"/>
        </w:rPr>
        <w:t xml:space="preserve">the </w:t>
      </w:r>
      <w:r w:rsidR="007748FD" w:rsidRPr="00AD658D">
        <w:rPr>
          <w:rFonts w:ascii="Calibri" w:hAnsi="Calibri" w:cs="Calibri"/>
          <w:sz w:val="20"/>
          <w:szCs w:val="20"/>
        </w:rPr>
        <w:t>proposed</w:t>
      </w:r>
      <w:r w:rsidR="00C94D78" w:rsidRPr="00AD658D">
        <w:rPr>
          <w:rFonts w:ascii="Calibri" w:hAnsi="Calibri" w:cs="Calibri"/>
          <w:sz w:val="20"/>
          <w:szCs w:val="20"/>
        </w:rPr>
        <w:t xml:space="preserve"> </w:t>
      </w:r>
      <w:r w:rsidR="007748FD" w:rsidRPr="00AD658D">
        <w:rPr>
          <w:rFonts w:ascii="Calibri" w:hAnsi="Calibri" w:cs="Calibri"/>
          <w:sz w:val="20"/>
          <w:szCs w:val="20"/>
        </w:rPr>
        <w:t>project, mode of attendance</w:t>
      </w:r>
      <w:r w:rsidR="00C94D78" w:rsidRPr="00AD658D">
        <w:rPr>
          <w:rFonts w:ascii="Calibri" w:hAnsi="Calibri" w:cs="Calibri"/>
          <w:sz w:val="20"/>
          <w:szCs w:val="20"/>
        </w:rPr>
        <w:t>, early submission</w:t>
      </w:r>
      <w:r w:rsidR="007748FD" w:rsidRPr="00AD658D">
        <w:rPr>
          <w:rFonts w:ascii="Calibri" w:hAnsi="Calibri" w:cs="Calibri"/>
          <w:sz w:val="20"/>
          <w:szCs w:val="20"/>
        </w:rPr>
        <w:t xml:space="preserve">, </w:t>
      </w:r>
      <w:r w:rsidR="00305EFE" w:rsidRPr="00AD658D">
        <w:rPr>
          <w:rFonts w:ascii="Calibri" w:hAnsi="Calibri" w:cs="Calibri"/>
          <w:sz w:val="20"/>
          <w:szCs w:val="20"/>
        </w:rPr>
        <w:t>interruption</w:t>
      </w:r>
      <w:r w:rsidR="00F40AB6" w:rsidRPr="00AD658D">
        <w:rPr>
          <w:rFonts w:ascii="Calibri" w:hAnsi="Calibri" w:cs="Calibri"/>
          <w:sz w:val="20"/>
          <w:szCs w:val="20"/>
        </w:rPr>
        <w:t>, extension</w:t>
      </w:r>
      <w:r w:rsidR="00C94D78" w:rsidRPr="00AD658D">
        <w:rPr>
          <w:rFonts w:ascii="Calibri" w:hAnsi="Calibri" w:cs="Calibri"/>
          <w:sz w:val="20"/>
          <w:szCs w:val="20"/>
        </w:rPr>
        <w:t xml:space="preserve">) </w:t>
      </w:r>
      <w:r w:rsidRPr="00AD658D">
        <w:rPr>
          <w:rFonts w:ascii="Calibri" w:hAnsi="Calibri" w:cs="Calibri"/>
          <w:sz w:val="20"/>
          <w:szCs w:val="20"/>
        </w:rPr>
        <w:t xml:space="preserve">must </w:t>
      </w:r>
      <w:r w:rsidR="00176487" w:rsidRPr="00AD658D">
        <w:rPr>
          <w:rFonts w:ascii="Calibri" w:hAnsi="Calibri" w:cs="Calibri"/>
          <w:sz w:val="20"/>
          <w:szCs w:val="20"/>
        </w:rPr>
        <w:t>follow the current process of approval</w:t>
      </w:r>
      <w:r w:rsidR="00FC326B" w:rsidRPr="00AD658D">
        <w:rPr>
          <w:rFonts w:ascii="Calibri" w:hAnsi="Calibri" w:cs="Calibri"/>
          <w:sz w:val="20"/>
          <w:szCs w:val="20"/>
        </w:rPr>
        <w:t>.</w:t>
      </w:r>
      <w:r w:rsidRPr="00AD658D">
        <w:rPr>
          <w:rFonts w:ascii="Calibri" w:hAnsi="Calibri" w:cs="Calibri"/>
          <w:sz w:val="20"/>
          <w:szCs w:val="20"/>
        </w:rPr>
        <w:t xml:space="preserve"> </w:t>
      </w:r>
    </w:p>
    <w:sectPr w:rsidR="00071E3C" w:rsidRPr="00AD658D" w:rsidSect="00804C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A2E1" w14:textId="77777777" w:rsidR="00455D08" w:rsidRDefault="00455D08" w:rsidP="00B54CDE">
      <w:r>
        <w:separator/>
      </w:r>
    </w:p>
  </w:endnote>
  <w:endnote w:type="continuationSeparator" w:id="0">
    <w:p w14:paraId="0BC14A36" w14:textId="77777777" w:rsidR="00455D08" w:rsidRDefault="00455D08" w:rsidP="00B5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46B6" w14:textId="77777777" w:rsidR="00455D08" w:rsidRDefault="00455D08" w:rsidP="00B54CDE">
      <w:r>
        <w:separator/>
      </w:r>
    </w:p>
  </w:footnote>
  <w:footnote w:type="continuationSeparator" w:id="0">
    <w:p w14:paraId="2016B008" w14:textId="77777777" w:rsidR="00455D08" w:rsidRDefault="00455D08" w:rsidP="00B54CDE">
      <w:r>
        <w:continuationSeparator/>
      </w:r>
    </w:p>
  </w:footnote>
  <w:footnote w:id="1">
    <w:p w14:paraId="05E3BF89" w14:textId="5AD296F3" w:rsidR="00B54CDE" w:rsidRDefault="00B54CDE" w:rsidP="00B54C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" w:name="_Hlk150784604"/>
      <w:bookmarkStart w:id="3" w:name="_Hlk150784605"/>
      <w:bookmarkStart w:id="4" w:name="_Hlk150784606"/>
      <w:bookmarkStart w:id="5" w:name="_Hlk150784607"/>
      <w:r w:rsidRPr="00B54CDE">
        <w:rPr>
          <w:sz w:val="14"/>
        </w:rPr>
        <w:t xml:space="preserve">Under EPSRC DTP </w:t>
      </w:r>
      <w:r w:rsidR="00B7296A">
        <w:rPr>
          <w:sz w:val="14"/>
        </w:rPr>
        <w:t>3</w:t>
      </w:r>
      <w:r w:rsidRPr="00B54CDE">
        <w:rPr>
          <w:sz w:val="14"/>
        </w:rPr>
        <w:t xml:space="preserve">0% residential eligibility relaxation rule, the </w:t>
      </w:r>
      <w:proofErr w:type="gramStart"/>
      <w:r w:rsidRPr="00B54CDE">
        <w:rPr>
          <w:sz w:val="14"/>
        </w:rPr>
        <w:t>School</w:t>
      </w:r>
      <w:proofErr w:type="gramEnd"/>
      <w:r w:rsidRPr="00B54CDE">
        <w:rPr>
          <w:sz w:val="14"/>
        </w:rPr>
        <w:t xml:space="preserve"> may exceptionally nominate</w:t>
      </w:r>
      <w:r w:rsidR="00B7296A">
        <w:rPr>
          <w:sz w:val="14"/>
        </w:rPr>
        <w:t xml:space="preserve"> International candidates. </w:t>
      </w:r>
      <w:r w:rsidRPr="00B54CDE">
        <w:rPr>
          <w:sz w:val="14"/>
        </w:rPr>
        <w:t xml:space="preserve">These will be subject to approval by </w:t>
      </w:r>
      <w:r w:rsidR="00B7296A">
        <w:rPr>
          <w:sz w:val="14"/>
        </w:rPr>
        <w:t>FSE Associate Dean PGR</w:t>
      </w:r>
      <w:r w:rsidRPr="00B54CDE">
        <w:rPr>
          <w:sz w:val="14"/>
        </w:rPr>
        <w:t xml:space="preserve">. The EPSRC DTP awards will cover </w:t>
      </w:r>
      <w:proofErr w:type="gramStart"/>
      <w:r w:rsidRPr="00B54CDE">
        <w:rPr>
          <w:sz w:val="14"/>
        </w:rPr>
        <w:t>Home</w:t>
      </w:r>
      <w:proofErr w:type="gramEnd"/>
      <w:r w:rsidRPr="00B54CDE">
        <w:rPr>
          <w:sz w:val="14"/>
        </w:rPr>
        <w:t xml:space="preserve"> tuition fees only and the School will have to underwrite the tuition fee difference</w:t>
      </w:r>
      <w:r w:rsidR="00AD658D">
        <w:rPr>
          <w:sz w:val="14"/>
        </w:rPr>
        <w:t xml:space="preserve"> (via the offset account)</w:t>
      </w:r>
      <w:r w:rsidRPr="00B54CDE">
        <w:rPr>
          <w:sz w:val="14"/>
        </w:rPr>
        <w:t xml:space="preserve"> for the entire period of the studentships.</w:t>
      </w:r>
      <w:bookmarkEnd w:id="2"/>
      <w:bookmarkEnd w:id="3"/>
      <w:bookmarkEnd w:id="4"/>
      <w:bookmarkEnd w:id="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DA4"/>
    <w:multiLevelType w:val="hybridMultilevel"/>
    <w:tmpl w:val="6D0E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7E7F"/>
    <w:multiLevelType w:val="hybridMultilevel"/>
    <w:tmpl w:val="61C663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0FE4"/>
    <w:multiLevelType w:val="hybridMultilevel"/>
    <w:tmpl w:val="DC38F2F4"/>
    <w:lvl w:ilvl="0" w:tplc="5D5AC62A">
      <w:numFmt w:val="bullet"/>
      <w:lvlText w:val="·"/>
      <w:lvlJc w:val="left"/>
      <w:pPr>
        <w:ind w:left="870" w:hanging="51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0DF9"/>
    <w:multiLevelType w:val="hybridMultilevel"/>
    <w:tmpl w:val="B4747E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F469D"/>
    <w:multiLevelType w:val="hybridMultilevel"/>
    <w:tmpl w:val="75CA2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0153"/>
    <w:multiLevelType w:val="hybridMultilevel"/>
    <w:tmpl w:val="EEFE1D52"/>
    <w:lvl w:ilvl="0" w:tplc="5D5AC62A">
      <w:numFmt w:val="bullet"/>
      <w:lvlText w:val="·"/>
      <w:lvlJc w:val="left"/>
      <w:pPr>
        <w:ind w:left="870" w:hanging="51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1504"/>
    <w:multiLevelType w:val="hybridMultilevel"/>
    <w:tmpl w:val="47CA65A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80C10"/>
    <w:multiLevelType w:val="hybridMultilevel"/>
    <w:tmpl w:val="9F5615E6"/>
    <w:lvl w:ilvl="0" w:tplc="CA5CC3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37EF5"/>
    <w:multiLevelType w:val="hybridMultilevel"/>
    <w:tmpl w:val="E744D878"/>
    <w:lvl w:ilvl="0" w:tplc="302C6FD6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06A0D"/>
    <w:multiLevelType w:val="hybridMultilevel"/>
    <w:tmpl w:val="3024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735D"/>
    <w:multiLevelType w:val="hybridMultilevel"/>
    <w:tmpl w:val="A06856A8"/>
    <w:lvl w:ilvl="0" w:tplc="97B8096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361A32"/>
    <w:multiLevelType w:val="hybridMultilevel"/>
    <w:tmpl w:val="FEF4898C"/>
    <w:lvl w:ilvl="0" w:tplc="8F08C802">
      <w:numFmt w:val="bullet"/>
      <w:lvlText w:val="·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D6010F"/>
    <w:multiLevelType w:val="hybridMultilevel"/>
    <w:tmpl w:val="A2C03F86"/>
    <w:lvl w:ilvl="0" w:tplc="97B809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5238E"/>
    <w:multiLevelType w:val="hybridMultilevel"/>
    <w:tmpl w:val="895AAA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A456D"/>
    <w:multiLevelType w:val="hybridMultilevel"/>
    <w:tmpl w:val="6D1AF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D3D67"/>
    <w:multiLevelType w:val="hybridMultilevel"/>
    <w:tmpl w:val="B4747E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1623">
    <w:abstractNumId w:val="15"/>
  </w:num>
  <w:num w:numId="2" w16cid:durableId="674571721">
    <w:abstractNumId w:val="2"/>
  </w:num>
  <w:num w:numId="3" w16cid:durableId="673529448">
    <w:abstractNumId w:val="13"/>
  </w:num>
  <w:num w:numId="4" w16cid:durableId="604459585">
    <w:abstractNumId w:val="3"/>
  </w:num>
  <w:num w:numId="5" w16cid:durableId="595402036">
    <w:abstractNumId w:val="5"/>
  </w:num>
  <w:num w:numId="6" w16cid:durableId="18240494">
    <w:abstractNumId w:val="10"/>
  </w:num>
  <w:num w:numId="7" w16cid:durableId="886602486">
    <w:abstractNumId w:val="12"/>
  </w:num>
  <w:num w:numId="8" w16cid:durableId="1861235492">
    <w:abstractNumId w:val="6"/>
  </w:num>
  <w:num w:numId="9" w16cid:durableId="719667884">
    <w:abstractNumId w:val="0"/>
  </w:num>
  <w:num w:numId="10" w16cid:durableId="1841850131">
    <w:abstractNumId w:val="8"/>
  </w:num>
  <w:num w:numId="11" w16cid:durableId="1625454593">
    <w:abstractNumId w:val="4"/>
  </w:num>
  <w:num w:numId="12" w16cid:durableId="1640960286">
    <w:abstractNumId w:val="11"/>
  </w:num>
  <w:num w:numId="13" w16cid:durableId="240915488">
    <w:abstractNumId w:val="14"/>
  </w:num>
  <w:num w:numId="14" w16cid:durableId="16859805">
    <w:abstractNumId w:val="9"/>
  </w:num>
  <w:num w:numId="15" w16cid:durableId="1013452759">
    <w:abstractNumId w:val="7"/>
  </w:num>
  <w:num w:numId="16" w16cid:durableId="89393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2sTQyNzEzMDexMDNT0lEKTi0uzszPAykwqQUAzZUWWiwAAAA="/>
  </w:docVars>
  <w:rsids>
    <w:rsidRoot w:val="00FB6371"/>
    <w:rsid w:val="00023A74"/>
    <w:rsid w:val="00041BBC"/>
    <w:rsid w:val="0006629D"/>
    <w:rsid w:val="000710DC"/>
    <w:rsid w:val="00071E3C"/>
    <w:rsid w:val="00081F7B"/>
    <w:rsid w:val="000A038F"/>
    <w:rsid w:val="000A2A4C"/>
    <w:rsid w:val="000B11E3"/>
    <w:rsid w:val="000B3FD7"/>
    <w:rsid w:val="000C143A"/>
    <w:rsid w:val="000C1F44"/>
    <w:rsid w:val="000D7575"/>
    <w:rsid w:val="000D7E2E"/>
    <w:rsid w:val="00116EB1"/>
    <w:rsid w:val="00126A14"/>
    <w:rsid w:val="001324FE"/>
    <w:rsid w:val="00176487"/>
    <w:rsid w:val="001A39AF"/>
    <w:rsid w:val="001B1FB1"/>
    <w:rsid w:val="001C6B8B"/>
    <w:rsid w:val="001E006F"/>
    <w:rsid w:val="001E458B"/>
    <w:rsid w:val="001F3D21"/>
    <w:rsid w:val="001F53D0"/>
    <w:rsid w:val="00220387"/>
    <w:rsid w:val="00220539"/>
    <w:rsid w:val="00295BE4"/>
    <w:rsid w:val="002A1471"/>
    <w:rsid w:val="002B2235"/>
    <w:rsid w:val="002B455A"/>
    <w:rsid w:val="002C1592"/>
    <w:rsid w:val="002D18D7"/>
    <w:rsid w:val="00305EFE"/>
    <w:rsid w:val="0031457C"/>
    <w:rsid w:val="00325256"/>
    <w:rsid w:val="00325FE2"/>
    <w:rsid w:val="003274EA"/>
    <w:rsid w:val="00353CBA"/>
    <w:rsid w:val="00364BAF"/>
    <w:rsid w:val="00367009"/>
    <w:rsid w:val="00373C46"/>
    <w:rsid w:val="00383148"/>
    <w:rsid w:val="003A07E3"/>
    <w:rsid w:val="003D4800"/>
    <w:rsid w:val="003E3A48"/>
    <w:rsid w:val="003F23BD"/>
    <w:rsid w:val="003F3197"/>
    <w:rsid w:val="004417D5"/>
    <w:rsid w:val="0045537D"/>
    <w:rsid w:val="00455D08"/>
    <w:rsid w:val="00456E01"/>
    <w:rsid w:val="004652B3"/>
    <w:rsid w:val="004878EF"/>
    <w:rsid w:val="004B5EDA"/>
    <w:rsid w:val="004C1952"/>
    <w:rsid w:val="005116AE"/>
    <w:rsid w:val="005125C4"/>
    <w:rsid w:val="00537151"/>
    <w:rsid w:val="00540B9C"/>
    <w:rsid w:val="00555596"/>
    <w:rsid w:val="00561CA0"/>
    <w:rsid w:val="00566F62"/>
    <w:rsid w:val="00577858"/>
    <w:rsid w:val="00587951"/>
    <w:rsid w:val="005E3460"/>
    <w:rsid w:val="005F4115"/>
    <w:rsid w:val="005F7842"/>
    <w:rsid w:val="006111EF"/>
    <w:rsid w:val="00613D3F"/>
    <w:rsid w:val="00633C75"/>
    <w:rsid w:val="0063581E"/>
    <w:rsid w:val="00672802"/>
    <w:rsid w:val="006816EE"/>
    <w:rsid w:val="006823F3"/>
    <w:rsid w:val="00682DD6"/>
    <w:rsid w:val="006D1515"/>
    <w:rsid w:val="006D6765"/>
    <w:rsid w:val="006E7F20"/>
    <w:rsid w:val="006F296C"/>
    <w:rsid w:val="006F2AB6"/>
    <w:rsid w:val="006F34D2"/>
    <w:rsid w:val="00702210"/>
    <w:rsid w:val="00721965"/>
    <w:rsid w:val="007748FD"/>
    <w:rsid w:val="007A69C9"/>
    <w:rsid w:val="007B36CD"/>
    <w:rsid w:val="007C1728"/>
    <w:rsid w:val="007D0D35"/>
    <w:rsid w:val="007D594D"/>
    <w:rsid w:val="007E1956"/>
    <w:rsid w:val="007E79D5"/>
    <w:rsid w:val="007F0AB3"/>
    <w:rsid w:val="007F3A09"/>
    <w:rsid w:val="008005BF"/>
    <w:rsid w:val="00804C35"/>
    <w:rsid w:val="00811A2D"/>
    <w:rsid w:val="00821C23"/>
    <w:rsid w:val="00834EC7"/>
    <w:rsid w:val="008414E1"/>
    <w:rsid w:val="00843331"/>
    <w:rsid w:val="008449DA"/>
    <w:rsid w:val="00851DBF"/>
    <w:rsid w:val="00860E23"/>
    <w:rsid w:val="00864113"/>
    <w:rsid w:val="00864353"/>
    <w:rsid w:val="00872CDD"/>
    <w:rsid w:val="008743AC"/>
    <w:rsid w:val="008B0311"/>
    <w:rsid w:val="008B2857"/>
    <w:rsid w:val="008B768C"/>
    <w:rsid w:val="008C67BB"/>
    <w:rsid w:val="00917DFA"/>
    <w:rsid w:val="00920B13"/>
    <w:rsid w:val="009623A4"/>
    <w:rsid w:val="00965944"/>
    <w:rsid w:val="009736CA"/>
    <w:rsid w:val="00980071"/>
    <w:rsid w:val="00983415"/>
    <w:rsid w:val="009A36FA"/>
    <w:rsid w:val="009A39E6"/>
    <w:rsid w:val="009A4555"/>
    <w:rsid w:val="009A5019"/>
    <w:rsid w:val="009A6CBC"/>
    <w:rsid w:val="009B2C0F"/>
    <w:rsid w:val="009C524D"/>
    <w:rsid w:val="009D1B4A"/>
    <w:rsid w:val="009E6B29"/>
    <w:rsid w:val="00A03756"/>
    <w:rsid w:val="00A27B49"/>
    <w:rsid w:val="00A33CAF"/>
    <w:rsid w:val="00A4676B"/>
    <w:rsid w:val="00A54D35"/>
    <w:rsid w:val="00A56A79"/>
    <w:rsid w:val="00A57911"/>
    <w:rsid w:val="00A859D6"/>
    <w:rsid w:val="00A94E9E"/>
    <w:rsid w:val="00A96DDF"/>
    <w:rsid w:val="00AA085A"/>
    <w:rsid w:val="00AB125E"/>
    <w:rsid w:val="00AB2B12"/>
    <w:rsid w:val="00AC29D3"/>
    <w:rsid w:val="00AD616F"/>
    <w:rsid w:val="00AD658D"/>
    <w:rsid w:val="00AF46CF"/>
    <w:rsid w:val="00B006D1"/>
    <w:rsid w:val="00B312F8"/>
    <w:rsid w:val="00B50E79"/>
    <w:rsid w:val="00B54CDE"/>
    <w:rsid w:val="00B559E3"/>
    <w:rsid w:val="00B7296A"/>
    <w:rsid w:val="00B9556D"/>
    <w:rsid w:val="00BE1FD3"/>
    <w:rsid w:val="00BF2B64"/>
    <w:rsid w:val="00C02DAD"/>
    <w:rsid w:val="00C10416"/>
    <w:rsid w:val="00C15120"/>
    <w:rsid w:val="00C50257"/>
    <w:rsid w:val="00C55F50"/>
    <w:rsid w:val="00C61A99"/>
    <w:rsid w:val="00C729C9"/>
    <w:rsid w:val="00C91E9C"/>
    <w:rsid w:val="00C94D78"/>
    <w:rsid w:val="00CB0E63"/>
    <w:rsid w:val="00CB32CF"/>
    <w:rsid w:val="00CB3E12"/>
    <w:rsid w:val="00CF0F8C"/>
    <w:rsid w:val="00CF6236"/>
    <w:rsid w:val="00D057DF"/>
    <w:rsid w:val="00D24109"/>
    <w:rsid w:val="00D52A7F"/>
    <w:rsid w:val="00D557BE"/>
    <w:rsid w:val="00D616A7"/>
    <w:rsid w:val="00D87391"/>
    <w:rsid w:val="00DC3B43"/>
    <w:rsid w:val="00DC4194"/>
    <w:rsid w:val="00DF22FA"/>
    <w:rsid w:val="00E2141E"/>
    <w:rsid w:val="00E33332"/>
    <w:rsid w:val="00E34A78"/>
    <w:rsid w:val="00E518A7"/>
    <w:rsid w:val="00E55BD4"/>
    <w:rsid w:val="00E55C90"/>
    <w:rsid w:val="00E578EA"/>
    <w:rsid w:val="00E60966"/>
    <w:rsid w:val="00E97D93"/>
    <w:rsid w:val="00EA5FE1"/>
    <w:rsid w:val="00EB7F79"/>
    <w:rsid w:val="00EC4AA3"/>
    <w:rsid w:val="00ED1684"/>
    <w:rsid w:val="00EF02BF"/>
    <w:rsid w:val="00F0454C"/>
    <w:rsid w:val="00F07B55"/>
    <w:rsid w:val="00F10A57"/>
    <w:rsid w:val="00F112FA"/>
    <w:rsid w:val="00F34641"/>
    <w:rsid w:val="00F37931"/>
    <w:rsid w:val="00F40AB6"/>
    <w:rsid w:val="00F5177E"/>
    <w:rsid w:val="00F55151"/>
    <w:rsid w:val="00F7418F"/>
    <w:rsid w:val="00FA1CFA"/>
    <w:rsid w:val="00FB6371"/>
    <w:rsid w:val="00FC326B"/>
    <w:rsid w:val="00FD0838"/>
    <w:rsid w:val="00FD3ADD"/>
    <w:rsid w:val="00FE4E89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2350C"/>
  <w15:docId w15:val="{5B6E2B61-D214-4E22-B68C-52B7C8C7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7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37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B6371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6371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C419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4194"/>
    <w:pPr>
      <w:ind w:left="720"/>
      <w:contextualSpacing/>
    </w:pPr>
  </w:style>
  <w:style w:type="table" w:styleId="TableGrid">
    <w:name w:val="Table Grid"/>
    <w:basedOn w:val="TableNormal"/>
    <w:uiPriority w:val="59"/>
    <w:rsid w:val="0055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2C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0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C0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0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C0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0F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C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C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CD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56A7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804C35"/>
    <w:pPr>
      <w:ind w:left="284" w:right="425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8795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65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D658D"/>
  </w:style>
  <w:style w:type="character" w:customStyle="1" w:styleId="eop">
    <w:name w:val="eop"/>
    <w:basedOn w:val="DefaultParagraphFont"/>
    <w:rsid w:val="00AD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kri.org/councils/epsrc/remit-programmes-and-priori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kri.org/councils/epsrc/career-and-skills-development/studentships/industrial-cas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kri.org/councils/epsrc/career-and-skills-development/studentships/doctoral-training-partnership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kri.org/councils/epsrc/remit-programmes-and-priorities/our-research-portfolio-and-prioriti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kri.org/councils/epsrc/remit-programmes-and-priorities/our-research-portfolio-and-prior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4F34-93E4-46EC-B58F-49F20790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705</Words>
  <Characters>4635</Characters>
  <Application>Microsoft Office Word</Application>
  <DocSecurity>0</DocSecurity>
  <Lines>118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Anusarin Lowe</dc:creator>
  <cp:lastModifiedBy>Tasleem Hanif</cp:lastModifiedBy>
  <cp:revision>19</cp:revision>
  <dcterms:created xsi:type="dcterms:W3CDTF">2023-11-13T11:43:00Z</dcterms:created>
  <dcterms:modified xsi:type="dcterms:W3CDTF">2023-12-05T13:53:00Z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fdc1e8e4cfa37c998da4a889d8ca65d2fcebf3841d6caee9b8fd815e87551337</vt:lpwstr>
  </property>
</Properties>
</file>