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581"/>
        <w:gridCol w:w="407"/>
        <w:gridCol w:w="6681"/>
      </w:tblGrid>
      <w:tr w:rsidR="0063304D" w:rsidRPr="004F20E8" w14:paraId="0AA56702" w14:textId="77777777" w:rsidTr="260026B7">
        <w:trPr>
          <w:trHeight w:val="1004"/>
        </w:trPr>
        <w:tc>
          <w:tcPr>
            <w:tcW w:w="9669" w:type="dxa"/>
            <w:gridSpan w:val="3"/>
            <w:shd w:val="clear" w:color="auto" w:fill="7030A0"/>
          </w:tcPr>
          <w:p w14:paraId="2E6A6AA8" w14:textId="77777777" w:rsidR="0063304D" w:rsidRPr="004F20E8" w:rsidRDefault="0063304D" w:rsidP="0063304D">
            <w:pPr>
              <w:jc w:val="center"/>
              <w:rPr>
                <w:rFonts w:cstheme="minorHAnsi"/>
                <w:b/>
                <w:sz w:val="28"/>
                <w:szCs w:val="28"/>
              </w:rPr>
            </w:pPr>
          </w:p>
          <w:p w14:paraId="438A7C82" w14:textId="6B8D23C1" w:rsidR="0063304D" w:rsidRPr="004F20E8" w:rsidRDefault="00345BBB" w:rsidP="260026B7">
            <w:pPr>
              <w:jc w:val="center"/>
              <w:rPr>
                <w:b/>
                <w:bCs/>
                <w:color w:val="FFFFFF" w:themeColor="background1"/>
                <w:sz w:val="28"/>
                <w:szCs w:val="28"/>
              </w:rPr>
            </w:pPr>
            <w:r w:rsidRPr="260026B7">
              <w:rPr>
                <w:b/>
                <w:bCs/>
                <w:color w:val="FFFFFF" w:themeColor="background1"/>
                <w:sz w:val="28"/>
                <w:szCs w:val="28"/>
              </w:rPr>
              <w:t xml:space="preserve">PGR </w:t>
            </w:r>
            <w:r w:rsidR="0063304D" w:rsidRPr="260026B7">
              <w:rPr>
                <w:b/>
                <w:bCs/>
                <w:color w:val="FFFFFF" w:themeColor="background1"/>
                <w:sz w:val="28"/>
                <w:szCs w:val="28"/>
              </w:rPr>
              <w:t xml:space="preserve">Course unit outline </w:t>
            </w:r>
            <w:r w:rsidR="00F57768" w:rsidRPr="260026B7">
              <w:rPr>
                <w:b/>
                <w:bCs/>
                <w:color w:val="FFFFFF" w:themeColor="background1"/>
                <w:sz w:val="28"/>
                <w:szCs w:val="28"/>
              </w:rPr>
              <w:t>202</w:t>
            </w:r>
            <w:r w:rsidR="001A61ED">
              <w:rPr>
                <w:b/>
                <w:bCs/>
                <w:color w:val="FFFFFF" w:themeColor="background1"/>
                <w:sz w:val="28"/>
                <w:szCs w:val="28"/>
              </w:rPr>
              <w:t>6-27</w:t>
            </w:r>
          </w:p>
          <w:p w14:paraId="32D75A06" w14:textId="77777777" w:rsidR="0063304D" w:rsidRPr="004F20E8" w:rsidRDefault="0063304D" w:rsidP="00A678DF">
            <w:pPr>
              <w:jc w:val="center"/>
              <w:rPr>
                <w:rFonts w:cstheme="minorHAnsi"/>
                <w:b/>
                <w:sz w:val="28"/>
                <w:szCs w:val="28"/>
              </w:rPr>
            </w:pPr>
          </w:p>
        </w:tc>
      </w:tr>
      <w:tr w:rsidR="008418D5" w:rsidRPr="004F20E8" w14:paraId="1DC94FE5" w14:textId="77777777" w:rsidTr="260026B7">
        <w:tc>
          <w:tcPr>
            <w:tcW w:w="2988" w:type="dxa"/>
            <w:gridSpan w:val="2"/>
            <w:shd w:val="clear" w:color="auto" w:fill="D9D9D9" w:themeFill="background1" w:themeFillShade="D9"/>
          </w:tcPr>
          <w:p w14:paraId="066D6E81" w14:textId="77777777" w:rsidR="008418D5" w:rsidRPr="004F20E8" w:rsidRDefault="008418D5" w:rsidP="008418D5">
            <w:pPr>
              <w:rPr>
                <w:rFonts w:cstheme="minorHAnsi"/>
                <w:b/>
                <w:color w:val="FF0000"/>
                <w:sz w:val="28"/>
                <w:szCs w:val="28"/>
              </w:rPr>
            </w:pPr>
            <w:r w:rsidRPr="004F20E8">
              <w:rPr>
                <w:rFonts w:cstheme="minorHAnsi"/>
                <w:b/>
                <w:sz w:val="24"/>
                <w:szCs w:val="24"/>
              </w:rPr>
              <w:t xml:space="preserve">Unit code: </w:t>
            </w:r>
          </w:p>
        </w:tc>
        <w:tc>
          <w:tcPr>
            <w:tcW w:w="6681" w:type="dxa"/>
          </w:tcPr>
          <w:p w14:paraId="2F34F5E0" w14:textId="6554FDBB" w:rsidR="008418D5" w:rsidRPr="004F20E8" w:rsidRDefault="008418D5" w:rsidP="008418D5">
            <w:pPr>
              <w:rPr>
                <w:rFonts w:cstheme="minorHAnsi"/>
                <w:b/>
              </w:rPr>
            </w:pPr>
            <w:r w:rsidRPr="004F20E8">
              <w:rPr>
                <w:rFonts w:cstheme="minorHAnsi"/>
                <w:b/>
              </w:rPr>
              <w:t>BMAN80711</w:t>
            </w:r>
          </w:p>
        </w:tc>
      </w:tr>
      <w:tr w:rsidR="008418D5" w:rsidRPr="004F20E8" w14:paraId="2E4DE408" w14:textId="77777777" w:rsidTr="260026B7">
        <w:tc>
          <w:tcPr>
            <w:tcW w:w="2988" w:type="dxa"/>
            <w:gridSpan w:val="2"/>
            <w:shd w:val="clear" w:color="auto" w:fill="D9D9D9" w:themeFill="background1" w:themeFillShade="D9"/>
          </w:tcPr>
          <w:p w14:paraId="4F0ABC89" w14:textId="77777777" w:rsidR="008418D5" w:rsidRPr="004F20E8" w:rsidRDefault="008418D5" w:rsidP="008418D5">
            <w:pPr>
              <w:rPr>
                <w:rFonts w:cstheme="minorHAnsi"/>
                <w:b/>
                <w:sz w:val="24"/>
                <w:szCs w:val="24"/>
              </w:rPr>
            </w:pPr>
            <w:r w:rsidRPr="004F20E8">
              <w:rPr>
                <w:rFonts w:cstheme="minorHAnsi"/>
                <w:b/>
                <w:sz w:val="24"/>
                <w:szCs w:val="24"/>
              </w:rPr>
              <w:t>Title:</w:t>
            </w:r>
          </w:p>
        </w:tc>
        <w:tc>
          <w:tcPr>
            <w:tcW w:w="6681" w:type="dxa"/>
          </w:tcPr>
          <w:p w14:paraId="69EFC462" w14:textId="0896D836" w:rsidR="008418D5" w:rsidRPr="004F20E8" w:rsidRDefault="008418D5" w:rsidP="008418D5">
            <w:pPr>
              <w:rPr>
                <w:rFonts w:cstheme="minorHAnsi"/>
                <w:bCs/>
                <w:color w:val="FF0000"/>
              </w:rPr>
            </w:pPr>
            <w:r w:rsidRPr="004F20E8">
              <w:rPr>
                <w:rFonts w:cstheme="minorHAnsi"/>
                <w:b/>
                <w:smallCaps/>
              </w:rPr>
              <w:t>Empirical Corporate Finance</w:t>
            </w:r>
          </w:p>
        </w:tc>
      </w:tr>
      <w:tr w:rsidR="008418D5" w:rsidRPr="004F20E8" w14:paraId="0C5A8F3C" w14:textId="77777777" w:rsidTr="260026B7">
        <w:tc>
          <w:tcPr>
            <w:tcW w:w="2988" w:type="dxa"/>
            <w:gridSpan w:val="2"/>
            <w:shd w:val="clear" w:color="auto" w:fill="D9D9D9" w:themeFill="background1" w:themeFillShade="D9"/>
          </w:tcPr>
          <w:p w14:paraId="7D31C71E" w14:textId="77777777" w:rsidR="008418D5" w:rsidRPr="004F20E8" w:rsidRDefault="008418D5" w:rsidP="008418D5">
            <w:pPr>
              <w:rPr>
                <w:rFonts w:cstheme="minorHAnsi"/>
                <w:b/>
                <w:sz w:val="24"/>
                <w:szCs w:val="24"/>
              </w:rPr>
            </w:pPr>
            <w:r w:rsidRPr="004F20E8">
              <w:rPr>
                <w:rFonts w:cstheme="minorHAnsi"/>
                <w:b/>
                <w:sz w:val="24"/>
                <w:szCs w:val="24"/>
              </w:rPr>
              <w:t>Credit value:</w:t>
            </w:r>
          </w:p>
        </w:tc>
        <w:tc>
          <w:tcPr>
            <w:tcW w:w="6681" w:type="dxa"/>
          </w:tcPr>
          <w:p w14:paraId="79B0BD49" w14:textId="1DF14AF6" w:rsidR="008418D5" w:rsidRPr="004F20E8" w:rsidRDefault="008418D5" w:rsidP="008418D5">
            <w:pPr>
              <w:rPr>
                <w:rFonts w:cstheme="minorHAnsi"/>
                <w:bCs/>
                <w:color w:val="FF0000"/>
              </w:rPr>
            </w:pPr>
            <w:r w:rsidRPr="004F20E8">
              <w:rPr>
                <w:rFonts w:cstheme="minorHAnsi"/>
                <w:b/>
              </w:rPr>
              <w:t>15</w:t>
            </w:r>
          </w:p>
        </w:tc>
      </w:tr>
      <w:tr w:rsidR="008418D5" w:rsidRPr="004F20E8" w14:paraId="5C1051B7" w14:textId="77777777" w:rsidTr="260026B7">
        <w:tc>
          <w:tcPr>
            <w:tcW w:w="2988" w:type="dxa"/>
            <w:gridSpan w:val="2"/>
            <w:shd w:val="clear" w:color="auto" w:fill="D9D9D9" w:themeFill="background1" w:themeFillShade="D9"/>
          </w:tcPr>
          <w:p w14:paraId="0935B210" w14:textId="77777777" w:rsidR="008418D5" w:rsidRPr="004F20E8" w:rsidRDefault="008418D5" w:rsidP="008418D5">
            <w:pPr>
              <w:rPr>
                <w:rFonts w:cstheme="minorHAnsi"/>
                <w:b/>
                <w:sz w:val="24"/>
                <w:szCs w:val="24"/>
              </w:rPr>
            </w:pPr>
            <w:r w:rsidRPr="004F20E8">
              <w:rPr>
                <w:rFonts w:cstheme="minorHAnsi"/>
                <w:b/>
                <w:sz w:val="24"/>
                <w:szCs w:val="24"/>
              </w:rPr>
              <w:t>Semester:</w:t>
            </w:r>
          </w:p>
        </w:tc>
        <w:tc>
          <w:tcPr>
            <w:tcW w:w="6681" w:type="dxa"/>
          </w:tcPr>
          <w:p w14:paraId="6BFCCB4E" w14:textId="4CD593D0" w:rsidR="008418D5" w:rsidRPr="004F20E8" w:rsidRDefault="008418D5" w:rsidP="008418D5">
            <w:pPr>
              <w:rPr>
                <w:rFonts w:cstheme="minorHAnsi"/>
                <w:bCs/>
                <w:color w:val="FF0000"/>
              </w:rPr>
            </w:pPr>
            <w:r w:rsidRPr="004F20E8">
              <w:rPr>
                <w:rFonts w:cstheme="minorHAnsi"/>
                <w:b/>
              </w:rPr>
              <w:t>1</w:t>
            </w:r>
          </w:p>
        </w:tc>
      </w:tr>
      <w:tr w:rsidR="008418D5" w:rsidRPr="004F20E8" w14:paraId="421D5FB4" w14:textId="77777777" w:rsidTr="260026B7">
        <w:tc>
          <w:tcPr>
            <w:tcW w:w="2988" w:type="dxa"/>
            <w:gridSpan w:val="2"/>
            <w:shd w:val="clear" w:color="auto" w:fill="D9D9D9" w:themeFill="background1" w:themeFillShade="D9"/>
          </w:tcPr>
          <w:p w14:paraId="791BC659" w14:textId="72268B97" w:rsidR="008418D5" w:rsidRPr="004F20E8" w:rsidRDefault="008418D5" w:rsidP="008418D5">
            <w:pPr>
              <w:rPr>
                <w:rFonts w:cstheme="minorHAnsi"/>
                <w:b/>
                <w:sz w:val="24"/>
                <w:szCs w:val="24"/>
              </w:rPr>
            </w:pPr>
            <w:r w:rsidRPr="004F20E8">
              <w:rPr>
                <w:rFonts w:cstheme="minorHAnsi"/>
                <w:b/>
                <w:sz w:val="24"/>
                <w:szCs w:val="24"/>
              </w:rPr>
              <w:t>Course Coordinator name and</w:t>
            </w:r>
          </w:p>
          <w:p w14:paraId="3995419D" w14:textId="77777777" w:rsidR="008418D5" w:rsidRPr="004F20E8" w:rsidRDefault="008418D5" w:rsidP="008418D5">
            <w:pPr>
              <w:rPr>
                <w:rFonts w:cstheme="minorHAnsi"/>
                <w:b/>
                <w:sz w:val="24"/>
                <w:szCs w:val="24"/>
              </w:rPr>
            </w:pPr>
            <w:r w:rsidRPr="004F20E8">
              <w:rPr>
                <w:rFonts w:cstheme="minorHAnsi"/>
                <w:b/>
                <w:sz w:val="24"/>
                <w:szCs w:val="24"/>
              </w:rPr>
              <w:t>contact details:</w:t>
            </w:r>
          </w:p>
        </w:tc>
        <w:tc>
          <w:tcPr>
            <w:tcW w:w="6681" w:type="dxa"/>
          </w:tcPr>
          <w:p w14:paraId="3894613D" w14:textId="07E3C7D5" w:rsidR="008418D5" w:rsidRPr="004F20E8" w:rsidRDefault="008418D5" w:rsidP="008418D5">
            <w:pPr>
              <w:rPr>
                <w:rFonts w:cstheme="minorHAnsi"/>
              </w:rPr>
            </w:pPr>
            <w:r w:rsidRPr="004F20E8">
              <w:rPr>
                <w:rFonts w:cstheme="minorHAnsi"/>
              </w:rPr>
              <w:t xml:space="preserve">Prof. </w:t>
            </w:r>
            <w:r w:rsidR="001A61ED">
              <w:rPr>
                <w:rFonts w:cstheme="minorHAnsi"/>
              </w:rPr>
              <w:t>Dushyant Vyas (University of Toronto)</w:t>
            </w:r>
          </w:p>
          <w:p w14:paraId="2F63305C" w14:textId="77777777" w:rsidR="008418D5" w:rsidRPr="004F20E8" w:rsidRDefault="008418D5" w:rsidP="008418D5">
            <w:pPr>
              <w:rPr>
                <w:rFonts w:cstheme="minorHAnsi"/>
              </w:rPr>
            </w:pPr>
          </w:p>
          <w:p w14:paraId="2E02F27D" w14:textId="0B43130A" w:rsidR="008418D5" w:rsidRPr="004F20E8" w:rsidRDefault="008418D5" w:rsidP="008418D5">
            <w:pPr>
              <w:rPr>
                <w:rFonts w:cstheme="minorHAnsi"/>
                <w:bCs/>
                <w:color w:val="FF0000"/>
              </w:rPr>
            </w:pPr>
            <w:r w:rsidRPr="004F20E8">
              <w:rPr>
                <w:rFonts w:cstheme="minorHAnsi"/>
              </w:rPr>
              <w:t>Prof. Roberto Mura (AMBS)</w:t>
            </w:r>
          </w:p>
        </w:tc>
      </w:tr>
      <w:tr w:rsidR="008418D5" w:rsidRPr="004F20E8" w14:paraId="216AD27D" w14:textId="77777777" w:rsidTr="260026B7">
        <w:tc>
          <w:tcPr>
            <w:tcW w:w="2988" w:type="dxa"/>
            <w:gridSpan w:val="2"/>
            <w:shd w:val="clear" w:color="auto" w:fill="D9D9D9" w:themeFill="background1" w:themeFillShade="D9"/>
          </w:tcPr>
          <w:p w14:paraId="7BED625D" w14:textId="77777777" w:rsidR="008418D5" w:rsidRPr="004F20E8" w:rsidRDefault="008418D5" w:rsidP="008418D5">
            <w:pPr>
              <w:rPr>
                <w:rFonts w:cstheme="minorHAnsi"/>
                <w:b/>
                <w:sz w:val="24"/>
                <w:szCs w:val="24"/>
              </w:rPr>
            </w:pPr>
            <w:r w:rsidRPr="004F20E8">
              <w:rPr>
                <w:rFonts w:cstheme="minorHAnsi"/>
                <w:b/>
                <w:sz w:val="24"/>
                <w:szCs w:val="24"/>
              </w:rPr>
              <w:t>Other staff involved contact details:</w:t>
            </w:r>
          </w:p>
        </w:tc>
        <w:tc>
          <w:tcPr>
            <w:tcW w:w="6681" w:type="dxa"/>
          </w:tcPr>
          <w:p w14:paraId="273E2367" w14:textId="70D54E7E" w:rsidR="008418D5" w:rsidRPr="004F20E8" w:rsidRDefault="001A61ED" w:rsidP="008418D5">
            <w:pPr>
              <w:spacing w:before="120" w:after="120"/>
              <w:jc w:val="both"/>
              <w:rPr>
                <w:rFonts w:cstheme="minorHAnsi"/>
              </w:rPr>
            </w:pPr>
            <w:r>
              <w:rPr>
                <w:rFonts w:cstheme="minorHAnsi"/>
              </w:rPr>
              <w:t>C</w:t>
            </w:r>
            <w:r w:rsidR="008418D5" w:rsidRPr="004F20E8">
              <w:rPr>
                <w:rFonts w:cstheme="minorHAnsi"/>
              </w:rPr>
              <w:t>oordinator on campus Prof. Maria Marchica</w:t>
            </w:r>
          </w:p>
          <w:p w14:paraId="5CE39227" w14:textId="15E0E5CF" w:rsidR="008418D5" w:rsidRPr="004F20E8" w:rsidRDefault="008418D5" w:rsidP="008418D5">
            <w:pPr>
              <w:rPr>
                <w:rFonts w:cstheme="minorHAnsi"/>
                <w:bCs/>
              </w:rPr>
            </w:pPr>
            <w:hyperlink r:id="rId11" w:history="1">
              <w:r w:rsidRPr="004F20E8">
                <w:rPr>
                  <w:rStyle w:val="Hyperlink"/>
                  <w:rFonts w:cstheme="minorHAnsi"/>
                </w:rPr>
                <w:t>maria.marchica@manchester.ac.uk</w:t>
              </w:r>
            </w:hyperlink>
            <w:r w:rsidRPr="004F20E8">
              <w:rPr>
                <w:rFonts w:cstheme="minorHAnsi"/>
              </w:rPr>
              <w:t>; AMBS 4.029</w:t>
            </w:r>
          </w:p>
        </w:tc>
      </w:tr>
      <w:tr w:rsidR="008418D5" w:rsidRPr="004F20E8" w14:paraId="295C32C8" w14:textId="77777777" w:rsidTr="260026B7">
        <w:tc>
          <w:tcPr>
            <w:tcW w:w="2988" w:type="dxa"/>
            <w:gridSpan w:val="2"/>
            <w:shd w:val="clear" w:color="auto" w:fill="D9D9D9" w:themeFill="background1" w:themeFillShade="D9"/>
          </w:tcPr>
          <w:p w14:paraId="1A19C39A" w14:textId="77777777" w:rsidR="008418D5" w:rsidRPr="004F20E8" w:rsidRDefault="008418D5" w:rsidP="008418D5">
            <w:pPr>
              <w:rPr>
                <w:rFonts w:cstheme="minorHAnsi"/>
                <w:b/>
                <w:sz w:val="24"/>
                <w:szCs w:val="24"/>
              </w:rPr>
            </w:pPr>
            <w:r w:rsidRPr="004F20E8">
              <w:rPr>
                <w:rFonts w:cstheme="minorHAnsi"/>
                <w:b/>
                <w:sz w:val="24"/>
                <w:szCs w:val="24"/>
              </w:rPr>
              <w:t>Pre-requisites</w:t>
            </w:r>
          </w:p>
          <w:p w14:paraId="6971BBA4" w14:textId="77777777" w:rsidR="008418D5" w:rsidRPr="004F20E8" w:rsidRDefault="008418D5" w:rsidP="008418D5">
            <w:pPr>
              <w:rPr>
                <w:rFonts w:cstheme="minorHAnsi"/>
                <w:b/>
                <w:sz w:val="24"/>
                <w:szCs w:val="24"/>
              </w:rPr>
            </w:pPr>
            <w:r w:rsidRPr="004F20E8">
              <w:rPr>
                <w:rFonts w:cstheme="minorHAnsi"/>
                <w:b/>
                <w:sz w:val="24"/>
                <w:szCs w:val="24"/>
              </w:rPr>
              <w:t>Co-requisites</w:t>
            </w:r>
          </w:p>
          <w:p w14:paraId="4B387478" w14:textId="77777777" w:rsidR="008418D5" w:rsidRPr="004F20E8" w:rsidRDefault="008418D5" w:rsidP="008418D5">
            <w:pPr>
              <w:rPr>
                <w:rFonts w:cstheme="minorHAnsi"/>
                <w:b/>
                <w:sz w:val="24"/>
                <w:szCs w:val="24"/>
              </w:rPr>
            </w:pPr>
            <w:r w:rsidRPr="004F20E8">
              <w:rPr>
                <w:rFonts w:cstheme="minorHAnsi"/>
                <w:b/>
                <w:sz w:val="24"/>
                <w:szCs w:val="24"/>
              </w:rPr>
              <w:t>Dependent course units</w:t>
            </w:r>
          </w:p>
          <w:p w14:paraId="4FD8FD07" w14:textId="77777777" w:rsidR="008418D5" w:rsidRPr="004F20E8" w:rsidRDefault="008418D5" w:rsidP="008418D5">
            <w:pPr>
              <w:rPr>
                <w:rFonts w:cstheme="minorHAnsi"/>
                <w:b/>
                <w:sz w:val="24"/>
                <w:szCs w:val="24"/>
              </w:rPr>
            </w:pPr>
            <w:r w:rsidRPr="004F20E8">
              <w:rPr>
                <w:rFonts w:cstheme="minorHAnsi"/>
                <w:b/>
                <w:sz w:val="24"/>
                <w:szCs w:val="24"/>
              </w:rPr>
              <w:t>Restrictions</w:t>
            </w:r>
          </w:p>
        </w:tc>
        <w:tc>
          <w:tcPr>
            <w:tcW w:w="6681" w:type="dxa"/>
          </w:tcPr>
          <w:p w14:paraId="526FE2CA" w14:textId="1774E91B" w:rsidR="008418D5" w:rsidRPr="004F20E8" w:rsidRDefault="008418D5" w:rsidP="008418D5">
            <w:pPr>
              <w:rPr>
                <w:rFonts w:cstheme="minorHAnsi"/>
                <w:bCs/>
              </w:rPr>
            </w:pPr>
            <w:r w:rsidRPr="004F20E8">
              <w:rPr>
                <w:rFonts w:cstheme="minorHAnsi"/>
                <w:iCs/>
              </w:rPr>
              <w:t>This course is compulsory all Finance and MBAR students. It is optional for Qualitative Accounting students.</w:t>
            </w:r>
          </w:p>
        </w:tc>
      </w:tr>
      <w:tr w:rsidR="008418D5" w:rsidRPr="004F20E8" w14:paraId="285BFD08" w14:textId="6FDD034C" w:rsidTr="260026B7">
        <w:tc>
          <w:tcPr>
            <w:tcW w:w="9669" w:type="dxa"/>
            <w:gridSpan w:val="3"/>
            <w:shd w:val="clear" w:color="auto" w:fill="7030A0"/>
          </w:tcPr>
          <w:p w14:paraId="5114DC80"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Course unit overview</w:t>
            </w:r>
          </w:p>
        </w:tc>
      </w:tr>
      <w:tr w:rsidR="008418D5" w:rsidRPr="004F20E8" w14:paraId="6D2650E5" w14:textId="77777777" w:rsidTr="260026B7">
        <w:tc>
          <w:tcPr>
            <w:tcW w:w="9669" w:type="dxa"/>
            <w:gridSpan w:val="3"/>
          </w:tcPr>
          <w:p w14:paraId="10113FAE" w14:textId="7D4C9F04" w:rsidR="008418D5" w:rsidRPr="004F20E8" w:rsidRDefault="008418D5" w:rsidP="008418D5">
            <w:pPr>
              <w:spacing w:before="120" w:after="120"/>
              <w:rPr>
                <w:rFonts w:cstheme="minorHAnsi"/>
              </w:rPr>
            </w:pPr>
            <w:r w:rsidRPr="004F20E8">
              <w:rPr>
                <w:rFonts w:cstheme="minorHAnsi"/>
              </w:rPr>
              <w:br w:type="page"/>
              <w:t xml:space="preserve">This is a thorough PhD level class covering modern empirical work.  </w:t>
            </w:r>
          </w:p>
          <w:p w14:paraId="613C9B7F" w14:textId="51182EC6" w:rsidR="008418D5" w:rsidRPr="004F20E8" w:rsidRDefault="008418D5" w:rsidP="008418D5">
            <w:pPr>
              <w:rPr>
                <w:rFonts w:cstheme="minorHAnsi"/>
                <w:b/>
                <w:color w:val="FFFFFF" w:themeColor="background1"/>
                <w:sz w:val="24"/>
                <w:szCs w:val="24"/>
              </w:rPr>
            </w:pPr>
          </w:p>
        </w:tc>
      </w:tr>
      <w:tr w:rsidR="008418D5" w:rsidRPr="004F20E8" w14:paraId="28ABC896" w14:textId="77777777" w:rsidTr="260026B7">
        <w:tc>
          <w:tcPr>
            <w:tcW w:w="9669" w:type="dxa"/>
            <w:gridSpan w:val="3"/>
            <w:shd w:val="clear" w:color="auto" w:fill="7030A0"/>
          </w:tcPr>
          <w:p w14:paraId="71FA4166"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Aims</w:t>
            </w:r>
          </w:p>
        </w:tc>
      </w:tr>
      <w:tr w:rsidR="008418D5" w:rsidRPr="004F20E8" w14:paraId="5A0F02A9" w14:textId="77777777" w:rsidTr="260026B7">
        <w:tc>
          <w:tcPr>
            <w:tcW w:w="9669" w:type="dxa"/>
            <w:gridSpan w:val="3"/>
          </w:tcPr>
          <w:p w14:paraId="05AE01DB" w14:textId="77777777" w:rsidR="008418D5" w:rsidRPr="004F20E8" w:rsidRDefault="008418D5" w:rsidP="008418D5">
            <w:pPr>
              <w:pStyle w:val="Paper"/>
              <w:spacing w:before="0" w:after="0" w:line="240" w:lineRule="auto"/>
              <w:rPr>
                <w:rFonts w:asciiTheme="minorHAnsi" w:hAnsiTheme="minorHAnsi" w:cstheme="minorHAnsi"/>
                <w:bCs/>
                <w:sz w:val="22"/>
                <w:szCs w:val="22"/>
              </w:rPr>
            </w:pPr>
            <w:r w:rsidRPr="004F20E8">
              <w:rPr>
                <w:rFonts w:asciiTheme="minorHAnsi" w:hAnsiTheme="minorHAnsi" w:cstheme="minorHAnsi"/>
                <w:sz w:val="22"/>
                <w:szCs w:val="22"/>
              </w:rPr>
              <w:t>This is a thorough PhD level class covering modern empirical work. For concreteness, the course is designed to help students understand how to operationalize empirical research on topics that are central to corporate finance. The overarching goal is to expose students to “state-of-the-art” empirical research methods and prepare them to conduct their own work using new tools. All students with an interest in finance, economics, accounting, human resources, and related disciplines are welcome to take the course.</w:t>
            </w:r>
            <w:r w:rsidRPr="004F20E8">
              <w:rPr>
                <w:rFonts w:asciiTheme="minorHAnsi" w:hAnsiTheme="minorHAnsi" w:cstheme="minorHAnsi"/>
                <w:bCs/>
                <w:sz w:val="22"/>
                <w:szCs w:val="22"/>
              </w:rPr>
              <w:t xml:space="preserve"> </w:t>
            </w:r>
          </w:p>
          <w:p w14:paraId="220CA47D" w14:textId="1093D6E3" w:rsidR="008418D5" w:rsidRPr="004F20E8" w:rsidRDefault="008418D5" w:rsidP="008418D5">
            <w:pPr>
              <w:jc w:val="both"/>
              <w:rPr>
                <w:rFonts w:cstheme="minorHAnsi"/>
                <w:b/>
                <w:sz w:val="24"/>
                <w:szCs w:val="24"/>
              </w:rPr>
            </w:pPr>
          </w:p>
        </w:tc>
      </w:tr>
      <w:tr w:rsidR="008418D5" w:rsidRPr="004F20E8" w14:paraId="6C492A6E" w14:textId="77777777" w:rsidTr="260026B7">
        <w:tc>
          <w:tcPr>
            <w:tcW w:w="9669" w:type="dxa"/>
            <w:gridSpan w:val="3"/>
            <w:shd w:val="clear" w:color="auto" w:fill="7030A0"/>
          </w:tcPr>
          <w:p w14:paraId="0CE5F087"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Objectives (Learning outcomes)</w:t>
            </w:r>
          </w:p>
        </w:tc>
      </w:tr>
      <w:tr w:rsidR="008418D5" w:rsidRPr="004F20E8" w14:paraId="77604329" w14:textId="77777777" w:rsidTr="260026B7">
        <w:tc>
          <w:tcPr>
            <w:tcW w:w="9669" w:type="dxa"/>
            <w:gridSpan w:val="3"/>
          </w:tcPr>
          <w:p w14:paraId="0978749E" w14:textId="77777777" w:rsidR="008418D5" w:rsidRPr="004F20E8" w:rsidRDefault="008418D5" w:rsidP="008418D5">
            <w:pPr>
              <w:pStyle w:val="Paper"/>
              <w:spacing w:before="0" w:after="0" w:line="240" w:lineRule="auto"/>
              <w:rPr>
                <w:rFonts w:asciiTheme="minorHAnsi" w:hAnsiTheme="minorHAnsi" w:cstheme="minorHAnsi"/>
                <w:bCs/>
                <w:sz w:val="22"/>
                <w:szCs w:val="22"/>
              </w:rPr>
            </w:pPr>
            <w:r w:rsidRPr="004F20E8">
              <w:rPr>
                <w:rFonts w:asciiTheme="minorHAnsi" w:hAnsiTheme="minorHAnsi" w:cstheme="minorHAnsi"/>
                <w:sz w:val="22"/>
                <w:szCs w:val="22"/>
              </w:rPr>
              <w:t>This is a thorough PhD level class covering modern empirical work. For concreteness, the course is designed to help students understand how to operationalize empirical research on topics that are central to corporate finance. The overarching goal is to expose students to “state-of-the-art” empirical research methods and prepare them to conduct their own work using new tools. All students with an interest in finance, economics, accounting, human resources, and related disciplines are welcome to take the course.</w:t>
            </w:r>
            <w:r w:rsidRPr="004F20E8">
              <w:rPr>
                <w:rFonts w:asciiTheme="minorHAnsi" w:hAnsiTheme="minorHAnsi" w:cstheme="minorHAnsi"/>
                <w:bCs/>
                <w:sz w:val="22"/>
                <w:szCs w:val="22"/>
              </w:rPr>
              <w:t xml:space="preserve"> </w:t>
            </w:r>
          </w:p>
          <w:p w14:paraId="6D1E974E" w14:textId="77777777" w:rsidR="008418D5" w:rsidRPr="004F20E8" w:rsidRDefault="008418D5" w:rsidP="008418D5">
            <w:pPr>
              <w:spacing w:before="120" w:after="120"/>
              <w:rPr>
                <w:rFonts w:cstheme="minorHAnsi"/>
                <w:bCs/>
              </w:rPr>
            </w:pPr>
            <w:r w:rsidRPr="004F20E8">
              <w:rPr>
                <w:rFonts w:cstheme="minorHAnsi"/>
                <w:bCs/>
              </w:rPr>
              <w:t>In particular, this course is compulsory for all first year Finance and MBAR/Quantitative students.</w:t>
            </w:r>
          </w:p>
          <w:p w14:paraId="499F773B" w14:textId="77777777" w:rsidR="008418D5" w:rsidRPr="004F20E8" w:rsidRDefault="008418D5" w:rsidP="008418D5">
            <w:pPr>
              <w:jc w:val="both"/>
              <w:rPr>
                <w:rFonts w:cstheme="minorHAnsi"/>
                <w:iCs/>
              </w:rPr>
            </w:pPr>
            <w:r w:rsidRPr="004F20E8">
              <w:rPr>
                <w:rFonts w:cstheme="minorHAnsi"/>
                <w:iCs/>
              </w:rPr>
              <w:t xml:space="preserve">On completion of this unit successful students will be able to operationalize empirical research on topics that are central to corporate finance, and more broadly, to apply “state-of-the-art” empirical research methods to their own studies that relate not only to corporate finance, but also to finance, accounting, and economics. </w:t>
            </w:r>
          </w:p>
          <w:p w14:paraId="4DACC076" w14:textId="77777777" w:rsidR="008418D5" w:rsidRPr="004F20E8" w:rsidRDefault="008418D5" w:rsidP="001A61ED">
            <w:pPr>
              <w:keepNext/>
              <w:keepLines/>
              <w:autoSpaceDE w:val="0"/>
              <w:autoSpaceDN w:val="0"/>
              <w:ind w:left="900"/>
              <w:jc w:val="both"/>
              <w:rPr>
                <w:rFonts w:eastAsia="Batang" w:cstheme="minorHAnsi"/>
                <w:color w:val="FF0000"/>
                <w:lang w:eastAsia="de-DE"/>
              </w:rPr>
            </w:pPr>
          </w:p>
        </w:tc>
      </w:tr>
      <w:tr w:rsidR="008418D5" w:rsidRPr="004F20E8" w14:paraId="0DCBA815" w14:textId="77777777" w:rsidTr="260026B7">
        <w:tc>
          <w:tcPr>
            <w:tcW w:w="9669" w:type="dxa"/>
            <w:gridSpan w:val="3"/>
            <w:shd w:val="clear" w:color="auto" w:fill="7030A0"/>
          </w:tcPr>
          <w:p w14:paraId="42FD62FF"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Syllabus content</w:t>
            </w:r>
          </w:p>
        </w:tc>
      </w:tr>
      <w:tr w:rsidR="008418D5" w:rsidRPr="004F20E8" w14:paraId="095AD980" w14:textId="77777777" w:rsidTr="260026B7">
        <w:tc>
          <w:tcPr>
            <w:tcW w:w="9669" w:type="dxa"/>
            <w:gridSpan w:val="3"/>
          </w:tcPr>
          <w:p w14:paraId="1BC1B839" w14:textId="77777777" w:rsidR="008418D5" w:rsidRPr="004F20E8" w:rsidRDefault="008418D5" w:rsidP="001A61ED">
            <w:pPr>
              <w:pStyle w:val="ListParagraph"/>
              <w:keepNext/>
              <w:keepLines/>
              <w:autoSpaceDE w:val="0"/>
              <w:autoSpaceDN w:val="0"/>
              <w:ind w:left="885"/>
              <w:jc w:val="both"/>
              <w:rPr>
                <w:rFonts w:cstheme="minorHAnsi"/>
              </w:rPr>
            </w:pPr>
          </w:p>
          <w:p w14:paraId="584FB4B7" w14:textId="545FA775" w:rsidR="008418D5" w:rsidRPr="004F20E8" w:rsidRDefault="008418D5" w:rsidP="001A61ED">
            <w:pPr>
              <w:rPr>
                <w:rFonts w:cstheme="minorHAnsi"/>
              </w:rPr>
            </w:pPr>
            <w:r w:rsidRPr="004F20E8">
              <w:rPr>
                <w:rFonts w:cstheme="minorHAnsi"/>
              </w:rPr>
              <w:t xml:space="preserve">The course will include two parts. </w:t>
            </w:r>
            <w:r w:rsidR="001A61ED">
              <w:rPr>
                <w:rFonts w:cstheme="minorHAnsi"/>
              </w:rPr>
              <w:t xml:space="preserve"> </w:t>
            </w:r>
            <w:r w:rsidRPr="004F20E8">
              <w:rPr>
                <w:rFonts w:cstheme="minorHAnsi"/>
              </w:rPr>
              <w:t>Part I will cover:</w:t>
            </w:r>
          </w:p>
          <w:p w14:paraId="04D4C78C" w14:textId="77777777" w:rsidR="008418D5" w:rsidRPr="004F20E8" w:rsidRDefault="008418D5" w:rsidP="001A61ED">
            <w:pPr>
              <w:numPr>
                <w:ilvl w:val="0"/>
                <w:numId w:val="3"/>
              </w:numPr>
              <w:autoSpaceDE w:val="0"/>
              <w:autoSpaceDN w:val="0"/>
              <w:rPr>
                <w:rFonts w:cstheme="minorHAnsi"/>
              </w:rPr>
            </w:pPr>
            <w:r w:rsidRPr="004F20E8">
              <w:rPr>
                <w:rFonts w:cstheme="minorHAnsi"/>
              </w:rPr>
              <w:t>Endogeneity and Basic Identification Strategies</w:t>
            </w:r>
          </w:p>
          <w:p w14:paraId="71F7EB05" w14:textId="77777777" w:rsidR="008418D5" w:rsidRPr="004F20E8" w:rsidRDefault="008418D5" w:rsidP="001A61ED">
            <w:pPr>
              <w:numPr>
                <w:ilvl w:val="0"/>
                <w:numId w:val="3"/>
              </w:numPr>
              <w:autoSpaceDE w:val="0"/>
              <w:autoSpaceDN w:val="0"/>
              <w:rPr>
                <w:rFonts w:cstheme="minorHAnsi"/>
              </w:rPr>
            </w:pPr>
            <w:r w:rsidRPr="004F20E8">
              <w:rPr>
                <w:rFonts w:cstheme="minorHAnsi"/>
              </w:rPr>
              <w:t xml:space="preserve">Difference Estimators  </w:t>
            </w:r>
          </w:p>
          <w:p w14:paraId="4F00229D" w14:textId="77777777" w:rsidR="008418D5" w:rsidRPr="004F20E8" w:rsidRDefault="008418D5" w:rsidP="001A61ED">
            <w:pPr>
              <w:numPr>
                <w:ilvl w:val="0"/>
                <w:numId w:val="3"/>
              </w:numPr>
              <w:autoSpaceDE w:val="0"/>
              <w:autoSpaceDN w:val="0"/>
              <w:rPr>
                <w:rFonts w:cstheme="minorHAnsi"/>
              </w:rPr>
            </w:pPr>
            <w:r w:rsidRPr="004F20E8">
              <w:rPr>
                <w:rFonts w:cstheme="minorHAnsi"/>
              </w:rPr>
              <w:t xml:space="preserve">LATE and Regression Discontinuity Design  </w:t>
            </w:r>
          </w:p>
          <w:p w14:paraId="533CCE5B" w14:textId="77777777" w:rsidR="008418D5" w:rsidRPr="004F20E8" w:rsidRDefault="008418D5" w:rsidP="001A61ED">
            <w:pPr>
              <w:numPr>
                <w:ilvl w:val="0"/>
                <w:numId w:val="3"/>
              </w:numPr>
              <w:autoSpaceDE w:val="0"/>
              <w:autoSpaceDN w:val="0"/>
              <w:rPr>
                <w:rFonts w:cstheme="minorHAnsi"/>
              </w:rPr>
            </w:pPr>
            <w:r w:rsidRPr="004F20E8">
              <w:rPr>
                <w:rFonts w:cstheme="minorHAnsi"/>
              </w:rPr>
              <w:t xml:space="preserve">Matching Estimators  </w:t>
            </w:r>
          </w:p>
          <w:p w14:paraId="48B6BEB3" w14:textId="77777777" w:rsidR="001A61ED" w:rsidRDefault="001A61ED" w:rsidP="001A61ED">
            <w:pPr>
              <w:ind w:left="360"/>
              <w:rPr>
                <w:rFonts w:cstheme="minorHAnsi"/>
              </w:rPr>
            </w:pPr>
          </w:p>
          <w:p w14:paraId="531E3252" w14:textId="4954791A" w:rsidR="008418D5" w:rsidRPr="004F20E8" w:rsidRDefault="008418D5" w:rsidP="001A61ED">
            <w:pPr>
              <w:rPr>
                <w:rFonts w:cstheme="minorHAnsi"/>
              </w:rPr>
            </w:pPr>
            <w:r w:rsidRPr="004F20E8">
              <w:rPr>
                <w:rFonts w:cstheme="minorHAnsi"/>
              </w:rPr>
              <w:t xml:space="preserve">This part will be </w:t>
            </w:r>
            <w:r w:rsidR="004276ED" w:rsidRPr="004F20E8">
              <w:rPr>
                <w:rFonts w:cstheme="minorHAnsi"/>
              </w:rPr>
              <w:t>delivered</w:t>
            </w:r>
            <w:r w:rsidRPr="004F20E8">
              <w:rPr>
                <w:rFonts w:cstheme="minorHAnsi"/>
              </w:rPr>
              <w:t xml:space="preserve"> by Prof. </w:t>
            </w:r>
            <w:r w:rsidR="001A61ED">
              <w:rPr>
                <w:rFonts w:cstheme="minorHAnsi"/>
              </w:rPr>
              <w:t>Vyas</w:t>
            </w:r>
            <w:r w:rsidRPr="004F20E8">
              <w:rPr>
                <w:rFonts w:cstheme="minorHAnsi"/>
              </w:rPr>
              <w:t xml:space="preserve"> and it will be lecture-based </w:t>
            </w:r>
            <w:r w:rsidR="004276ED" w:rsidRPr="004F20E8">
              <w:rPr>
                <w:rFonts w:cstheme="minorHAnsi"/>
              </w:rPr>
              <w:t xml:space="preserve">on campus only </w:t>
            </w:r>
            <w:r w:rsidRPr="004F20E8">
              <w:rPr>
                <w:rFonts w:cstheme="minorHAnsi"/>
              </w:rPr>
              <w:t>with extensive use of empirical studies (please see the reading list below).</w:t>
            </w:r>
          </w:p>
          <w:p w14:paraId="487D56B2" w14:textId="77777777" w:rsidR="008418D5" w:rsidRPr="004F20E8" w:rsidRDefault="008418D5" w:rsidP="001A61ED">
            <w:pPr>
              <w:ind w:left="360"/>
              <w:rPr>
                <w:rFonts w:cstheme="minorHAnsi"/>
              </w:rPr>
            </w:pPr>
          </w:p>
          <w:p w14:paraId="0B73BB84" w14:textId="77777777" w:rsidR="008418D5" w:rsidRPr="004F20E8" w:rsidRDefault="008418D5" w:rsidP="001A61ED">
            <w:pPr>
              <w:rPr>
                <w:rFonts w:cstheme="minorHAnsi"/>
              </w:rPr>
            </w:pPr>
            <w:r w:rsidRPr="004F20E8">
              <w:rPr>
                <w:rFonts w:cstheme="minorHAnsi"/>
              </w:rPr>
              <w:t>Part II will consist of 2 two days training session on STATA that will cover:</w:t>
            </w:r>
          </w:p>
          <w:p w14:paraId="71ED6A0D" w14:textId="42312911" w:rsidR="008418D5" w:rsidRPr="004F20E8" w:rsidRDefault="008418D5" w:rsidP="001A61ED">
            <w:pPr>
              <w:ind w:left="357"/>
              <w:contextualSpacing/>
              <w:rPr>
                <w:rFonts w:cstheme="minorHAnsi"/>
              </w:rPr>
            </w:pPr>
            <w:r w:rsidRPr="004F20E8">
              <w:rPr>
                <w:rFonts w:cstheme="minorHAnsi"/>
              </w:rPr>
              <w:t xml:space="preserve">- the basic/intermediate knowledge of STATA, from preparing variables and databases, to the use of programs and loops; </w:t>
            </w:r>
          </w:p>
          <w:p w14:paraId="3C0A7048" w14:textId="77777777" w:rsidR="008418D5" w:rsidRPr="004F20E8" w:rsidRDefault="008418D5" w:rsidP="001A61ED">
            <w:pPr>
              <w:ind w:left="357"/>
              <w:contextualSpacing/>
              <w:jc w:val="both"/>
              <w:rPr>
                <w:rFonts w:cstheme="minorHAnsi"/>
              </w:rPr>
            </w:pPr>
            <w:r w:rsidRPr="004F20E8">
              <w:rPr>
                <w:rFonts w:cstheme="minorHAnsi"/>
              </w:rPr>
              <w:t>- more advanced topics related to panel data analysis and solve endogeneity issues.</w:t>
            </w:r>
          </w:p>
          <w:p w14:paraId="778241DC" w14:textId="77777777" w:rsidR="008418D5" w:rsidRPr="004F20E8" w:rsidRDefault="008418D5" w:rsidP="001A61ED">
            <w:pPr>
              <w:ind w:left="360"/>
              <w:jc w:val="both"/>
              <w:rPr>
                <w:rFonts w:cstheme="minorHAnsi"/>
              </w:rPr>
            </w:pPr>
          </w:p>
          <w:p w14:paraId="5B258E9B" w14:textId="29DD8FB5" w:rsidR="008418D5" w:rsidRPr="004F20E8" w:rsidRDefault="008418D5" w:rsidP="001A61ED">
            <w:pPr>
              <w:jc w:val="both"/>
            </w:pPr>
            <w:r w:rsidRPr="260026B7">
              <w:t xml:space="preserve">This part will be </w:t>
            </w:r>
            <w:r w:rsidR="004276ED" w:rsidRPr="260026B7">
              <w:t xml:space="preserve">delivered </w:t>
            </w:r>
            <w:r w:rsidRPr="260026B7">
              <w:t xml:space="preserve">by Prof. Mura and it will be delivered </w:t>
            </w:r>
            <w:r w:rsidR="004276ED" w:rsidRPr="260026B7">
              <w:t>online</w:t>
            </w:r>
            <w:r w:rsidR="2FA5FF08" w:rsidRPr="260026B7">
              <w:t xml:space="preserve"> only</w:t>
            </w:r>
            <w:r w:rsidRPr="260026B7">
              <w:t>. The STATA class is highly practical in nature, with several empirical applications and exercises.</w:t>
            </w:r>
          </w:p>
          <w:p w14:paraId="51D23C29" w14:textId="413A7FAF" w:rsidR="008418D5" w:rsidRPr="004F20E8" w:rsidRDefault="008418D5" w:rsidP="001A61ED">
            <w:pPr>
              <w:pStyle w:val="ListParagraph"/>
              <w:keepNext/>
              <w:keepLines/>
              <w:autoSpaceDE w:val="0"/>
              <w:autoSpaceDN w:val="0"/>
              <w:ind w:left="885"/>
              <w:jc w:val="both"/>
              <w:rPr>
                <w:b/>
                <w:bCs/>
                <w:sz w:val="24"/>
                <w:szCs w:val="24"/>
              </w:rPr>
            </w:pPr>
          </w:p>
        </w:tc>
      </w:tr>
      <w:tr w:rsidR="008418D5" w:rsidRPr="004F20E8" w14:paraId="003E02F3" w14:textId="77777777" w:rsidTr="260026B7">
        <w:tc>
          <w:tcPr>
            <w:tcW w:w="9669" w:type="dxa"/>
            <w:gridSpan w:val="3"/>
            <w:shd w:val="clear" w:color="auto" w:fill="7030A0"/>
          </w:tcPr>
          <w:p w14:paraId="7D56A67D"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Methods of delivery</w:t>
            </w:r>
          </w:p>
        </w:tc>
      </w:tr>
      <w:tr w:rsidR="008418D5" w:rsidRPr="004F20E8" w14:paraId="4E5213CA" w14:textId="77777777" w:rsidTr="001A61ED">
        <w:tc>
          <w:tcPr>
            <w:tcW w:w="2581" w:type="dxa"/>
            <w:shd w:val="clear" w:color="auto" w:fill="D9D9D9" w:themeFill="background1" w:themeFillShade="D9"/>
          </w:tcPr>
          <w:p w14:paraId="6603C95D" w14:textId="14DB3B5C" w:rsidR="008418D5" w:rsidRPr="004F20E8" w:rsidRDefault="008418D5" w:rsidP="008418D5">
            <w:pPr>
              <w:rPr>
                <w:rFonts w:cstheme="minorHAnsi"/>
                <w:b/>
                <w:sz w:val="24"/>
                <w:szCs w:val="24"/>
              </w:rPr>
            </w:pPr>
            <w:r w:rsidRPr="004F20E8">
              <w:rPr>
                <w:rFonts w:cstheme="minorHAnsi"/>
                <w:b/>
                <w:sz w:val="24"/>
                <w:szCs w:val="24"/>
              </w:rPr>
              <w:t>Lectures/Seminars</w:t>
            </w:r>
          </w:p>
        </w:tc>
        <w:tc>
          <w:tcPr>
            <w:tcW w:w="7088" w:type="dxa"/>
            <w:gridSpan w:val="2"/>
          </w:tcPr>
          <w:p w14:paraId="2E43F10F" w14:textId="6A17BB21" w:rsidR="008418D5" w:rsidRPr="004F20E8" w:rsidRDefault="008418D5" w:rsidP="260026B7">
            <w:pPr>
              <w:spacing w:before="120" w:after="120"/>
            </w:pPr>
            <w:r w:rsidRPr="260026B7">
              <w:t xml:space="preserve">Part I of the course will take place in </w:t>
            </w:r>
            <w:r w:rsidR="001A61ED">
              <w:t xml:space="preserve">October </w:t>
            </w:r>
            <w:r w:rsidR="004276ED" w:rsidRPr="260026B7">
              <w:t>on campus only</w:t>
            </w:r>
            <w:r w:rsidRPr="260026B7">
              <w:t>. There will be four sessions of two hours and half each from Monday to Thursday.</w:t>
            </w:r>
          </w:p>
          <w:p w14:paraId="3A50F19E" w14:textId="3B90889D" w:rsidR="008418D5" w:rsidRPr="004F20E8" w:rsidRDefault="008418D5" w:rsidP="001A61ED">
            <w:pPr>
              <w:spacing w:before="120" w:after="120"/>
              <w:rPr>
                <w:rFonts w:cstheme="minorHAnsi"/>
                <w:color w:val="FF0000"/>
              </w:rPr>
            </w:pPr>
            <w:r w:rsidRPr="00F228D9">
              <w:t xml:space="preserve">Part II of the course will take place in </w:t>
            </w:r>
            <w:r w:rsidR="004276ED" w:rsidRPr="00F228D9">
              <w:t>December</w:t>
            </w:r>
            <w:r w:rsidRPr="00F228D9">
              <w:t xml:space="preserve">, for two days sessions for a total of 12 hours. Datasets and notes will be provided by the convener and multiple exercises will be conducted in </w:t>
            </w:r>
            <w:r w:rsidR="004276ED" w:rsidRPr="00F228D9">
              <w:t xml:space="preserve">online </w:t>
            </w:r>
            <w:r w:rsidRPr="00F228D9">
              <w:t>sessions.</w:t>
            </w:r>
          </w:p>
        </w:tc>
      </w:tr>
      <w:tr w:rsidR="008418D5" w:rsidRPr="004F20E8" w14:paraId="4E10E434" w14:textId="77777777" w:rsidTr="001A61ED">
        <w:tc>
          <w:tcPr>
            <w:tcW w:w="2581" w:type="dxa"/>
            <w:shd w:val="clear" w:color="auto" w:fill="D9D9D9" w:themeFill="background1" w:themeFillShade="D9"/>
          </w:tcPr>
          <w:p w14:paraId="3245EC1D" w14:textId="77777777" w:rsidR="008418D5" w:rsidRPr="004F20E8" w:rsidRDefault="008418D5" w:rsidP="008418D5">
            <w:pPr>
              <w:rPr>
                <w:rFonts w:cstheme="minorHAnsi"/>
                <w:b/>
                <w:sz w:val="24"/>
                <w:szCs w:val="24"/>
              </w:rPr>
            </w:pPr>
            <w:r w:rsidRPr="004F20E8">
              <w:rPr>
                <w:rFonts w:cstheme="minorHAnsi"/>
                <w:b/>
                <w:sz w:val="24"/>
                <w:szCs w:val="24"/>
              </w:rPr>
              <w:t>Independent Study</w:t>
            </w:r>
          </w:p>
        </w:tc>
        <w:tc>
          <w:tcPr>
            <w:tcW w:w="7088" w:type="dxa"/>
            <w:gridSpan w:val="2"/>
          </w:tcPr>
          <w:p w14:paraId="2A5305C3" w14:textId="6A09B0E3" w:rsidR="008418D5" w:rsidRPr="004F20E8" w:rsidRDefault="008418D5" w:rsidP="008418D5">
            <w:pPr>
              <w:rPr>
                <w:rFonts w:cstheme="minorHAnsi"/>
              </w:rPr>
            </w:pPr>
            <w:r w:rsidRPr="004F20E8">
              <w:rPr>
                <w:rFonts w:cstheme="minorHAnsi"/>
              </w:rPr>
              <w:t>128</w:t>
            </w:r>
          </w:p>
        </w:tc>
      </w:tr>
      <w:tr w:rsidR="008418D5" w:rsidRPr="004F20E8" w14:paraId="72DF1555" w14:textId="77777777" w:rsidTr="001A61ED">
        <w:tc>
          <w:tcPr>
            <w:tcW w:w="2581" w:type="dxa"/>
            <w:shd w:val="clear" w:color="auto" w:fill="D9D9D9" w:themeFill="background1" w:themeFillShade="D9"/>
          </w:tcPr>
          <w:p w14:paraId="61EDABB9" w14:textId="3FE47CB2" w:rsidR="008418D5" w:rsidRPr="001A61ED" w:rsidRDefault="008418D5" w:rsidP="008418D5">
            <w:pPr>
              <w:rPr>
                <w:rFonts w:cstheme="minorHAnsi"/>
                <w:b/>
                <w:sz w:val="24"/>
                <w:szCs w:val="24"/>
              </w:rPr>
            </w:pPr>
            <w:r w:rsidRPr="004F20E8">
              <w:rPr>
                <w:rFonts w:cstheme="minorHAnsi"/>
                <w:b/>
                <w:sz w:val="24"/>
                <w:szCs w:val="24"/>
              </w:rPr>
              <w:t>Total Study Hours</w:t>
            </w:r>
          </w:p>
        </w:tc>
        <w:tc>
          <w:tcPr>
            <w:tcW w:w="7088" w:type="dxa"/>
            <w:gridSpan w:val="2"/>
          </w:tcPr>
          <w:p w14:paraId="75E1CF6A" w14:textId="1846526D" w:rsidR="008418D5" w:rsidRPr="004F20E8" w:rsidRDefault="008418D5" w:rsidP="008418D5">
            <w:pPr>
              <w:rPr>
                <w:rFonts w:cstheme="minorHAnsi"/>
              </w:rPr>
            </w:pPr>
            <w:r w:rsidRPr="004F20E8">
              <w:rPr>
                <w:rFonts w:cstheme="minorHAnsi"/>
              </w:rPr>
              <w:t>150</w:t>
            </w:r>
          </w:p>
        </w:tc>
      </w:tr>
      <w:tr w:rsidR="008418D5" w:rsidRPr="004F20E8" w14:paraId="5373A522" w14:textId="77777777" w:rsidTr="260026B7">
        <w:trPr>
          <w:trHeight w:val="254"/>
        </w:trPr>
        <w:tc>
          <w:tcPr>
            <w:tcW w:w="9669" w:type="dxa"/>
            <w:gridSpan w:val="3"/>
            <w:shd w:val="clear" w:color="auto" w:fill="7030A0"/>
          </w:tcPr>
          <w:p w14:paraId="73425995" w14:textId="77777777" w:rsidR="008418D5" w:rsidRPr="004F20E8" w:rsidRDefault="008418D5" w:rsidP="008418D5">
            <w:pPr>
              <w:rPr>
                <w:rFonts w:cstheme="minorHAnsi"/>
                <w:b/>
                <w:color w:val="FFFFFF" w:themeColor="background1"/>
                <w:sz w:val="24"/>
                <w:szCs w:val="24"/>
              </w:rPr>
            </w:pPr>
            <w:r w:rsidRPr="004F20E8">
              <w:rPr>
                <w:rFonts w:cstheme="minorHAnsi"/>
                <w:b/>
                <w:color w:val="FFFFFF" w:themeColor="background1"/>
                <w:sz w:val="24"/>
                <w:szCs w:val="24"/>
              </w:rPr>
              <w:t>Reading List</w:t>
            </w:r>
          </w:p>
        </w:tc>
      </w:tr>
      <w:tr w:rsidR="008418D5" w:rsidRPr="004F20E8" w14:paraId="6CD2594D" w14:textId="77777777" w:rsidTr="260026B7">
        <w:tc>
          <w:tcPr>
            <w:tcW w:w="9669" w:type="dxa"/>
            <w:gridSpan w:val="3"/>
          </w:tcPr>
          <w:tbl>
            <w:tblPr>
              <w:tblStyle w:val="TableGrid"/>
              <w:tblW w:w="0" w:type="auto"/>
              <w:tblLook w:val="04A0" w:firstRow="1" w:lastRow="0" w:firstColumn="1" w:lastColumn="0" w:noHBand="0" w:noVBand="1"/>
            </w:tblPr>
            <w:tblGrid>
              <w:gridCol w:w="9242"/>
            </w:tblGrid>
            <w:tr w:rsidR="008537C2" w:rsidRPr="004F20E8" w14:paraId="1C357131" w14:textId="77777777" w:rsidTr="000E3452">
              <w:tc>
                <w:tcPr>
                  <w:tcW w:w="9242" w:type="dxa"/>
                  <w:shd w:val="clear" w:color="auto" w:fill="7030A0"/>
                </w:tcPr>
                <w:p w14:paraId="27FC7C33" w14:textId="77777777" w:rsidR="008537C2" w:rsidRPr="004F20E8" w:rsidRDefault="008537C2" w:rsidP="008537C2">
                  <w:pPr>
                    <w:keepNext/>
                    <w:spacing w:before="120" w:after="120"/>
                    <w:rPr>
                      <w:rFonts w:cstheme="minorHAnsi"/>
                      <w:b/>
                      <w:color w:val="FFFFFF" w:themeColor="background1"/>
                      <w:sz w:val="24"/>
                      <w:szCs w:val="24"/>
                    </w:rPr>
                  </w:pPr>
                  <w:r w:rsidRPr="004F20E8">
                    <w:rPr>
                      <w:rFonts w:cstheme="minorHAnsi"/>
                      <w:b/>
                      <w:color w:val="FFFFFF" w:themeColor="background1"/>
                      <w:sz w:val="24"/>
                      <w:szCs w:val="24"/>
                    </w:rPr>
                    <w:lastRenderedPageBreak/>
                    <w:t>Part I - Reading List</w:t>
                  </w:r>
                </w:p>
              </w:tc>
            </w:tr>
          </w:tbl>
          <w:p w14:paraId="49443546" w14:textId="77777777" w:rsidR="008537C2" w:rsidRPr="004F20E8" w:rsidRDefault="008537C2" w:rsidP="008537C2">
            <w:pPr>
              <w:jc w:val="both"/>
              <w:rPr>
                <w:rFonts w:cstheme="minorHAnsi"/>
              </w:rPr>
            </w:pPr>
            <w:r w:rsidRPr="004F20E8">
              <w:rPr>
                <w:rFonts w:cstheme="minorHAnsi"/>
              </w:rPr>
              <w:t xml:space="preserve">There is no required textbook. Readings will be based on articles. Reading assignments will follow the sequence provided below. Papers anteceded by an asterisk (*) are strongly recommended and covered during lectures. </w:t>
            </w:r>
            <w:r w:rsidRPr="004F20E8">
              <w:rPr>
                <w:rFonts w:cstheme="minorHAnsi"/>
                <w:b/>
                <w:u w:val="single"/>
              </w:rPr>
              <w:t>Preparation before each class is absolutely required and so an active interaction during the classes</w:t>
            </w:r>
            <w:r w:rsidRPr="004F20E8">
              <w:rPr>
                <w:rFonts w:cstheme="minorHAnsi"/>
              </w:rPr>
              <w:t>.</w:t>
            </w:r>
          </w:p>
          <w:p w14:paraId="58BC9B6A" w14:textId="77777777" w:rsidR="008537C2" w:rsidRPr="004F20E8" w:rsidRDefault="008537C2" w:rsidP="008537C2">
            <w:pPr>
              <w:jc w:val="both"/>
              <w:rPr>
                <w:rFonts w:cstheme="minorHAnsi"/>
              </w:rPr>
            </w:pPr>
            <w:r w:rsidRPr="004F20E8">
              <w:rPr>
                <w:rFonts w:cstheme="minorHAnsi"/>
              </w:rPr>
              <w:t>The readings are all available for free on the web (e.g., from JSTOR, SSRN, the journal’s website, or authors’ websites). Students themselves should locate listed articles.</w:t>
            </w:r>
          </w:p>
          <w:p w14:paraId="56A31B4E" w14:textId="77777777" w:rsidR="008537C2" w:rsidRPr="004F20E8" w:rsidRDefault="008537C2" w:rsidP="008537C2">
            <w:pPr>
              <w:pStyle w:val="Heading3"/>
              <w:ind w:left="0"/>
              <w:jc w:val="both"/>
              <w:rPr>
                <w:rFonts w:asciiTheme="minorHAnsi" w:hAnsiTheme="minorHAnsi" w:cstheme="minorHAnsi"/>
                <w:smallCaps/>
                <w:sz w:val="22"/>
                <w:szCs w:val="22"/>
              </w:rPr>
            </w:pPr>
            <w:bookmarkStart w:id="0" w:name="OLE_LINK5"/>
          </w:p>
          <w:p w14:paraId="4A5B6B75" w14:textId="77777777" w:rsidR="008537C2" w:rsidRPr="004F20E8" w:rsidRDefault="008537C2" w:rsidP="008537C2">
            <w:pPr>
              <w:pStyle w:val="Heading3"/>
              <w:ind w:left="0"/>
              <w:jc w:val="both"/>
              <w:rPr>
                <w:rFonts w:asciiTheme="minorHAnsi" w:hAnsiTheme="minorHAnsi" w:cstheme="minorHAnsi"/>
                <w:smallCaps/>
                <w:sz w:val="22"/>
                <w:szCs w:val="22"/>
              </w:rPr>
            </w:pPr>
            <w:r w:rsidRPr="004F20E8">
              <w:rPr>
                <w:rFonts w:asciiTheme="minorHAnsi" w:hAnsiTheme="minorHAnsi" w:cstheme="minorHAnsi"/>
                <w:smallCaps/>
                <w:sz w:val="22"/>
                <w:szCs w:val="22"/>
              </w:rPr>
              <w:t>List of Topics and Reading Materials</w:t>
            </w:r>
          </w:p>
          <w:bookmarkEnd w:id="0"/>
          <w:p w14:paraId="360C64AD" w14:textId="77777777" w:rsidR="00051EB7" w:rsidRPr="004F20E8" w:rsidRDefault="00051EB7" w:rsidP="00051EB7">
            <w:pPr>
              <w:adjustRightInd w:val="0"/>
              <w:jc w:val="both"/>
              <w:rPr>
                <w:rFonts w:cstheme="minorHAnsi"/>
                <w:b/>
                <w:bCs/>
              </w:rPr>
            </w:pPr>
            <w:r w:rsidRPr="004F20E8">
              <w:rPr>
                <w:rFonts w:cstheme="minorHAnsi"/>
                <w:b/>
                <w:bCs/>
              </w:rPr>
              <w:t>LIST OF TOPICS AND READING MATERIALS</w:t>
            </w:r>
          </w:p>
          <w:p w14:paraId="147F0AE1" w14:textId="77777777" w:rsidR="00051EB7" w:rsidRPr="004F20E8" w:rsidRDefault="00051EB7" w:rsidP="00051EB7">
            <w:pPr>
              <w:adjustRightInd w:val="0"/>
              <w:jc w:val="both"/>
              <w:rPr>
                <w:rFonts w:cstheme="minorHAnsi"/>
                <w:b/>
                <w:bCs/>
              </w:rPr>
            </w:pPr>
            <w:r w:rsidRPr="004F20E8">
              <w:rPr>
                <w:rFonts w:cstheme="minorHAnsi"/>
                <w:b/>
                <w:bCs/>
              </w:rPr>
              <w:t>Endogeneity, Basic Identification, and Difference Estimators: Lecture Notes I &amp; II</w:t>
            </w:r>
          </w:p>
          <w:p w14:paraId="68D11EE5" w14:textId="77777777" w:rsidR="00051EB7" w:rsidRPr="004F20E8" w:rsidRDefault="00051EB7" w:rsidP="00051EB7">
            <w:pPr>
              <w:adjustRightInd w:val="0"/>
              <w:jc w:val="both"/>
              <w:rPr>
                <w:rFonts w:cstheme="minorHAnsi"/>
              </w:rPr>
            </w:pPr>
            <w:r w:rsidRPr="004F20E8">
              <w:rPr>
                <w:rFonts w:cstheme="minorHAnsi"/>
              </w:rPr>
              <w:t>Ahern, K and A. Dittmar, 2012, “The Changing of the Boards: The Impact of Firm Valuation of Mandated Female Board Representation?” Quarterly Journal of Economics 125, 137-197.</w:t>
            </w:r>
          </w:p>
          <w:p w14:paraId="399B2A22" w14:textId="77777777" w:rsidR="00051EB7" w:rsidRPr="004F20E8" w:rsidRDefault="00051EB7" w:rsidP="00051EB7">
            <w:pPr>
              <w:adjustRightInd w:val="0"/>
              <w:jc w:val="both"/>
              <w:rPr>
                <w:rFonts w:cstheme="minorHAnsi"/>
              </w:rPr>
            </w:pPr>
            <w:r w:rsidRPr="004F20E8">
              <w:rPr>
                <w:rFonts w:cstheme="minorHAnsi"/>
              </w:rPr>
              <w:t>(*) Almeida, H. and M. Campello, 2007, “Financial Constraints, Asset Tangibility, and Corporate Investment,” Review of Financial Studies 20, 1429-1460.</w:t>
            </w:r>
          </w:p>
          <w:p w14:paraId="10AC2642" w14:textId="77777777" w:rsidR="00051EB7" w:rsidRPr="004F20E8" w:rsidRDefault="00051EB7" w:rsidP="00051EB7">
            <w:pPr>
              <w:adjustRightInd w:val="0"/>
              <w:jc w:val="both"/>
              <w:rPr>
                <w:rFonts w:cstheme="minorHAnsi"/>
              </w:rPr>
            </w:pPr>
            <w:r w:rsidRPr="004F20E8">
              <w:rPr>
                <w:rFonts w:cstheme="minorHAnsi"/>
              </w:rPr>
              <w:t>(*) Baker, A., D. Larcker, and C. Wang, 2022, “How much should we trust staggered difference-in-differences estimates?” Journal of Financial Economics 144, 370-395.</w:t>
            </w:r>
          </w:p>
          <w:p w14:paraId="37446587" w14:textId="77777777" w:rsidR="00051EB7" w:rsidRPr="004F20E8" w:rsidRDefault="00051EB7" w:rsidP="00051EB7">
            <w:pPr>
              <w:adjustRightInd w:val="0"/>
              <w:jc w:val="both"/>
              <w:rPr>
                <w:rFonts w:cstheme="minorHAnsi"/>
              </w:rPr>
            </w:pPr>
            <w:r w:rsidRPr="004F20E8">
              <w:rPr>
                <w:rFonts w:cstheme="minorHAnsi"/>
              </w:rPr>
              <w:t>(*) Bertrand, M., E. Duflo, and S. Mullainathan, 2004, “How Much Should We Trust Differences-in-Differences Estimates?” Quarterly Journal of Economics 119, 249-275.</w:t>
            </w:r>
          </w:p>
          <w:p w14:paraId="55F7C4AF" w14:textId="77777777" w:rsidR="00051EB7" w:rsidRPr="004F20E8" w:rsidRDefault="00051EB7" w:rsidP="00051EB7">
            <w:pPr>
              <w:adjustRightInd w:val="0"/>
              <w:jc w:val="both"/>
              <w:rPr>
                <w:rFonts w:cstheme="minorHAnsi"/>
              </w:rPr>
            </w:pPr>
            <w:r w:rsidRPr="004F20E8">
              <w:rPr>
                <w:rFonts w:cstheme="minorHAnsi"/>
              </w:rPr>
              <w:t>(*) Bertrand, M. and S. Mullainathan, 2003, “Enjoying the Quiet Life? Corporate Governance and Managerial Preferences,” Journal of Political Economy  94, 991-1113.</w:t>
            </w:r>
          </w:p>
          <w:p w14:paraId="1D4142D8" w14:textId="77777777" w:rsidR="00051EB7" w:rsidRPr="004F20E8" w:rsidRDefault="00051EB7" w:rsidP="00051EB7">
            <w:pPr>
              <w:adjustRightInd w:val="0"/>
              <w:jc w:val="both"/>
              <w:rPr>
                <w:rFonts w:cstheme="minorHAnsi"/>
              </w:rPr>
            </w:pPr>
            <w:r w:rsidRPr="004F20E8">
              <w:rPr>
                <w:rFonts w:cstheme="minorHAnsi"/>
              </w:rPr>
              <w:t>Bertrand, M. and S. Mullainathan, 2004, “Are Emily and Greg More Employable that Lakisha and Jamal? A Field Experiment on Labor Market Discrimination,” American Economic Review 94, 991-1013.</w:t>
            </w:r>
          </w:p>
          <w:p w14:paraId="6BAE2711" w14:textId="77777777" w:rsidR="00051EB7" w:rsidRPr="004F20E8" w:rsidRDefault="00051EB7" w:rsidP="00051EB7">
            <w:pPr>
              <w:adjustRightInd w:val="0"/>
              <w:jc w:val="both"/>
              <w:rPr>
                <w:rFonts w:cstheme="minorHAnsi"/>
              </w:rPr>
            </w:pPr>
            <w:r w:rsidRPr="004F20E8">
              <w:rPr>
                <w:rFonts w:cstheme="minorHAnsi"/>
              </w:rPr>
              <w:t>Bernstein, S., A. Kortweg, and K. Laws, 2015, “Attracting Early Stage Investors: Evidence from a Randomized Field Experiment,” Journal of Finance, forthcoming.</w:t>
            </w:r>
          </w:p>
          <w:p w14:paraId="131DA5C6" w14:textId="77777777" w:rsidR="00051EB7" w:rsidRPr="004F20E8" w:rsidRDefault="00051EB7" w:rsidP="00051EB7">
            <w:pPr>
              <w:adjustRightInd w:val="0"/>
              <w:jc w:val="both"/>
              <w:rPr>
                <w:rFonts w:cstheme="minorHAnsi"/>
              </w:rPr>
            </w:pPr>
            <w:r w:rsidRPr="004F20E8">
              <w:rPr>
                <w:rFonts w:cstheme="minorHAnsi"/>
              </w:rPr>
              <w:t>Besley, T. and A. Case, 2000, “Unnatural Experiments? Estimating the Incidence of Endogenous Policies,” Economic Journal 110, 672-694.</w:t>
            </w:r>
          </w:p>
          <w:p w14:paraId="736D544D" w14:textId="77777777" w:rsidR="00051EB7" w:rsidRPr="004F20E8" w:rsidRDefault="00051EB7" w:rsidP="00051EB7">
            <w:pPr>
              <w:adjustRightInd w:val="0"/>
              <w:jc w:val="both"/>
              <w:rPr>
                <w:rFonts w:cstheme="minorHAnsi"/>
              </w:rPr>
            </w:pPr>
            <w:r w:rsidRPr="004F20E8">
              <w:rPr>
                <w:rFonts w:cstheme="minorHAnsi"/>
              </w:rPr>
              <w:t>(*) Blanchard, O., F. Lopez-de-Silanes, and A. Shleifer, 1994, “What do Firms do with Cash Windfalls?” Journal of Financial Economics 36, 337-360.</w:t>
            </w:r>
          </w:p>
          <w:p w14:paraId="4447F0BA" w14:textId="77777777" w:rsidR="00051EB7" w:rsidRPr="004F20E8" w:rsidRDefault="00051EB7" w:rsidP="00051EB7">
            <w:pPr>
              <w:adjustRightInd w:val="0"/>
              <w:jc w:val="both"/>
              <w:rPr>
                <w:rFonts w:cstheme="minorHAnsi"/>
              </w:rPr>
            </w:pPr>
            <w:r w:rsidRPr="004F20E8">
              <w:rPr>
                <w:rFonts w:cstheme="minorHAnsi"/>
              </w:rPr>
              <w:t>(*) Butler, A. and J. Cornaggia, 2011, “Does Access to External Finance Improve Productivity? Evidence from a Natural Experiment,” Journal of Financial Economics 99, 184-203.</w:t>
            </w:r>
          </w:p>
          <w:p w14:paraId="16EAF8FF" w14:textId="77777777" w:rsidR="00051EB7" w:rsidRPr="004F20E8" w:rsidRDefault="00051EB7" w:rsidP="00051EB7">
            <w:pPr>
              <w:adjustRightInd w:val="0"/>
              <w:jc w:val="both"/>
              <w:rPr>
                <w:rFonts w:cstheme="minorHAnsi"/>
              </w:rPr>
            </w:pPr>
            <w:r w:rsidRPr="004F20E8">
              <w:rPr>
                <w:rFonts w:cstheme="minorHAnsi"/>
              </w:rPr>
              <w:t>(*) Aretz, K., M. Campello, and M. Marchica, 2020, “Access to Collateral and the Democratization of Credit: France’s Reform of the Napoleonic Security Code,” Journal of Finance 75, 45-90.</w:t>
            </w:r>
          </w:p>
          <w:p w14:paraId="4F5F17EA" w14:textId="77777777" w:rsidR="00051EB7" w:rsidRPr="004F20E8" w:rsidRDefault="00051EB7" w:rsidP="00051EB7">
            <w:pPr>
              <w:adjustRightInd w:val="0"/>
              <w:jc w:val="both"/>
              <w:rPr>
                <w:rFonts w:cstheme="minorHAnsi"/>
              </w:rPr>
            </w:pPr>
            <w:r w:rsidRPr="004F20E8">
              <w:rPr>
                <w:rFonts w:cstheme="minorHAnsi"/>
              </w:rPr>
              <w:t>(*) Campello, M. and J. Graham, 2013, “Do Stock Prices Influence Corporate Decisions? Evidence from the Technology Bubble,” Journal of Financial Economics, 107, 89-110.</w:t>
            </w:r>
          </w:p>
          <w:p w14:paraId="0E255E94" w14:textId="77777777" w:rsidR="00051EB7" w:rsidRPr="004F20E8" w:rsidRDefault="00051EB7" w:rsidP="00051EB7">
            <w:pPr>
              <w:adjustRightInd w:val="0"/>
              <w:jc w:val="both"/>
              <w:rPr>
                <w:rFonts w:cstheme="minorHAnsi"/>
              </w:rPr>
            </w:pPr>
            <w:r w:rsidRPr="004F20E8">
              <w:rPr>
                <w:rFonts w:cstheme="minorHAnsi"/>
              </w:rPr>
              <w:t>(*) Campello, M. and E. Giambona, 2013, “Real Assets and Capital Structure,” Journal of Financial and Quantitative Analysis 48, 1333-1370.</w:t>
            </w:r>
          </w:p>
          <w:p w14:paraId="4AA9FCD3" w14:textId="77777777" w:rsidR="00051EB7" w:rsidRPr="004F20E8" w:rsidRDefault="00051EB7" w:rsidP="00051EB7">
            <w:pPr>
              <w:adjustRightInd w:val="0"/>
              <w:jc w:val="both"/>
              <w:rPr>
                <w:rFonts w:cstheme="minorHAnsi"/>
              </w:rPr>
            </w:pPr>
            <w:r w:rsidRPr="004F20E8">
              <w:rPr>
                <w:rFonts w:cstheme="minorHAnsi"/>
              </w:rPr>
              <w:t>(*) Campello, M., T. Ladika, R. Matta, 2019, “Renegotiation Frictions and Financial Distress Resolution: Evidence from CDS Spreads,” Revie of Finance 23, 513-556.</w:t>
            </w:r>
          </w:p>
          <w:p w14:paraId="7655192B" w14:textId="77777777" w:rsidR="00051EB7" w:rsidRPr="004F20E8" w:rsidRDefault="00051EB7" w:rsidP="00051EB7">
            <w:pPr>
              <w:adjustRightInd w:val="0"/>
              <w:jc w:val="both"/>
              <w:rPr>
                <w:rFonts w:cstheme="minorHAnsi"/>
              </w:rPr>
            </w:pPr>
            <w:r w:rsidRPr="004F20E8">
              <w:rPr>
                <w:rFonts w:cstheme="minorHAnsi"/>
              </w:rPr>
              <w:t>Grullon, G., S. Michenaud, and J. Weston, 2015, “The Real Effects of Short Selling Constraints,” Review of Financial Studies 28, 1737-1767.</w:t>
            </w:r>
          </w:p>
          <w:p w14:paraId="39B383C1" w14:textId="77777777" w:rsidR="00051EB7" w:rsidRPr="004F20E8" w:rsidRDefault="00051EB7" w:rsidP="00051EB7">
            <w:pPr>
              <w:adjustRightInd w:val="0"/>
              <w:jc w:val="both"/>
              <w:rPr>
                <w:rFonts w:cstheme="minorHAnsi"/>
              </w:rPr>
            </w:pPr>
            <w:r w:rsidRPr="004F20E8">
              <w:rPr>
                <w:rFonts w:cstheme="minorHAnsi"/>
              </w:rPr>
              <w:t>Imbens, G., 2004, “Nonparametric Estimation of Average Treatment Effects under Exogeneity: A Review,’’ Review of Economics and Statistics 86, 4-29.</w:t>
            </w:r>
          </w:p>
          <w:p w14:paraId="36D243C7" w14:textId="77777777" w:rsidR="00051EB7" w:rsidRPr="004F20E8" w:rsidRDefault="00051EB7" w:rsidP="00051EB7">
            <w:pPr>
              <w:adjustRightInd w:val="0"/>
              <w:jc w:val="both"/>
              <w:rPr>
                <w:rFonts w:cstheme="minorHAnsi"/>
              </w:rPr>
            </w:pPr>
            <w:r w:rsidRPr="004F20E8">
              <w:rPr>
                <w:rFonts w:cstheme="minorHAnsi"/>
              </w:rPr>
              <w:t>(*) Heath, D., M. Ringgenberg, M. Samadi, and I. Werner, 2023, “Reusing Natural Experiments,” forthcoming, Journal of Finance.</w:t>
            </w:r>
          </w:p>
          <w:p w14:paraId="3B7EF9C4" w14:textId="77777777" w:rsidR="00051EB7" w:rsidRPr="004F20E8" w:rsidRDefault="00051EB7" w:rsidP="00051EB7">
            <w:pPr>
              <w:adjustRightInd w:val="0"/>
              <w:jc w:val="both"/>
              <w:rPr>
                <w:rFonts w:cstheme="minorHAnsi"/>
              </w:rPr>
            </w:pPr>
            <w:r w:rsidRPr="004F20E8">
              <w:rPr>
                <w:rFonts w:cstheme="minorHAnsi"/>
              </w:rPr>
              <w:t>(*) Jayaratne, J. and P. Strahan, 1996, “The Finance-Growth Nexus: Evidence from Bank Branch Deregulation,” Quarterly Journal of Economics 111, 639-670.</w:t>
            </w:r>
          </w:p>
          <w:p w14:paraId="1140B131" w14:textId="77777777" w:rsidR="00051EB7" w:rsidRPr="004F20E8" w:rsidRDefault="00051EB7" w:rsidP="00051EB7">
            <w:pPr>
              <w:adjustRightInd w:val="0"/>
              <w:jc w:val="both"/>
              <w:rPr>
                <w:rFonts w:cstheme="minorHAnsi"/>
              </w:rPr>
            </w:pPr>
            <w:r w:rsidRPr="004F20E8">
              <w:rPr>
                <w:rFonts w:cstheme="minorHAnsi"/>
              </w:rPr>
              <w:t>(*) LaPorta, R, F. Lopez-De-Silanes, A. Shleifer, R. Vishny, 1997, “Legal Determinants of External Finance,” Journal of Finance 52, 1131-1150.</w:t>
            </w:r>
          </w:p>
          <w:p w14:paraId="79DA683C" w14:textId="77777777" w:rsidR="00051EB7" w:rsidRPr="004F20E8" w:rsidRDefault="00051EB7" w:rsidP="00051EB7">
            <w:pPr>
              <w:adjustRightInd w:val="0"/>
              <w:jc w:val="both"/>
              <w:rPr>
                <w:rFonts w:cstheme="minorHAnsi"/>
              </w:rPr>
            </w:pPr>
            <w:r w:rsidRPr="004F20E8">
              <w:rPr>
                <w:rFonts w:cstheme="minorHAnsi"/>
              </w:rPr>
              <w:lastRenderedPageBreak/>
              <w:t>Rosenzweig, M. and K. Wolpin, 2000, “Natural `Natural Experiments' in Economics,” Journal of Economic Literature 38, 827-874.</w:t>
            </w:r>
          </w:p>
          <w:p w14:paraId="4ADDB1EB" w14:textId="77777777" w:rsidR="00051EB7" w:rsidRPr="004F20E8" w:rsidRDefault="00051EB7" w:rsidP="00051EB7">
            <w:pPr>
              <w:adjustRightInd w:val="0"/>
              <w:jc w:val="both"/>
              <w:rPr>
                <w:rFonts w:cstheme="minorHAnsi"/>
              </w:rPr>
            </w:pPr>
            <w:r w:rsidRPr="004F20E8">
              <w:rPr>
                <w:rFonts w:cstheme="minorHAnsi"/>
              </w:rPr>
              <w:t>(*) Tang, T., 2009, “Information Asymmetry and Firms’ Credit Market Access: Evidence from Moody’s Credit Rating Format Refinement,’’ Journal of Financial Economics 93, 325-351.</w:t>
            </w:r>
          </w:p>
          <w:p w14:paraId="35FF6268" w14:textId="77777777" w:rsidR="00051EB7" w:rsidRPr="004F20E8" w:rsidRDefault="00051EB7" w:rsidP="00051EB7">
            <w:pPr>
              <w:adjustRightInd w:val="0"/>
              <w:jc w:val="both"/>
              <w:rPr>
                <w:rFonts w:cstheme="minorHAnsi"/>
                <w:b/>
                <w:bCs/>
              </w:rPr>
            </w:pPr>
          </w:p>
          <w:p w14:paraId="216F080D" w14:textId="77777777" w:rsidR="00051EB7" w:rsidRPr="004F20E8" w:rsidRDefault="00051EB7" w:rsidP="00051EB7">
            <w:pPr>
              <w:adjustRightInd w:val="0"/>
              <w:jc w:val="both"/>
              <w:rPr>
                <w:rFonts w:cstheme="minorHAnsi"/>
                <w:b/>
                <w:bCs/>
              </w:rPr>
            </w:pPr>
            <w:r w:rsidRPr="004F20E8">
              <w:rPr>
                <w:rFonts w:cstheme="minorHAnsi"/>
                <w:b/>
                <w:bCs/>
              </w:rPr>
              <w:t>Empirical Methods (LATE, RDD &amp; ME): Lecture Notes III, IV &amp; V</w:t>
            </w:r>
          </w:p>
          <w:p w14:paraId="3B948D26" w14:textId="77777777" w:rsidR="00051EB7" w:rsidRPr="004F20E8" w:rsidRDefault="00051EB7" w:rsidP="00051EB7">
            <w:pPr>
              <w:adjustRightInd w:val="0"/>
              <w:jc w:val="both"/>
              <w:rPr>
                <w:rFonts w:cstheme="minorHAnsi"/>
              </w:rPr>
            </w:pPr>
            <w:r w:rsidRPr="004F20E8">
              <w:rPr>
                <w:rFonts w:cstheme="minorHAnsi"/>
              </w:rPr>
              <w:t>(*) Abadie, A., A. Diamond, and J. Hainmuller, 2010, “Synthetic Control Methods for Comparative Case Studies: Estimating the Effect of California’s Tobacco Control Program,” JASA 105, 493-505.</w:t>
            </w:r>
          </w:p>
          <w:p w14:paraId="4CF7CE02" w14:textId="77777777" w:rsidR="00051EB7" w:rsidRPr="004F20E8" w:rsidRDefault="00051EB7" w:rsidP="00051EB7">
            <w:pPr>
              <w:adjustRightInd w:val="0"/>
              <w:jc w:val="both"/>
              <w:rPr>
                <w:rFonts w:cstheme="minorHAnsi"/>
              </w:rPr>
            </w:pPr>
            <w:r w:rsidRPr="004F20E8">
              <w:rPr>
                <w:rFonts w:cstheme="minorHAnsi"/>
              </w:rPr>
              <w:t>Abadie, A., D. Drukker, J. Herr, and G. Imbens, 2004, “Implementing matching estimators for average treatment effects in Stata,” Stata Journal 4, 290-311.</w:t>
            </w:r>
          </w:p>
          <w:p w14:paraId="59A70F72" w14:textId="77777777" w:rsidR="00051EB7" w:rsidRPr="004F20E8" w:rsidRDefault="00051EB7" w:rsidP="00051EB7">
            <w:pPr>
              <w:adjustRightInd w:val="0"/>
              <w:jc w:val="both"/>
              <w:rPr>
                <w:rFonts w:cstheme="minorHAnsi"/>
              </w:rPr>
            </w:pPr>
            <w:r w:rsidRPr="004F20E8">
              <w:rPr>
                <w:rFonts w:cstheme="minorHAnsi"/>
              </w:rPr>
              <w:t>(*) Almeida, H., M. Campello, B. Laranjeira, and S. Weisbenner, 2011, “Corporate Debt Maturity and the Real Effects of the 2007 Credit Crisis,” Critical Finance Review 1, 3-58.</w:t>
            </w:r>
          </w:p>
          <w:p w14:paraId="790877C1" w14:textId="77777777" w:rsidR="00051EB7" w:rsidRPr="004F20E8" w:rsidRDefault="00051EB7" w:rsidP="00051EB7">
            <w:pPr>
              <w:adjustRightInd w:val="0"/>
              <w:jc w:val="both"/>
              <w:rPr>
                <w:rFonts w:cstheme="minorHAnsi"/>
              </w:rPr>
            </w:pPr>
            <w:r w:rsidRPr="004F20E8">
              <w:rPr>
                <w:rFonts w:cstheme="minorHAnsi"/>
              </w:rPr>
              <w:t xml:space="preserve">(*) Angrist, J. and V. Lavy, 1999, “Using Maimonides’ Rule To Estimate The Effect Of Class Size On Scholastic Achievement,” Quarterly Journal of Economics 114, 533-575 </w:t>
            </w:r>
          </w:p>
          <w:p w14:paraId="54E7242B" w14:textId="77777777" w:rsidR="00051EB7" w:rsidRPr="004F20E8" w:rsidRDefault="00051EB7" w:rsidP="00051EB7">
            <w:pPr>
              <w:adjustRightInd w:val="0"/>
              <w:jc w:val="both"/>
              <w:rPr>
                <w:rFonts w:cstheme="minorHAnsi"/>
              </w:rPr>
            </w:pPr>
            <w:r w:rsidRPr="004F20E8">
              <w:rPr>
                <w:rFonts w:cstheme="minorHAnsi"/>
              </w:rPr>
              <w:t>Bakke, T. and T. Whited, 2012, “Threshold Events and Identification: A Study of Cash Shortfalls,” Journal of Finance 61, 1113-1148.</w:t>
            </w:r>
          </w:p>
          <w:p w14:paraId="4263659B" w14:textId="77777777" w:rsidR="00051EB7" w:rsidRPr="004F20E8" w:rsidRDefault="00051EB7" w:rsidP="00051EB7">
            <w:pPr>
              <w:adjustRightInd w:val="0"/>
              <w:jc w:val="both"/>
              <w:rPr>
                <w:rFonts w:cstheme="minorHAnsi"/>
              </w:rPr>
            </w:pPr>
            <w:r w:rsidRPr="004F20E8">
              <w:rPr>
                <w:rFonts w:cstheme="minorHAnsi"/>
              </w:rPr>
              <w:t xml:space="preserve">(*) Bennedsen, M., K. Nielsen, F. Pérez-González, and D. Wolfenzon, 2007, “Inside the Family Firm: The Role of Families in Succession Decisions and Performance,” Quarterly Journal of Economics 122, 647- 691. </w:t>
            </w:r>
          </w:p>
          <w:p w14:paraId="7A3DB8EE" w14:textId="77777777" w:rsidR="00051EB7" w:rsidRPr="004F20E8" w:rsidRDefault="00051EB7" w:rsidP="00051EB7">
            <w:pPr>
              <w:adjustRightInd w:val="0"/>
              <w:jc w:val="both"/>
              <w:rPr>
                <w:rFonts w:cstheme="minorHAnsi"/>
              </w:rPr>
            </w:pPr>
            <w:r w:rsidRPr="004F20E8">
              <w:rPr>
                <w:rFonts w:cstheme="minorHAnsi"/>
              </w:rPr>
              <w:t>(*) Campello, M., J. Gao, J. Qiu, and Y. Zhang, 2018, “Bankruptcy and The Cost of Organized Labor: Evidence from Union Elections,” Review of Financial Studies 31, 980-1013.</w:t>
            </w:r>
          </w:p>
          <w:p w14:paraId="2CEC898F" w14:textId="77777777" w:rsidR="00051EB7" w:rsidRPr="004F20E8" w:rsidRDefault="00051EB7" w:rsidP="00051EB7">
            <w:pPr>
              <w:adjustRightInd w:val="0"/>
              <w:jc w:val="both"/>
              <w:rPr>
                <w:rFonts w:cstheme="minorHAnsi"/>
              </w:rPr>
            </w:pPr>
            <w:r w:rsidRPr="004F20E8">
              <w:rPr>
                <w:rFonts w:cstheme="minorHAnsi"/>
              </w:rPr>
              <w:t>(*) Campello, M., J. Graham, and C. Harvey, 2010, “The Real Effects of Financial Constraints: Evidence from a Financial Crisis,” Journal of Financial Economics 97, 470-487.</w:t>
            </w:r>
          </w:p>
          <w:p w14:paraId="0965F99C" w14:textId="77777777" w:rsidR="00051EB7" w:rsidRPr="004F20E8" w:rsidRDefault="00051EB7" w:rsidP="00051EB7">
            <w:pPr>
              <w:adjustRightInd w:val="0"/>
              <w:jc w:val="both"/>
              <w:rPr>
                <w:rFonts w:cstheme="minorHAnsi"/>
              </w:rPr>
            </w:pPr>
            <w:r w:rsidRPr="004F20E8">
              <w:rPr>
                <w:rFonts w:cstheme="minorHAnsi"/>
              </w:rPr>
              <w:t>(*) Campello, M., T. Ladika, and R. Matta, 2019, “Renegotiation Frictions and Financial Distress Resolution: Evidence from CDS Spreads,” forthcoming, Review of Finance.</w:t>
            </w:r>
          </w:p>
          <w:p w14:paraId="2825942A" w14:textId="77777777" w:rsidR="00051EB7" w:rsidRPr="004F20E8" w:rsidRDefault="00051EB7" w:rsidP="00051EB7">
            <w:pPr>
              <w:adjustRightInd w:val="0"/>
              <w:jc w:val="both"/>
              <w:rPr>
                <w:rFonts w:cstheme="minorHAnsi"/>
              </w:rPr>
            </w:pPr>
            <w:r w:rsidRPr="004F20E8">
              <w:rPr>
                <w:rFonts w:cstheme="minorHAnsi"/>
              </w:rPr>
              <w:t>Chava, S. and A. Purnanandam, 2011, “The Effect of Banking Crisis on Bank-Dependent Borrowers,” Journal of Financial Economics 99, 116-135.</w:t>
            </w:r>
          </w:p>
          <w:p w14:paraId="44B1D577" w14:textId="77777777" w:rsidR="00051EB7" w:rsidRPr="004F20E8" w:rsidRDefault="00051EB7" w:rsidP="00051EB7">
            <w:pPr>
              <w:adjustRightInd w:val="0"/>
              <w:jc w:val="both"/>
              <w:rPr>
                <w:rFonts w:cstheme="minorHAnsi"/>
              </w:rPr>
            </w:pPr>
            <w:r w:rsidRPr="004F20E8">
              <w:rPr>
                <w:rFonts w:cstheme="minorHAnsi"/>
              </w:rPr>
              <w:t>(*) Chernenko, S. and A. Sunderam, 2011, “The Real Consequences of Market Segmentation,” Review of Financial Studies 25, 2041-207.</w:t>
            </w:r>
          </w:p>
          <w:p w14:paraId="755717A2" w14:textId="77777777" w:rsidR="00051EB7" w:rsidRPr="004F20E8" w:rsidRDefault="00051EB7" w:rsidP="00051EB7">
            <w:pPr>
              <w:adjustRightInd w:val="0"/>
              <w:jc w:val="both"/>
              <w:rPr>
                <w:rFonts w:cstheme="minorHAnsi"/>
              </w:rPr>
            </w:pPr>
            <w:r w:rsidRPr="004F20E8">
              <w:rPr>
                <w:rFonts w:cstheme="minorHAnsi"/>
              </w:rPr>
              <w:t>(*) Chava, S. and M. Roberts, 2008, “How does Financing Impact Investment? The Role of Debt Covenants,” Journal of Finance 63, 2085-2121</w:t>
            </w:r>
          </w:p>
          <w:p w14:paraId="2932A727" w14:textId="77777777" w:rsidR="00051EB7" w:rsidRPr="004F20E8" w:rsidRDefault="00051EB7" w:rsidP="00051EB7">
            <w:pPr>
              <w:adjustRightInd w:val="0"/>
              <w:jc w:val="both"/>
              <w:rPr>
                <w:rFonts w:cstheme="minorHAnsi"/>
              </w:rPr>
            </w:pPr>
            <w:r w:rsidRPr="004F20E8">
              <w:rPr>
                <w:rFonts w:cstheme="minorHAnsi"/>
              </w:rPr>
              <w:t>(*) Cunat, V, M. Gine, and M. Guadalupe, 2012, “The Vote Is Cast: The Effect of Corporate Governance on Shareholder Value,” Journal of Finance 67, 1943-1977.</w:t>
            </w:r>
          </w:p>
          <w:p w14:paraId="17433C0B" w14:textId="77777777" w:rsidR="00051EB7" w:rsidRPr="004F20E8" w:rsidRDefault="00051EB7" w:rsidP="00051EB7">
            <w:pPr>
              <w:adjustRightInd w:val="0"/>
              <w:jc w:val="both"/>
              <w:rPr>
                <w:rFonts w:cstheme="minorHAnsi"/>
              </w:rPr>
            </w:pPr>
            <w:r w:rsidRPr="004F20E8">
              <w:rPr>
                <w:rFonts w:cstheme="minorHAnsi"/>
              </w:rPr>
              <w:t>Dehejia, R. and S. Wahba, 1999, “Causal Effects in Nonexperimental Studies: Reevaluating the Evaluation of Training Programs,” JASA 94, 1053-1062.</w:t>
            </w:r>
          </w:p>
          <w:p w14:paraId="0963204E" w14:textId="77777777" w:rsidR="00051EB7" w:rsidRPr="004F20E8" w:rsidRDefault="00051EB7" w:rsidP="00051EB7">
            <w:pPr>
              <w:adjustRightInd w:val="0"/>
              <w:jc w:val="both"/>
              <w:rPr>
                <w:rFonts w:cstheme="minorHAnsi"/>
              </w:rPr>
            </w:pPr>
            <w:r w:rsidRPr="004F20E8">
              <w:rPr>
                <w:rFonts w:cstheme="minorHAnsi"/>
              </w:rPr>
              <w:t>(*) DiNardo, J. and D. Lee, 2004, “Economic Impacts of New Unionization on Private Sector Employers: 1984-2001,” Quarterly Journal of Economics 119, 1383-1442.</w:t>
            </w:r>
          </w:p>
          <w:p w14:paraId="3ADB0D8E" w14:textId="77777777" w:rsidR="00051EB7" w:rsidRPr="004F20E8" w:rsidRDefault="00051EB7" w:rsidP="00051EB7">
            <w:pPr>
              <w:adjustRightInd w:val="0"/>
              <w:jc w:val="both"/>
              <w:rPr>
                <w:rFonts w:cstheme="minorHAnsi"/>
              </w:rPr>
            </w:pPr>
            <w:r w:rsidRPr="004F20E8">
              <w:rPr>
                <w:rFonts w:cstheme="minorHAnsi"/>
              </w:rPr>
              <w:t>Hahn, J, P., Todd, and W. van der Klaauw, 2001, “Identification and Estimation of Treatment Effects with a Regression-Discontinuity Design,” Econometrica 69, 201-209.</w:t>
            </w:r>
          </w:p>
          <w:p w14:paraId="00A3C36D" w14:textId="77777777" w:rsidR="00051EB7" w:rsidRPr="004F20E8" w:rsidRDefault="00051EB7" w:rsidP="00051EB7">
            <w:pPr>
              <w:adjustRightInd w:val="0"/>
              <w:jc w:val="both"/>
              <w:rPr>
                <w:rFonts w:cstheme="minorHAnsi"/>
              </w:rPr>
            </w:pPr>
            <w:r w:rsidRPr="004F20E8">
              <w:rPr>
                <w:rFonts w:cstheme="minorHAnsi"/>
              </w:rPr>
              <w:t>(*) Iliev, P., 2010, “The Effect of SOX Section 404: Costs, Earnings Quality, and Stock Prices,” Journal of Finance 65, 1163-1196.</w:t>
            </w:r>
          </w:p>
          <w:p w14:paraId="258CE0F9" w14:textId="77777777" w:rsidR="00051EB7" w:rsidRPr="004F20E8" w:rsidRDefault="00051EB7" w:rsidP="00051EB7">
            <w:pPr>
              <w:adjustRightInd w:val="0"/>
              <w:jc w:val="both"/>
              <w:rPr>
                <w:rFonts w:cstheme="minorHAnsi"/>
              </w:rPr>
            </w:pPr>
            <w:r w:rsidRPr="004F20E8">
              <w:rPr>
                <w:rFonts w:cstheme="minorHAnsi"/>
              </w:rPr>
              <w:t>Imbens, G. and T. Lemieux, 2008, “Regression Discontinuity Designs: A Guide to Practice,” Journal of Econometrics 142, 615-635.</w:t>
            </w:r>
          </w:p>
          <w:p w14:paraId="289F8906" w14:textId="77777777" w:rsidR="00051EB7" w:rsidRPr="004F20E8" w:rsidRDefault="00051EB7" w:rsidP="00051EB7">
            <w:pPr>
              <w:adjustRightInd w:val="0"/>
              <w:jc w:val="both"/>
              <w:rPr>
                <w:rFonts w:cstheme="minorHAnsi"/>
              </w:rPr>
            </w:pPr>
            <w:r w:rsidRPr="004F20E8">
              <w:rPr>
                <w:rFonts w:cstheme="minorHAnsi"/>
              </w:rPr>
              <w:t>Lee, D. and T. Lemieux, 2010, “Regression Discontinuity Designs in Economics,” Journal of Economic Literature 48, 281-355.</w:t>
            </w:r>
          </w:p>
          <w:p w14:paraId="0B5884FC" w14:textId="77777777" w:rsidR="00051EB7" w:rsidRPr="004F20E8" w:rsidRDefault="00051EB7" w:rsidP="00051EB7">
            <w:pPr>
              <w:adjustRightInd w:val="0"/>
              <w:jc w:val="both"/>
              <w:rPr>
                <w:rFonts w:cstheme="minorHAnsi"/>
              </w:rPr>
            </w:pPr>
            <w:r w:rsidRPr="004F20E8">
              <w:rPr>
                <w:rFonts w:cstheme="minorHAnsi"/>
              </w:rPr>
              <w:t>(*) Lee, D., 2008, “Randomized Experiments from Non-Random Selection in U.S. House Elections,” Journal of Econometrics 142, 675-697.</w:t>
            </w:r>
          </w:p>
          <w:p w14:paraId="5DF2728D" w14:textId="77777777" w:rsidR="00051EB7" w:rsidRPr="004F20E8" w:rsidRDefault="00051EB7" w:rsidP="00051EB7">
            <w:pPr>
              <w:adjustRightInd w:val="0"/>
              <w:jc w:val="both"/>
              <w:rPr>
                <w:rFonts w:cstheme="minorHAnsi"/>
              </w:rPr>
            </w:pPr>
            <w:r w:rsidRPr="004F20E8">
              <w:rPr>
                <w:rFonts w:cstheme="minorHAnsi"/>
              </w:rPr>
              <w:t>(*) Malmendier, U. and G. Tate, 2009, “Superstar CEOs,” Quarterly Journal of Economics 124, 1593-1638.</w:t>
            </w:r>
          </w:p>
          <w:p w14:paraId="392179DB" w14:textId="77777777" w:rsidR="00051EB7" w:rsidRPr="004F20E8" w:rsidRDefault="00051EB7" w:rsidP="00051EB7">
            <w:pPr>
              <w:adjustRightInd w:val="0"/>
              <w:jc w:val="both"/>
              <w:rPr>
                <w:rFonts w:cstheme="minorHAnsi"/>
              </w:rPr>
            </w:pPr>
            <w:r w:rsidRPr="004F20E8">
              <w:rPr>
                <w:rFonts w:cstheme="minorHAnsi"/>
              </w:rPr>
              <w:t>(*) Rauh, J., 2006, “Investment and Financing Constraints: Evidence from the Funding of Corporate Pension Plans.” Journal of Finance 61, 33-71.</w:t>
            </w:r>
          </w:p>
          <w:p w14:paraId="79A06E1D" w14:textId="3A2E40B1" w:rsidR="008537C2" w:rsidRPr="004F20E8" w:rsidRDefault="00051EB7" w:rsidP="001A61ED">
            <w:pPr>
              <w:jc w:val="both"/>
              <w:rPr>
                <w:rFonts w:cstheme="minorHAnsi"/>
                <w:b/>
                <w:color w:val="FFFFFF" w:themeColor="background1"/>
                <w:sz w:val="24"/>
                <w:szCs w:val="24"/>
              </w:rPr>
            </w:pPr>
            <w:r w:rsidRPr="004F20E8">
              <w:rPr>
                <w:rFonts w:cstheme="minorHAnsi"/>
              </w:rPr>
              <w:t>Rosembaum, P. and D. Rubin, 1983, “The Central Role of the Propensity Score in Observational Studies for Causal Effects,” Biometrika 70, 41-55.</w:t>
            </w:r>
          </w:p>
          <w:tbl>
            <w:tblPr>
              <w:tblStyle w:val="TableGrid"/>
              <w:tblW w:w="0" w:type="auto"/>
              <w:shd w:val="clear" w:color="auto" w:fill="7030A0"/>
              <w:tblLook w:val="04A0" w:firstRow="1" w:lastRow="0" w:firstColumn="1" w:lastColumn="0" w:noHBand="0" w:noVBand="1"/>
            </w:tblPr>
            <w:tblGrid>
              <w:gridCol w:w="9242"/>
            </w:tblGrid>
            <w:tr w:rsidR="008537C2" w:rsidRPr="004F20E8" w14:paraId="0265606F" w14:textId="77777777" w:rsidTr="000E3452">
              <w:tc>
                <w:tcPr>
                  <w:tcW w:w="9242" w:type="dxa"/>
                  <w:shd w:val="clear" w:color="auto" w:fill="7030A0"/>
                </w:tcPr>
                <w:p w14:paraId="1AAD38B6" w14:textId="77777777" w:rsidR="008537C2" w:rsidRPr="004F20E8" w:rsidRDefault="008537C2" w:rsidP="008537C2">
                  <w:pPr>
                    <w:keepNext/>
                    <w:spacing w:before="120" w:after="120"/>
                    <w:rPr>
                      <w:rFonts w:cstheme="minorHAnsi"/>
                      <w:b/>
                      <w:color w:val="FFFFFF" w:themeColor="background1"/>
                      <w:sz w:val="24"/>
                      <w:szCs w:val="24"/>
                    </w:rPr>
                  </w:pPr>
                  <w:r w:rsidRPr="004F20E8">
                    <w:rPr>
                      <w:rFonts w:cstheme="minorHAnsi"/>
                      <w:b/>
                      <w:color w:val="FFFFFF" w:themeColor="background1"/>
                      <w:sz w:val="24"/>
                      <w:szCs w:val="24"/>
                    </w:rPr>
                    <w:lastRenderedPageBreak/>
                    <w:t>Part II – Material</w:t>
                  </w:r>
                </w:p>
              </w:tc>
            </w:tr>
          </w:tbl>
          <w:p w14:paraId="3043DD6A" w14:textId="1623F5F9" w:rsidR="008418D5" w:rsidRPr="004F20E8" w:rsidRDefault="008537C2" w:rsidP="260026B7">
            <w:r w:rsidRPr="260026B7">
              <w:rPr>
                <w:sz w:val="24"/>
                <w:szCs w:val="24"/>
              </w:rPr>
              <w:t xml:space="preserve">Material (e.g. data, and dofiles) will be provided ahead of the sessions in </w:t>
            </w:r>
            <w:r w:rsidR="2DFED051" w:rsidRPr="260026B7">
              <w:rPr>
                <w:sz w:val="24"/>
                <w:szCs w:val="24"/>
              </w:rPr>
              <w:t>Canvas</w:t>
            </w:r>
            <w:r w:rsidRPr="260026B7">
              <w:rPr>
                <w:sz w:val="24"/>
                <w:szCs w:val="24"/>
              </w:rPr>
              <w:t>.</w:t>
            </w:r>
          </w:p>
          <w:p w14:paraId="281FF3A2" w14:textId="0839242C" w:rsidR="008418D5" w:rsidRPr="004F20E8" w:rsidRDefault="008418D5" w:rsidP="008418D5">
            <w:pPr>
              <w:rPr>
                <w:rFonts w:cstheme="minorHAnsi"/>
              </w:rPr>
            </w:pPr>
          </w:p>
        </w:tc>
      </w:tr>
      <w:tr w:rsidR="008418D5" w:rsidRPr="004F20E8" w14:paraId="3AD538FD" w14:textId="77777777" w:rsidTr="260026B7">
        <w:trPr>
          <w:trHeight w:val="328"/>
        </w:trPr>
        <w:tc>
          <w:tcPr>
            <w:tcW w:w="9669" w:type="dxa"/>
            <w:gridSpan w:val="3"/>
            <w:shd w:val="clear" w:color="auto" w:fill="7030A0"/>
          </w:tcPr>
          <w:p w14:paraId="5CB8DBCD" w14:textId="77777777" w:rsidR="008418D5" w:rsidRPr="004F20E8" w:rsidRDefault="008418D5" w:rsidP="008418D5">
            <w:pPr>
              <w:ind w:right="-70"/>
              <w:rPr>
                <w:rFonts w:cstheme="minorHAnsi"/>
                <w:b/>
                <w:color w:val="FFFFFF" w:themeColor="background1"/>
                <w:sz w:val="24"/>
                <w:szCs w:val="24"/>
              </w:rPr>
            </w:pPr>
            <w:r w:rsidRPr="004F20E8">
              <w:rPr>
                <w:rFonts w:cstheme="minorHAnsi"/>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4F20E8" w14:paraId="6945899C" w14:textId="77777777" w:rsidTr="260026B7">
        <w:tc>
          <w:tcPr>
            <w:tcW w:w="5217" w:type="dxa"/>
            <w:shd w:val="clear" w:color="auto" w:fill="D9D9D9" w:themeFill="background1" w:themeFillShade="D9"/>
            <w:vAlign w:val="center"/>
          </w:tcPr>
          <w:p w14:paraId="20F822DF" w14:textId="77777777" w:rsidR="002F7643" w:rsidRPr="004F20E8" w:rsidRDefault="00A25907" w:rsidP="00A25907">
            <w:pPr>
              <w:keepNext/>
              <w:autoSpaceDE w:val="0"/>
              <w:autoSpaceDN w:val="0"/>
              <w:spacing w:before="120" w:after="120" w:line="240" w:lineRule="auto"/>
              <w:ind w:left="284"/>
              <w:jc w:val="center"/>
              <w:outlineLvl w:val="2"/>
              <w:rPr>
                <w:rFonts w:eastAsia="Batang" w:cstheme="minorHAnsi"/>
                <w:b/>
                <w:sz w:val="24"/>
                <w:szCs w:val="24"/>
                <w:lang w:eastAsia="ko-KR"/>
              </w:rPr>
            </w:pPr>
            <w:r w:rsidRPr="004F20E8">
              <w:rPr>
                <w:rFonts w:eastAsia="Batang" w:cstheme="minorHAnsi"/>
                <w:b/>
                <w:sz w:val="24"/>
                <w:szCs w:val="24"/>
                <w:lang w:eastAsia="ko-KR"/>
              </w:rPr>
              <w:t>Mode of Assessment</w:t>
            </w:r>
          </w:p>
        </w:tc>
        <w:tc>
          <w:tcPr>
            <w:tcW w:w="1984" w:type="dxa"/>
            <w:shd w:val="clear" w:color="auto" w:fill="D9D9D9" w:themeFill="background1" w:themeFillShade="D9"/>
          </w:tcPr>
          <w:p w14:paraId="6A5E7A22" w14:textId="77777777" w:rsidR="002F7643" w:rsidRPr="004F20E8" w:rsidRDefault="002F7643" w:rsidP="002F7643">
            <w:pPr>
              <w:autoSpaceDE w:val="0"/>
              <w:autoSpaceDN w:val="0"/>
              <w:spacing w:before="120" w:after="120" w:line="240" w:lineRule="auto"/>
              <w:jc w:val="center"/>
              <w:rPr>
                <w:rFonts w:eastAsia="Batang" w:cstheme="minorHAnsi"/>
                <w:b/>
                <w:bCs/>
                <w:sz w:val="24"/>
                <w:szCs w:val="24"/>
                <w:lang w:eastAsia="ko-KR"/>
              </w:rPr>
            </w:pPr>
            <w:r w:rsidRPr="004F20E8">
              <w:rPr>
                <w:rFonts w:eastAsia="Batang" w:cstheme="minorHAnsi"/>
                <w:b/>
                <w:bCs/>
                <w:sz w:val="24"/>
                <w:szCs w:val="24"/>
                <w:lang w:eastAsia="ko-KR"/>
              </w:rPr>
              <w:t>Length required</w:t>
            </w:r>
          </w:p>
        </w:tc>
        <w:tc>
          <w:tcPr>
            <w:tcW w:w="2439" w:type="dxa"/>
            <w:shd w:val="clear" w:color="auto" w:fill="D9D9D9" w:themeFill="background1" w:themeFillShade="D9"/>
          </w:tcPr>
          <w:p w14:paraId="4580623D" w14:textId="77777777" w:rsidR="002F7643" w:rsidRPr="004F20E8" w:rsidRDefault="002F7643" w:rsidP="002F7643">
            <w:pPr>
              <w:autoSpaceDE w:val="0"/>
              <w:autoSpaceDN w:val="0"/>
              <w:spacing w:before="120" w:after="120" w:line="240" w:lineRule="auto"/>
              <w:jc w:val="center"/>
              <w:rPr>
                <w:rFonts w:eastAsia="Batang" w:cstheme="minorHAnsi"/>
                <w:b/>
                <w:bCs/>
                <w:sz w:val="24"/>
                <w:szCs w:val="24"/>
                <w:lang w:eastAsia="ko-KR"/>
              </w:rPr>
            </w:pPr>
            <w:r w:rsidRPr="004F20E8">
              <w:rPr>
                <w:rFonts w:eastAsia="Batang" w:cstheme="minorHAnsi"/>
                <w:b/>
                <w:bCs/>
                <w:sz w:val="24"/>
                <w:szCs w:val="24"/>
                <w:lang w:eastAsia="ko-KR"/>
              </w:rPr>
              <w:t>Weighting within unit</w:t>
            </w:r>
          </w:p>
        </w:tc>
      </w:tr>
      <w:tr w:rsidR="008418D5" w:rsidRPr="004F20E8" w14:paraId="78C69B49" w14:textId="77777777" w:rsidTr="260026B7">
        <w:tc>
          <w:tcPr>
            <w:tcW w:w="5217" w:type="dxa"/>
          </w:tcPr>
          <w:p w14:paraId="278EC297" w14:textId="103226C1" w:rsidR="008418D5" w:rsidRPr="004F20E8" w:rsidRDefault="008418D5" w:rsidP="001A61ED">
            <w:pPr>
              <w:spacing w:after="0" w:line="240" w:lineRule="auto"/>
            </w:pPr>
            <w:r w:rsidRPr="260026B7">
              <w:rPr>
                <w:sz w:val="23"/>
                <w:szCs w:val="23"/>
              </w:rPr>
              <w:t xml:space="preserve">Students will prepare one term paper based on the ideas and techniques discussed in the course. Additional details about the grading administration and submission date will be provided by Prof. Maria Marchica and available in </w:t>
            </w:r>
            <w:r w:rsidR="7A06CD2D" w:rsidRPr="260026B7">
              <w:rPr>
                <w:sz w:val="23"/>
                <w:szCs w:val="23"/>
              </w:rPr>
              <w:t>Canvas</w:t>
            </w:r>
            <w:r w:rsidRPr="260026B7">
              <w:rPr>
                <w:sz w:val="23"/>
                <w:szCs w:val="23"/>
              </w:rPr>
              <w:t>.</w:t>
            </w:r>
          </w:p>
        </w:tc>
        <w:tc>
          <w:tcPr>
            <w:tcW w:w="1984" w:type="dxa"/>
          </w:tcPr>
          <w:p w14:paraId="2ACBF43F" w14:textId="6D4E3E70" w:rsidR="008418D5" w:rsidRPr="004F20E8" w:rsidRDefault="008418D5" w:rsidP="001A61ED">
            <w:pPr>
              <w:autoSpaceDE w:val="0"/>
              <w:autoSpaceDN w:val="0"/>
              <w:spacing w:after="0" w:line="240" w:lineRule="auto"/>
              <w:jc w:val="center"/>
              <w:rPr>
                <w:rFonts w:eastAsia="Batang" w:cstheme="minorHAnsi"/>
                <w:lang w:eastAsia="ko-KR"/>
              </w:rPr>
            </w:pPr>
            <w:r w:rsidRPr="004F20E8">
              <w:rPr>
                <w:rFonts w:cstheme="minorHAnsi"/>
              </w:rPr>
              <w:t>3,000</w:t>
            </w:r>
          </w:p>
        </w:tc>
        <w:tc>
          <w:tcPr>
            <w:tcW w:w="2439" w:type="dxa"/>
          </w:tcPr>
          <w:p w14:paraId="6D65E31C" w14:textId="6DBE3BB5" w:rsidR="008418D5" w:rsidRPr="004F20E8" w:rsidRDefault="008418D5" w:rsidP="001A61ED">
            <w:pPr>
              <w:autoSpaceDE w:val="0"/>
              <w:autoSpaceDN w:val="0"/>
              <w:spacing w:after="0" w:line="240" w:lineRule="auto"/>
              <w:jc w:val="center"/>
              <w:rPr>
                <w:rFonts w:eastAsia="Batang" w:cstheme="minorHAnsi"/>
                <w:lang w:eastAsia="ko-KR"/>
              </w:rPr>
            </w:pPr>
            <w:r w:rsidRPr="004F20E8">
              <w:rPr>
                <w:rFonts w:cstheme="minorHAnsi"/>
              </w:rPr>
              <w:t>100%</w:t>
            </w:r>
          </w:p>
        </w:tc>
      </w:tr>
      <w:tr w:rsidR="008418D5" w:rsidRPr="004F20E8" w14:paraId="3618AA59" w14:textId="77777777" w:rsidTr="260026B7">
        <w:tc>
          <w:tcPr>
            <w:tcW w:w="5217" w:type="dxa"/>
          </w:tcPr>
          <w:p w14:paraId="352EA4FE" w14:textId="73554725" w:rsidR="008418D5" w:rsidRPr="004F20E8" w:rsidRDefault="008418D5" w:rsidP="001A61ED">
            <w:pPr>
              <w:autoSpaceDE w:val="0"/>
              <w:autoSpaceDN w:val="0"/>
              <w:spacing w:after="0" w:line="240" w:lineRule="auto"/>
              <w:rPr>
                <w:rFonts w:cstheme="minorHAnsi"/>
                <w:b/>
              </w:rPr>
            </w:pPr>
          </w:p>
        </w:tc>
        <w:tc>
          <w:tcPr>
            <w:tcW w:w="1984" w:type="dxa"/>
            <w:vAlign w:val="center"/>
          </w:tcPr>
          <w:p w14:paraId="597C7FAF" w14:textId="77777777" w:rsidR="008418D5" w:rsidRPr="004F20E8" w:rsidRDefault="008418D5" w:rsidP="001A61ED">
            <w:pPr>
              <w:autoSpaceDE w:val="0"/>
              <w:autoSpaceDN w:val="0"/>
              <w:spacing w:after="0" w:line="240" w:lineRule="auto"/>
              <w:jc w:val="center"/>
              <w:rPr>
                <w:rFonts w:eastAsia="Batang" w:cstheme="minorHAnsi"/>
                <w:lang w:eastAsia="ko-KR"/>
              </w:rPr>
            </w:pPr>
          </w:p>
        </w:tc>
        <w:tc>
          <w:tcPr>
            <w:tcW w:w="2439" w:type="dxa"/>
            <w:vAlign w:val="center"/>
          </w:tcPr>
          <w:p w14:paraId="183B4D7E" w14:textId="77777777" w:rsidR="008418D5" w:rsidRPr="004F20E8" w:rsidRDefault="008418D5" w:rsidP="001A61ED">
            <w:pPr>
              <w:autoSpaceDE w:val="0"/>
              <w:autoSpaceDN w:val="0"/>
              <w:spacing w:after="0" w:line="240" w:lineRule="auto"/>
              <w:jc w:val="center"/>
              <w:rPr>
                <w:rFonts w:eastAsia="Batang" w:cstheme="minorHAnsi"/>
                <w:lang w:eastAsia="ko-KR"/>
              </w:rPr>
            </w:pPr>
          </w:p>
        </w:tc>
      </w:tr>
      <w:tr w:rsidR="008418D5" w:rsidRPr="004F20E8" w14:paraId="1821A6AB" w14:textId="77777777" w:rsidTr="260026B7">
        <w:tc>
          <w:tcPr>
            <w:tcW w:w="5217" w:type="dxa"/>
          </w:tcPr>
          <w:p w14:paraId="51CCDDB0" w14:textId="77777777" w:rsidR="008418D5" w:rsidRPr="004F20E8" w:rsidRDefault="008418D5" w:rsidP="001A61ED">
            <w:pPr>
              <w:autoSpaceDE w:val="0"/>
              <w:autoSpaceDN w:val="0"/>
              <w:spacing w:after="0" w:line="240" w:lineRule="auto"/>
              <w:jc w:val="both"/>
              <w:rPr>
                <w:rFonts w:eastAsia="Batang" w:cstheme="minorHAnsi"/>
                <w:b/>
                <w:sz w:val="23"/>
                <w:szCs w:val="23"/>
                <w:lang w:eastAsia="ko-KR"/>
              </w:rPr>
            </w:pPr>
            <w:r w:rsidRPr="004F20E8">
              <w:rPr>
                <w:rFonts w:eastAsia="Batang" w:cstheme="minorHAnsi"/>
                <w:b/>
                <w:sz w:val="23"/>
                <w:szCs w:val="23"/>
                <w:lang w:eastAsia="ko-KR"/>
              </w:rPr>
              <w:t>Resits:</w:t>
            </w:r>
          </w:p>
          <w:p w14:paraId="3B617CC8" w14:textId="77777777" w:rsidR="008418D5" w:rsidRPr="004F20E8" w:rsidRDefault="008418D5" w:rsidP="001A61ED">
            <w:pPr>
              <w:autoSpaceDE w:val="0"/>
              <w:autoSpaceDN w:val="0"/>
              <w:spacing w:after="0" w:line="240" w:lineRule="auto"/>
              <w:jc w:val="both"/>
              <w:rPr>
                <w:rFonts w:eastAsia="Batang" w:cstheme="minorHAnsi"/>
                <w:sz w:val="23"/>
                <w:szCs w:val="23"/>
                <w:lang w:eastAsia="ko-KR"/>
              </w:rPr>
            </w:pPr>
            <w:r w:rsidRPr="004F20E8">
              <w:rPr>
                <w:rFonts w:eastAsia="Batang" w:cstheme="minorHAnsi"/>
                <w:sz w:val="23"/>
                <w:szCs w:val="23"/>
                <w:lang w:eastAsia="ko-KR"/>
              </w:rPr>
              <w:t>One term paper based on the ideas and</w:t>
            </w:r>
          </w:p>
          <w:p w14:paraId="764031EF" w14:textId="25FCE850" w:rsidR="008418D5" w:rsidRPr="004F20E8" w:rsidRDefault="008418D5" w:rsidP="001A61ED">
            <w:pPr>
              <w:spacing w:after="0" w:line="240" w:lineRule="auto"/>
              <w:rPr>
                <w:rFonts w:cstheme="minorHAnsi"/>
                <w:color w:val="FF0000"/>
              </w:rPr>
            </w:pPr>
            <w:r w:rsidRPr="004F20E8">
              <w:rPr>
                <w:rFonts w:eastAsia="Batang" w:cstheme="minorHAnsi"/>
                <w:sz w:val="23"/>
                <w:szCs w:val="23"/>
                <w:lang w:eastAsia="ko-KR"/>
              </w:rPr>
              <w:t>techniques discussed in the course.</w:t>
            </w:r>
          </w:p>
        </w:tc>
        <w:tc>
          <w:tcPr>
            <w:tcW w:w="1984" w:type="dxa"/>
          </w:tcPr>
          <w:p w14:paraId="17C885C1" w14:textId="72690EDD" w:rsidR="008418D5" w:rsidRPr="004F20E8" w:rsidRDefault="008418D5" w:rsidP="001A61ED">
            <w:pPr>
              <w:autoSpaceDE w:val="0"/>
              <w:autoSpaceDN w:val="0"/>
              <w:spacing w:after="0" w:line="240" w:lineRule="auto"/>
              <w:jc w:val="center"/>
              <w:rPr>
                <w:rFonts w:eastAsia="Batang" w:cstheme="minorHAnsi"/>
                <w:lang w:eastAsia="ko-KR"/>
              </w:rPr>
            </w:pPr>
            <w:r w:rsidRPr="004F20E8">
              <w:rPr>
                <w:rFonts w:cstheme="minorHAnsi"/>
              </w:rPr>
              <w:t>3,000</w:t>
            </w:r>
          </w:p>
        </w:tc>
        <w:tc>
          <w:tcPr>
            <w:tcW w:w="2439" w:type="dxa"/>
          </w:tcPr>
          <w:p w14:paraId="02BFEE32" w14:textId="436C3144" w:rsidR="008418D5" w:rsidRPr="004F20E8" w:rsidRDefault="008418D5" w:rsidP="001A61ED">
            <w:pPr>
              <w:autoSpaceDE w:val="0"/>
              <w:autoSpaceDN w:val="0"/>
              <w:spacing w:after="0" w:line="240" w:lineRule="auto"/>
              <w:jc w:val="center"/>
              <w:rPr>
                <w:rFonts w:eastAsia="Batang" w:cstheme="minorHAnsi"/>
                <w:lang w:eastAsia="ko-KR"/>
              </w:rPr>
            </w:pPr>
            <w:r w:rsidRPr="004F20E8">
              <w:rPr>
                <w:rFonts w:cstheme="minorHAnsi"/>
              </w:rPr>
              <w:t>100%</w:t>
            </w:r>
          </w:p>
        </w:tc>
      </w:tr>
    </w:tbl>
    <w:tbl>
      <w:tblPr>
        <w:tblStyle w:val="TableGrid"/>
        <w:tblW w:w="9640" w:type="dxa"/>
        <w:tblInd w:w="-147" w:type="dxa"/>
        <w:tblLook w:val="04A0" w:firstRow="1" w:lastRow="0" w:firstColumn="1" w:lastColumn="0" w:noHBand="0" w:noVBand="1"/>
      </w:tblPr>
      <w:tblGrid>
        <w:gridCol w:w="9640"/>
      </w:tblGrid>
      <w:tr w:rsidR="009526CA" w:rsidRPr="004F20E8" w14:paraId="4ECDF710" w14:textId="77777777" w:rsidTr="00345BBB">
        <w:tc>
          <w:tcPr>
            <w:tcW w:w="9640" w:type="dxa"/>
            <w:shd w:val="clear" w:color="auto" w:fill="7030A0"/>
          </w:tcPr>
          <w:p w14:paraId="5E03B1EF" w14:textId="77777777" w:rsidR="009526CA" w:rsidRPr="004F20E8" w:rsidRDefault="009526CA" w:rsidP="003A0F8F">
            <w:pPr>
              <w:rPr>
                <w:rFonts w:cstheme="minorHAnsi"/>
                <w:b/>
                <w:color w:val="FFFFFF" w:themeColor="background1"/>
                <w:sz w:val="24"/>
                <w:szCs w:val="24"/>
              </w:rPr>
            </w:pPr>
            <w:r w:rsidRPr="004F20E8">
              <w:rPr>
                <w:rFonts w:cstheme="minorHAnsi"/>
                <w:b/>
                <w:color w:val="FFFFFF" w:themeColor="background1"/>
                <w:sz w:val="24"/>
                <w:szCs w:val="24"/>
              </w:rPr>
              <w:t>Feedback</w:t>
            </w:r>
            <w:r w:rsidR="00A25907" w:rsidRPr="004F20E8">
              <w:rPr>
                <w:rFonts w:cstheme="minorHAnsi"/>
                <w:b/>
                <w:color w:val="FFFFFF" w:themeColor="background1"/>
                <w:sz w:val="24"/>
                <w:szCs w:val="24"/>
              </w:rPr>
              <w:t xml:space="preserve"> methods</w:t>
            </w:r>
          </w:p>
        </w:tc>
      </w:tr>
      <w:tr w:rsidR="00A25907" w:rsidRPr="004F20E8" w14:paraId="16C58CF8" w14:textId="77777777" w:rsidTr="00345BBB">
        <w:tc>
          <w:tcPr>
            <w:tcW w:w="9640" w:type="dxa"/>
          </w:tcPr>
          <w:p w14:paraId="4DF7A567" w14:textId="77777777" w:rsidR="008418D5" w:rsidRPr="004F20E8" w:rsidRDefault="008418D5" w:rsidP="008418D5">
            <w:pPr>
              <w:spacing w:before="120" w:after="120"/>
              <w:jc w:val="both"/>
              <w:rPr>
                <w:rFonts w:cstheme="minorHAnsi"/>
              </w:rPr>
            </w:pPr>
            <w:r w:rsidRPr="004F20E8">
              <w:rPr>
                <w:rFonts w:cstheme="minorHAnsi"/>
              </w:rPr>
              <w:t xml:space="preserve">Feedback will be provided by student’s supervisors along with the final mark on the assessment. </w:t>
            </w:r>
          </w:p>
          <w:p w14:paraId="01D6569E" w14:textId="6CE1B39D" w:rsidR="00A25907" w:rsidRPr="001A61ED" w:rsidRDefault="008418D5" w:rsidP="001A61ED">
            <w:pPr>
              <w:spacing w:before="120" w:after="120"/>
              <w:jc w:val="both"/>
              <w:rPr>
                <w:rFonts w:cstheme="minorHAnsi"/>
                <w:b/>
              </w:rPr>
            </w:pPr>
            <w:r w:rsidRPr="004F20E8">
              <w:rPr>
                <w:rFonts w:cstheme="minorHAnsi"/>
              </w:rPr>
              <w:t>Students may provide feedback on this course by writing an email to Prof. Maria Marchica.</w:t>
            </w:r>
          </w:p>
        </w:tc>
      </w:tr>
    </w:tbl>
    <w:p w14:paraId="63582F24" w14:textId="77777777" w:rsidR="006B3CA7" w:rsidRPr="004F20E8" w:rsidRDefault="006B3CA7" w:rsidP="006B3CA7">
      <w:pPr>
        <w:pStyle w:val="xmsonormal"/>
        <w:rPr>
          <w:rFonts w:asciiTheme="minorHAnsi" w:hAnsiTheme="minorHAnsi" w:cstheme="minorHAnsi"/>
          <w:color w:val="FF0000"/>
        </w:rPr>
      </w:pPr>
    </w:p>
    <w:tbl>
      <w:tblPr>
        <w:tblStyle w:val="TableGrid"/>
        <w:tblW w:w="9640" w:type="dxa"/>
        <w:tblInd w:w="-147" w:type="dxa"/>
        <w:tblLook w:val="04A0" w:firstRow="1" w:lastRow="0" w:firstColumn="1" w:lastColumn="0" w:noHBand="0" w:noVBand="1"/>
      </w:tblPr>
      <w:tblGrid>
        <w:gridCol w:w="9640"/>
      </w:tblGrid>
      <w:tr w:rsidR="006B3CA7" w:rsidRPr="004F20E8" w14:paraId="3CCFAB21" w14:textId="77777777" w:rsidTr="00AC4791">
        <w:tc>
          <w:tcPr>
            <w:tcW w:w="9640" w:type="dxa"/>
            <w:shd w:val="clear" w:color="auto" w:fill="7030A0"/>
          </w:tcPr>
          <w:p w14:paraId="6B15C266" w14:textId="3967BAFD" w:rsidR="006B3CA7" w:rsidRPr="004F20E8" w:rsidRDefault="006B3CA7" w:rsidP="00AC4791">
            <w:pPr>
              <w:rPr>
                <w:rFonts w:cstheme="minorHAnsi"/>
                <w:b/>
                <w:color w:val="FFFFFF" w:themeColor="background1"/>
                <w:sz w:val="24"/>
                <w:szCs w:val="24"/>
              </w:rPr>
            </w:pPr>
            <w:r w:rsidRPr="004F20E8">
              <w:rPr>
                <w:rFonts w:cstheme="minorHAnsi"/>
                <w:b/>
                <w:color w:val="FFFFFF" w:themeColor="background1"/>
                <w:sz w:val="24"/>
                <w:szCs w:val="24"/>
              </w:rPr>
              <w:t>Social Responsibility</w:t>
            </w:r>
          </w:p>
        </w:tc>
      </w:tr>
    </w:tbl>
    <w:p w14:paraId="541C68AD" w14:textId="77777777" w:rsidR="006B3CA7" w:rsidRPr="004F20E8" w:rsidRDefault="006B3CA7" w:rsidP="006B3CA7">
      <w:pPr>
        <w:pStyle w:val="xmsonormal"/>
        <w:rPr>
          <w:rFonts w:asciiTheme="minorHAnsi" w:hAnsiTheme="minorHAnsi" w:cstheme="minorHAnsi"/>
          <w:color w:val="FF0000"/>
        </w:rPr>
      </w:pPr>
    </w:p>
    <w:p w14:paraId="4C2869FA" w14:textId="4915604E" w:rsidR="006B3CA7" w:rsidRPr="004F20E8" w:rsidRDefault="006B3CA7" w:rsidP="006B3CA7">
      <w:pPr>
        <w:pStyle w:val="xmsonormal"/>
        <w:rPr>
          <w:rStyle w:val="xnormaltextrun"/>
          <w:rFonts w:asciiTheme="minorHAnsi" w:hAnsiTheme="minorHAnsi" w:cstheme="minorHAnsi"/>
          <w:i/>
          <w:iCs/>
          <w:color w:val="000000"/>
          <w:sz w:val="22"/>
          <w:szCs w:val="22"/>
          <w:shd w:val="clear" w:color="auto" w:fill="FFFFFF"/>
        </w:rPr>
      </w:pPr>
      <w:r w:rsidRPr="004F20E8">
        <w:rPr>
          <w:rStyle w:val="xnormaltextrun"/>
          <w:rFonts w:asciiTheme="minorHAnsi" w:hAnsiTheme="minorHAnsi" w:cstheme="minorHAns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Pr="004F20E8" w:rsidRDefault="006B3CA7" w:rsidP="006B3CA7">
      <w:pPr>
        <w:pStyle w:val="xmsonormal"/>
        <w:ind w:left="567"/>
        <w:rPr>
          <w:rStyle w:val="xnormaltextrun"/>
          <w:rFonts w:asciiTheme="minorHAnsi" w:hAnsiTheme="minorHAnsi" w:cstheme="minorHAns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rsidRPr="004F20E8"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C83A190" w14:textId="413A3A39" w:rsidR="006B3CA7" w:rsidRPr="004F20E8" w:rsidRDefault="00A42DF7">
            <w:pPr>
              <w:pStyle w:val="xmsonormal"/>
              <w:spacing w:line="256" w:lineRule="auto"/>
              <w:rPr>
                <w:rStyle w:val="xnormaltextrun"/>
                <w:rFonts w:asciiTheme="minorHAnsi" w:hAnsiTheme="minorHAnsi" w:cstheme="minorHAnsi"/>
                <w:i/>
                <w:iCs/>
                <w:color w:val="000000"/>
                <w:shd w:val="clear" w:color="auto" w:fill="FFFFFF"/>
                <w:lang w:eastAsia="en-US"/>
              </w:rPr>
            </w:pPr>
            <w:r w:rsidRPr="004F20E8">
              <w:rPr>
                <w:rFonts w:asciiTheme="minorHAnsi" w:hAnsiTheme="minorHAnsi" w:cstheme="minorHAnsi"/>
                <w:sz w:val="22"/>
                <w:szCs w:val="22"/>
              </w:rPr>
              <w:t xml:space="preserve">This module will help students to develop a critical thinking and reasoning skills </w:t>
            </w:r>
            <w:r w:rsidR="00BE5D47" w:rsidRPr="004F20E8">
              <w:rPr>
                <w:rFonts w:asciiTheme="minorHAnsi" w:hAnsiTheme="minorHAnsi" w:cstheme="minorHAnsi"/>
                <w:sz w:val="22"/>
                <w:szCs w:val="22"/>
              </w:rPr>
              <w:t>and be able to operationalize empirical research on topics that are central to corporate finance, and more broadly, to apply “state-of-the-art” empirical research methods to their own studies that relate not only to corporate finance, but also to finance, accounting, and economics, not just within academia, but also in other research-intensive institutions.</w:t>
            </w:r>
          </w:p>
          <w:p w14:paraId="50D9CB28" w14:textId="77777777" w:rsidR="006B3CA7" w:rsidRPr="004F20E8" w:rsidRDefault="006B3CA7">
            <w:pPr>
              <w:pStyle w:val="xmsonormal"/>
              <w:spacing w:line="256" w:lineRule="auto"/>
              <w:rPr>
                <w:rStyle w:val="xnormaltextrun"/>
                <w:rFonts w:asciiTheme="minorHAnsi" w:hAnsiTheme="minorHAnsi" w:cstheme="minorHAnsi"/>
                <w:i/>
                <w:iCs/>
                <w:color w:val="000000"/>
                <w:sz w:val="22"/>
                <w:szCs w:val="22"/>
                <w:shd w:val="clear" w:color="auto" w:fill="FFFFFF"/>
                <w:lang w:eastAsia="en-US"/>
              </w:rPr>
            </w:pPr>
          </w:p>
        </w:tc>
      </w:tr>
    </w:tbl>
    <w:p w14:paraId="79305A2E" w14:textId="77777777" w:rsidR="006B3CA7" w:rsidRPr="004F20E8" w:rsidRDefault="006B3CA7" w:rsidP="006B3CA7">
      <w:pPr>
        <w:pStyle w:val="xmsonormal"/>
        <w:ind w:left="567"/>
        <w:rPr>
          <w:rStyle w:val="xnormaltextrun"/>
          <w:rFonts w:asciiTheme="minorHAnsi" w:hAnsiTheme="minorHAnsi" w:cstheme="minorHAnsi"/>
          <w:i/>
          <w:iCs/>
          <w:color w:val="000000"/>
          <w:sz w:val="22"/>
          <w:szCs w:val="22"/>
          <w:shd w:val="clear" w:color="auto" w:fill="FFFFFF"/>
        </w:rPr>
      </w:pPr>
    </w:p>
    <w:p w14:paraId="4F0084C8" w14:textId="77777777" w:rsidR="006B3CA7" w:rsidRPr="004F20E8" w:rsidRDefault="006B3CA7" w:rsidP="006B3CA7">
      <w:pPr>
        <w:pStyle w:val="xmsonormal"/>
        <w:ind w:left="567"/>
        <w:rPr>
          <w:rStyle w:val="xeop"/>
          <w:rFonts w:asciiTheme="minorHAnsi" w:hAnsiTheme="minorHAnsi" w:cstheme="minorHAnsi"/>
        </w:rPr>
      </w:pPr>
      <w:r w:rsidRPr="004F20E8">
        <w:rPr>
          <w:rStyle w:val="xeop"/>
          <w:rFonts w:asciiTheme="minorHAnsi" w:hAnsiTheme="minorHAnsi" w:cstheme="minorHAnsi"/>
          <w:i/>
          <w:iCs/>
          <w:color w:val="000000"/>
          <w:sz w:val="22"/>
          <w:szCs w:val="22"/>
          <w:shd w:val="clear" w:color="auto" w:fill="FFFFFF"/>
        </w:rPr>
        <w:t>Please indicate by ticking the box(es) below, which specific aspect of SR your module is linked to:</w:t>
      </w:r>
    </w:p>
    <w:p w14:paraId="61F2C00D" w14:textId="77777777" w:rsidR="006B3CA7" w:rsidRPr="004F20E8" w:rsidRDefault="006B3CA7" w:rsidP="006B3CA7">
      <w:pPr>
        <w:pStyle w:val="xmsonormal"/>
        <w:ind w:left="567"/>
        <w:rPr>
          <w:rStyle w:val="xeop"/>
          <w:rFonts w:asciiTheme="minorHAnsi" w:hAnsiTheme="minorHAnsi" w:cstheme="minorHAns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rsidRPr="004F20E8"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4F20E8">
              <w:rPr>
                <w:rStyle w:val="xeop"/>
                <w:rFonts w:asciiTheme="minorHAnsi" w:hAnsiTheme="minorHAnsi" w:cstheme="minorHAns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4F20E8">
              <w:rPr>
                <w:rStyle w:val="xeop"/>
                <w:rFonts w:asciiTheme="minorHAnsi" w:hAnsiTheme="minorHAnsi" w:cstheme="minorHAnsi"/>
                <w:color w:val="000000"/>
                <w:sz w:val="22"/>
                <w:szCs w:val="22"/>
                <w:shd w:val="clear" w:color="auto" w:fill="FFFFFF"/>
                <w:lang w:eastAsia="en-US"/>
              </w:rPr>
              <w:t>Environmental Sustainability</w:t>
            </w:r>
          </w:p>
        </w:tc>
      </w:tr>
      <w:tr w:rsidR="006B3CA7" w:rsidRPr="004F20E8"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r>
      <w:tr w:rsidR="006B3CA7" w:rsidRPr="004F20E8"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4F20E8">
              <w:rPr>
                <w:rStyle w:val="xeop"/>
                <w:rFonts w:asciiTheme="minorHAnsi" w:hAnsiTheme="minorHAnsi" w:cstheme="minorHAns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Pr="004F20E8"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r>
    </w:tbl>
    <w:p w14:paraId="2A415F43" w14:textId="77777777" w:rsidR="006B3CA7" w:rsidRPr="004F20E8" w:rsidRDefault="006B3CA7" w:rsidP="006B3CA7">
      <w:pPr>
        <w:pStyle w:val="xmsonormal"/>
        <w:ind w:left="567"/>
        <w:rPr>
          <w:rStyle w:val="xeop"/>
          <w:rFonts w:asciiTheme="minorHAnsi" w:hAnsiTheme="minorHAnsi" w:cstheme="minorHAns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rsidRPr="004F20E8"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54693F" w14:textId="77777777" w:rsidR="006B3CA7" w:rsidRPr="004F20E8"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r>
    </w:tbl>
    <w:p w14:paraId="2E6E5269" w14:textId="77777777" w:rsidR="006B3CA7" w:rsidRPr="004F20E8" w:rsidRDefault="006B3CA7" w:rsidP="006B3CA7">
      <w:pPr>
        <w:pStyle w:val="xmsonormal"/>
        <w:rPr>
          <w:rStyle w:val="xeop"/>
          <w:rFonts w:asciiTheme="minorHAnsi" w:hAnsiTheme="minorHAnsi" w:cstheme="minorHAnsi"/>
          <w:i/>
          <w:iCs/>
          <w:color w:val="000000"/>
          <w:sz w:val="22"/>
          <w:szCs w:val="22"/>
          <w:shd w:val="clear" w:color="auto" w:fill="FFFFFF"/>
        </w:rPr>
      </w:pPr>
    </w:p>
    <w:p w14:paraId="37CC84ED" w14:textId="77777777" w:rsidR="006B3CA7" w:rsidRPr="004F20E8" w:rsidRDefault="006B3CA7" w:rsidP="006B3CA7">
      <w:pPr>
        <w:pStyle w:val="xmsonormal"/>
        <w:rPr>
          <w:rFonts w:asciiTheme="minorHAnsi" w:hAnsiTheme="minorHAnsi" w:cstheme="minorHAnsi"/>
        </w:rPr>
      </w:pPr>
      <w:r w:rsidRPr="004F20E8">
        <w:rPr>
          <w:rStyle w:val="xeop"/>
          <w:rFonts w:asciiTheme="minorHAnsi" w:hAnsiTheme="minorHAnsi" w:cstheme="minorHAnsi"/>
          <w:i/>
          <w:iCs/>
          <w:color w:val="000000"/>
          <w:sz w:val="22"/>
          <w:szCs w:val="22"/>
          <w:shd w:val="clear" w:color="auto" w:fill="FFFFFF"/>
        </w:rPr>
        <w:t xml:space="preserve">* If a UN SDG, please note which one by reviewing the list </w:t>
      </w:r>
      <w:hyperlink r:id="rId12" w:history="1">
        <w:r w:rsidRPr="004F20E8">
          <w:rPr>
            <w:rStyle w:val="Hyperlink"/>
            <w:rFonts w:asciiTheme="minorHAnsi" w:hAnsiTheme="minorHAnsi" w:cstheme="minorHAnsi"/>
            <w:i/>
            <w:iCs/>
            <w:sz w:val="22"/>
            <w:szCs w:val="22"/>
            <w:shd w:val="clear" w:color="auto" w:fill="FFFFFF"/>
          </w:rPr>
          <w:t>here</w:t>
        </w:r>
      </w:hyperlink>
      <w:r w:rsidRPr="004F20E8">
        <w:rPr>
          <w:rStyle w:val="xeop"/>
          <w:rFonts w:asciiTheme="minorHAnsi" w:hAnsiTheme="minorHAnsi" w:cstheme="minorHAnsi"/>
          <w:i/>
          <w:iCs/>
          <w:color w:val="000000"/>
          <w:sz w:val="22"/>
          <w:szCs w:val="22"/>
          <w:shd w:val="clear" w:color="auto" w:fill="FFFFFF"/>
        </w:rPr>
        <w:t xml:space="preserve"> </w:t>
      </w:r>
    </w:p>
    <w:p w14:paraId="731C6FE8" w14:textId="77777777" w:rsidR="006B3CA7" w:rsidRPr="004F20E8" w:rsidRDefault="006B3CA7" w:rsidP="006B3CA7">
      <w:pPr>
        <w:pStyle w:val="xmsonormal"/>
        <w:rPr>
          <w:rFonts w:asciiTheme="minorHAnsi" w:hAnsiTheme="minorHAnsi" w:cstheme="minorHAnsi"/>
        </w:rPr>
      </w:pPr>
    </w:p>
    <w:p w14:paraId="73E90FC1" w14:textId="3C145562" w:rsidR="006B3CA7" w:rsidRPr="004F20E8" w:rsidRDefault="006B3CA7" w:rsidP="006B3CA7">
      <w:pPr>
        <w:pStyle w:val="xmsonormal"/>
        <w:rPr>
          <w:rStyle w:val="xeop"/>
          <w:rFonts w:asciiTheme="minorHAnsi" w:hAnsiTheme="minorHAnsi" w:cstheme="minorHAnsi"/>
        </w:rPr>
      </w:pPr>
      <w:r w:rsidRPr="004F20E8">
        <w:rPr>
          <w:rStyle w:val="xeop"/>
          <w:rFonts w:asciiTheme="minorHAnsi" w:hAnsiTheme="minorHAnsi" w:cstheme="minorHAnsi"/>
          <w:i/>
          <w:iCs/>
          <w:color w:val="000000"/>
          <w:sz w:val="22"/>
          <w:szCs w:val="22"/>
          <w:shd w:val="clear" w:color="auto" w:fill="FFFFFF"/>
        </w:rPr>
        <w:t>For additional support on how embed SR into your module, please review the resources here:</w:t>
      </w:r>
    </w:p>
    <w:p w14:paraId="4F0E556D" w14:textId="151793ED" w:rsidR="006B3CA7" w:rsidRPr="004F20E8" w:rsidRDefault="006B3CA7" w:rsidP="006B3CA7">
      <w:pPr>
        <w:pStyle w:val="xmsonormal"/>
        <w:rPr>
          <w:rFonts w:asciiTheme="minorHAnsi" w:hAnsiTheme="minorHAnsi" w:cstheme="minorHAnsi"/>
        </w:rPr>
      </w:pPr>
      <w:hyperlink r:id="rId13" w:history="1">
        <w:r w:rsidRPr="004F20E8">
          <w:rPr>
            <w:rStyle w:val="Hyperlink"/>
            <w:rFonts w:asciiTheme="minorHAnsi" w:hAnsiTheme="minorHAnsi" w:cstheme="minorHAnsi"/>
            <w:i/>
            <w:iCs/>
            <w:sz w:val="22"/>
            <w:szCs w:val="22"/>
          </w:rPr>
          <w:t>https://documents.manchester.ac.uk/DocuInfo.aspx?DocID=51837</w:t>
        </w:r>
      </w:hyperlink>
    </w:p>
    <w:p w14:paraId="33BDC7F6" w14:textId="29B476A3" w:rsidR="009526CA" w:rsidRPr="004F20E8" w:rsidRDefault="006B3CA7" w:rsidP="001A61ED">
      <w:pPr>
        <w:pStyle w:val="xmsonormal"/>
        <w:rPr>
          <w:rFonts w:cstheme="minorHAnsi"/>
          <w:b/>
          <w:color w:val="FF0000"/>
        </w:rPr>
      </w:pPr>
      <w:hyperlink r:id="rId14" w:history="1">
        <w:r w:rsidRPr="004F20E8">
          <w:rPr>
            <w:rStyle w:val="Hyperlink"/>
            <w:rFonts w:asciiTheme="minorHAnsi" w:hAnsiTheme="minorHAnsi" w:cstheme="minorHAnsi"/>
            <w:i/>
            <w:iCs/>
            <w:sz w:val="22"/>
            <w:szCs w:val="22"/>
          </w:rPr>
          <w:t>https://documents.manchester.ac.uk/DocuInfo.aspx?DocID=47017</w:t>
        </w:r>
      </w:hyperlink>
    </w:p>
    <w:sectPr w:rsidR="009526CA" w:rsidRPr="004F20E8" w:rsidSect="00D42AA1">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345F2" w14:textId="77777777" w:rsidR="00371F9B" w:rsidRDefault="00371F9B" w:rsidP="00A678DF">
      <w:pPr>
        <w:spacing w:after="0" w:line="240" w:lineRule="auto"/>
      </w:pPr>
      <w:r>
        <w:separator/>
      </w:r>
    </w:p>
  </w:endnote>
  <w:endnote w:type="continuationSeparator" w:id="0">
    <w:p w14:paraId="556E3CE5" w14:textId="77777777" w:rsidR="00371F9B" w:rsidRDefault="00371F9B"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C9A76" w14:textId="77777777" w:rsidR="00371F9B" w:rsidRDefault="00371F9B" w:rsidP="00A678DF">
      <w:pPr>
        <w:spacing w:after="0" w:line="240" w:lineRule="auto"/>
      </w:pPr>
      <w:r>
        <w:separator/>
      </w:r>
    </w:p>
  </w:footnote>
  <w:footnote w:type="continuationSeparator" w:id="0">
    <w:p w14:paraId="414186D8" w14:textId="77777777" w:rsidR="00371F9B" w:rsidRDefault="00371F9B"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04D087F"/>
    <w:multiLevelType w:val="hybridMultilevel"/>
    <w:tmpl w:val="1D269D50"/>
    <w:lvl w:ilvl="0" w:tplc="AA7A7872">
      <w:start w:val="15"/>
      <w:numFmt w:val="bullet"/>
      <w:lvlText w:val="-"/>
      <w:lvlJc w:val="left"/>
      <w:pPr>
        <w:ind w:left="720" w:hanging="360"/>
      </w:pPr>
      <w:rPr>
        <w:rFonts w:ascii="Palatino Linotype" w:eastAsia="Batang" w:hAnsi="Palatino Linotype" w:cs="Palatino Linotyp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010639954">
    <w:abstractNumId w:val="0"/>
  </w:num>
  <w:num w:numId="2" w16cid:durableId="1767455263">
    <w:abstractNumId w:val="2"/>
  </w:num>
  <w:num w:numId="3" w16cid:durableId="982081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35333"/>
    <w:rsid w:val="00051EB7"/>
    <w:rsid w:val="000C56BC"/>
    <w:rsid w:val="001A000D"/>
    <w:rsid w:val="001A61ED"/>
    <w:rsid w:val="00283620"/>
    <w:rsid w:val="00290A4D"/>
    <w:rsid w:val="002F7643"/>
    <w:rsid w:val="00303944"/>
    <w:rsid w:val="00345BBB"/>
    <w:rsid w:val="00347F27"/>
    <w:rsid w:val="00371F9B"/>
    <w:rsid w:val="00396F3E"/>
    <w:rsid w:val="003C684A"/>
    <w:rsid w:val="003E0908"/>
    <w:rsid w:val="004003EA"/>
    <w:rsid w:val="00411312"/>
    <w:rsid w:val="004274AD"/>
    <w:rsid w:val="004276ED"/>
    <w:rsid w:val="004B1E88"/>
    <w:rsid w:val="004E40BC"/>
    <w:rsid w:val="004F20E8"/>
    <w:rsid w:val="00536D49"/>
    <w:rsid w:val="0056006D"/>
    <w:rsid w:val="00591BAF"/>
    <w:rsid w:val="005C4D06"/>
    <w:rsid w:val="005E3754"/>
    <w:rsid w:val="00603268"/>
    <w:rsid w:val="00622D16"/>
    <w:rsid w:val="0063304D"/>
    <w:rsid w:val="00691399"/>
    <w:rsid w:val="006A15A6"/>
    <w:rsid w:val="006B2ECC"/>
    <w:rsid w:val="006B3CA7"/>
    <w:rsid w:val="006C5E17"/>
    <w:rsid w:val="007420AC"/>
    <w:rsid w:val="00787F31"/>
    <w:rsid w:val="0079253C"/>
    <w:rsid w:val="007C54E9"/>
    <w:rsid w:val="008418D5"/>
    <w:rsid w:val="008537C2"/>
    <w:rsid w:val="00892816"/>
    <w:rsid w:val="008B64AE"/>
    <w:rsid w:val="009526CA"/>
    <w:rsid w:val="00993095"/>
    <w:rsid w:val="009A0B09"/>
    <w:rsid w:val="009A2688"/>
    <w:rsid w:val="00A20E6F"/>
    <w:rsid w:val="00A25907"/>
    <w:rsid w:val="00A42DF7"/>
    <w:rsid w:val="00A6784A"/>
    <w:rsid w:val="00A678DF"/>
    <w:rsid w:val="00AA2E20"/>
    <w:rsid w:val="00B274A6"/>
    <w:rsid w:val="00B46E87"/>
    <w:rsid w:val="00B76C82"/>
    <w:rsid w:val="00BC4684"/>
    <w:rsid w:val="00BE5D47"/>
    <w:rsid w:val="00C7344D"/>
    <w:rsid w:val="00CF3EFD"/>
    <w:rsid w:val="00D06240"/>
    <w:rsid w:val="00D42AA1"/>
    <w:rsid w:val="00D52A0A"/>
    <w:rsid w:val="00D57CBE"/>
    <w:rsid w:val="00D6628D"/>
    <w:rsid w:val="00E05E8E"/>
    <w:rsid w:val="00EB7A93"/>
    <w:rsid w:val="00ED7881"/>
    <w:rsid w:val="00EF0A6E"/>
    <w:rsid w:val="00F228D9"/>
    <w:rsid w:val="00F429F4"/>
    <w:rsid w:val="00F57768"/>
    <w:rsid w:val="00FA5CDA"/>
    <w:rsid w:val="00FB0C2C"/>
    <w:rsid w:val="098C91CB"/>
    <w:rsid w:val="1165280A"/>
    <w:rsid w:val="129FBC81"/>
    <w:rsid w:val="260026B7"/>
    <w:rsid w:val="2D5239CC"/>
    <w:rsid w:val="2DFED051"/>
    <w:rsid w:val="2FA5FF08"/>
    <w:rsid w:val="3355F834"/>
    <w:rsid w:val="3958679C"/>
    <w:rsid w:val="5CB83B33"/>
    <w:rsid w:val="6313061D"/>
    <w:rsid w:val="649822A3"/>
    <w:rsid w:val="773B2076"/>
    <w:rsid w:val="7A06C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8537C2"/>
    <w:pPr>
      <w:keepNext/>
      <w:autoSpaceDE w:val="0"/>
      <w:autoSpaceDN w:val="0"/>
      <w:spacing w:after="0" w:line="240" w:lineRule="auto"/>
      <w:ind w:left="720"/>
      <w:outlineLvl w:val="2"/>
    </w:pPr>
    <w:rPr>
      <w:rFonts w:ascii="Times New Roman" w:eastAsia="Batang" w:hAnsi="Times New Roman" w:cs="Times New Roman"/>
      <w:b/>
      <w:bCs/>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paragraph" w:customStyle="1" w:styleId="Paper">
    <w:name w:val="Paper"/>
    <w:basedOn w:val="Normal"/>
    <w:rsid w:val="008418D5"/>
    <w:pPr>
      <w:spacing w:before="120" w:after="120" w:line="360" w:lineRule="auto"/>
      <w:jc w:val="both"/>
    </w:pPr>
    <w:rPr>
      <w:rFonts w:ascii="Times New Roman" w:eastAsia="Times New Roman" w:hAnsi="Times New Roman" w:cs="Times New Roman"/>
      <w:sz w:val="24"/>
      <w:szCs w:val="20"/>
      <w:lang w:val="en-US"/>
    </w:rPr>
  </w:style>
  <w:style w:type="character" w:styleId="FollowedHyperlink">
    <w:name w:val="FollowedHyperlink"/>
    <w:basedOn w:val="DefaultParagraphFont"/>
    <w:uiPriority w:val="99"/>
    <w:semiHidden/>
    <w:unhideWhenUsed/>
    <w:rsid w:val="00BE5D47"/>
    <w:rPr>
      <w:color w:val="800080" w:themeColor="followedHyperlink"/>
      <w:u w:val="single"/>
    </w:rPr>
  </w:style>
  <w:style w:type="character" w:customStyle="1" w:styleId="Heading3Char">
    <w:name w:val="Heading 3 Char"/>
    <w:basedOn w:val="DefaultParagraphFont"/>
    <w:link w:val="Heading3"/>
    <w:rsid w:val="008537C2"/>
    <w:rPr>
      <w:rFonts w:ascii="Times New Roman" w:eastAsia="Batang" w:hAnsi="Times New Roman" w:cs="Times New Roman"/>
      <w:b/>
      <w:bCs/>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s.manchester.ac.uk/DocuInfo.aspx?DocID=5183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sustainabledevelopment/sustainable-development-go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marchica@manchester.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uments.manchester.ac.uk/DocuInfo.aspx?DocID=47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B257B-7DEC-49D3-82F7-E509CB266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730A6-950C-4708-AE26-972B66A68C7F}">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3.xml><?xml version="1.0" encoding="utf-8"?>
<ds:datastoreItem xmlns:ds="http://schemas.openxmlformats.org/officeDocument/2006/customXml" ds:itemID="{77BD7C63-50F0-456E-ACED-32A82A8238EC}">
  <ds:schemaRefs>
    <ds:schemaRef ds:uri="http://schemas.microsoft.com/sharepoint/v3/contenttype/forms"/>
  </ds:schemaRefs>
</ds:datastoreItem>
</file>

<file path=customXml/itemProps4.xml><?xml version="1.0" encoding="utf-8"?>
<ds:datastoreItem xmlns:ds="http://schemas.openxmlformats.org/officeDocument/2006/customXml" ds:itemID="{D5F06523-F0C1-49E0-B564-2A2D0D42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1905</Words>
  <Characters>11029</Characters>
  <Application>Microsoft Office Word</Application>
  <DocSecurity>0</DocSecurity>
  <Lines>242</Lines>
  <Paragraphs>128</Paragraphs>
  <ScaleCrop>false</ScaleCrop>
  <Company>University of Manchester</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3</cp:revision>
  <dcterms:created xsi:type="dcterms:W3CDTF">2026-08-11T08:42:00Z</dcterms:created>
  <dcterms:modified xsi:type="dcterms:W3CDTF">2026-08-12T09:35:00Z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