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669" w:type="dxa"/>
        <w:tblInd w:w="-176" w:type="dxa"/>
        <w:tblLook w:val="04A0" w:firstRow="1" w:lastRow="0" w:firstColumn="1" w:lastColumn="0" w:noHBand="0" w:noVBand="1"/>
      </w:tblPr>
      <w:tblGrid>
        <w:gridCol w:w="2988"/>
        <w:gridCol w:w="1741"/>
        <w:gridCol w:w="4940"/>
      </w:tblGrid>
      <w:tr w:rsidR="0063304D" w14:paraId="65E0D45D" w14:textId="77777777" w:rsidTr="00345BBB">
        <w:trPr>
          <w:trHeight w:val="1004"/>
        </w:trPr>
        <w:tc>
          <w:tcPr>
            <w:tcW w:w="9669" w:type="dxa"/>
            <w:gridSpan w:val="3"/>
            <w:shd w:val="clear" w:color="auto" w:fill="7030A0"/>
          </w:tcPr>
          <w:p w14:paraId="2DD73FE2" w14:textId="77777777" w:rsidR="0063304D" w:rsidRDefault="0063304D" w:rsidP="0063304D">
            <w:pPr>
              <w:jc w:val="center"/>
              <w:rPr>
                <w:rFonts w:ascii="Arial" w:hAnsi="Arial" w:cs="Arial"/>
                <w:b/>
                <w:sz w:val="28"/>
                <w:szCs w:val="28"/>
              </w:rPr>
            </w:pPr>
          </w:p>
          <w:p w14:paraId="35BA8583" w14:textId="77777777" w:rsidR="0063304D" w:rsidRPr="0063304D" w:rsidRDefault="00345BBB" w:rsidP="0063304D">
            <w:pPr>
              <w:jc w:val="center"/>
              <w:rPr>
                <w:rFonts w:ascii="Arial" w:hAnsi="Arial" w:cs="Arial"/>
                <w:b/>
                <w:color w:val="FFFFFF" w:themeColor="background1"/>
                <w:sz w:val="28"/>
                <w:szCs w:val="28"/>
              </w:rPr>
            </w:pPr>
            <w:r>
              <w:rPr>
                <w:rFonts w:ascii="Arial" w:hAnsi="Arial" w:cs="Arial"/>
                <w:b/>
                <w:color w:val="FFFFFF" w:themeColor="background1"/>
                <w:sz w:val="28"/>
                <w:szCs w:val="28"/>
              </w:rPr>
              <w:t xml:space="preserve">PGR </w:t>
            </w:r>
            <w:r w:rsidR="0063304D" w:rsidRPr="0063304D">
              <w:rPr>
                <w:rFonts w:ascii="Arial" w:hAnsi="Arial" w:cs="Arial"/>
                <w:b/>
                <w:color w:val="FFFFFF" w:themeColor="background1"/>
                <w:sz w:val="28"/>
                <w:szCs w:val="28"/>
              </w:rPr>
              <w:t xml:space="preserve">Course unit outline </w:t>
            </w:r>
            <w:r w:rsidR="00F57768">
              <w:rPr>
                <w:rFonts w:ascii="Arial" w:hAnsi="Arial" w:cs="Arial"/>
                <w:b/>
                <w:color w:val="FFFFFF" w:themeColor="background1"/>
                <w:sz w:val="28"/>
                <w:szCs w:val="28"/>
              </w:rPr>
              <w:t>202</w:t>
            </w:r>
            <w:r w:rsidR="00792B48">
              <w:rPr>
                <w:rFonts w:ascii="Arial" w:hAnsi="Arial" w:cs="Arial"/>
                <w:b/>
                <w:color w:val="FFFFFF" w:themeColor="background1"/>
                <w:sz w:val="28"/>
                <w:szCs w:val="28"/>
              </w:rPr>
              <w:t>6-27</w:t>
            </w:r>
          </w:p>
          <w:p w14:paraId="4FA0C636" w14:textId="77777777" w:rsidR="0063304D" w:rsidRDefault="0063304D" w:rsidP="00A678DF">
            <w:pPr>
              <w:jc w:val="center"/>
              <w:rPr>
                <w:rFonts w:ascii="Arial" w:hAnsi="Arial" w:cs="Arial"/>
                <w:b/>
                <w:sz w:val="28"/>
                <w:szCs w:val="28"/>
              </w:rPr>
            </w:pPr>
          </w:p>
        </w:tc>
      </w:tr>
      <w:tr w:rsidR="0063304D" w14:paraId="4375A2F3" w14:textId="77777777" w:rsidTr="00345BBB">
        <w:tc>
          <w:tcPr>
            <w:tcW w:w="2988" w:type="dxa"/>
            <w:shd w:val="clear" w:color="auto" w:fill="D9D9D9" w:themeFill="background1" w:themeFillShade="D9"/>
          </w:tcPr>
          <w:p w14:paraId="7D3FF050" w14:textId="77777777" w:rsidR="0063304D" w:rsidRPr="00D42AA1" w:rsidRDefault="0063304D" w:rsidP="00D57CBE">
            <w:pPr>
              <w:rPr>
                <w:rFonts w:ascii="Calibri" w:hAnsi="Calibri" w:cs="Calibri"/>
                <w:b/>
                <w:color w:val="FF0000"/>
                <w:sz w:val="28"/>
                <w:szCs w:val="28"/>
              </w:rPr>
            </w:pPr>
            <w:r w:rsidRPr="00D42AA1">
              <w:rPr>
                <w:rFonts w:ascii="Calibri" w:hAnsi="Calibri" w:cs="Calibri"/>
                <w:b/>
                <w:sz w:val="24"/>
                <w:szCs w:val="24"/>
              </w:rPr>
              <w:t xml:space="preserve">Unit code: </w:t>
            </w:r>
          </w:p>
        </w:tc>
        <w:tc>
          <w:tcPr>
            <w:tcW w:w="6681" w:type="dxa"/>
            <w:gridSpan w:val="2"/>
          </w:tcPr>
          <w:p w14:paraId="18F328EC" w14:textId="77777777" w:rsidR="00012BA7" w:rsidRPr="00347A50" w:rsidRDefault="0046215A" w:rsidP="00C56D6E">
            <w:pPr>
              <w:rPr>
                <w:rFonts w:cstheme="minorHAnsi"/>
                <w:bCs/>
              </w:rPr>
            </w:pPr>
            <w:r w:rsidRPr="00347A50">
              <w:rPr>
                <w:rFonts w:cstheme="minorHAnsi"/>
                <w:bCs/>
              </w:rPr>
              <w:t>BMAN80312</w:t>
            </w:r>
          </w:p>
        </w:tc>
      </w:tr>
      <w:tr w:rsidR="0063304D" w14:paraId="036E2405" w14:textId="77777777" w:rsidTr="00345BBB">
        <w:tc>
          <w:tcPr>
            <w:tcW w:w="2988" w:type="dxa"/>
            <w:shd w:val="clear" w:color="auto" w:fill="D9D9D9" w:themeFill="background1" w:themeFillShade="D9"/>
          </w:tcPr>
          <w:p w14:paraId="12F92D7B" w14:textId="77777777" w:rsidR="0063304D" w:rsidRPr="00B274A6" w:rsidRDefault="0063304D" w:rsidP="00290A4D">
            <w:pPr>
              <w:rPr>
                <w:rFonts w:ascii="Calibri" w:hAnsi="Calibri" w:cs="Calibri"/>
                <w:b/>
                <w:sz w:val="24"/>
                <w:szCs w:val="24"/>
              </w:rPr>
            </w:pPr>
            <w:r w:rsidRPr="00D42AA1">
              <w:rPr>
                <w:rFonts w:ascii="Calibri" w:hAnsi="Calibri" w:cs="Calibri"/>
                <w:b/>
                <w:sz w:val="24"/>
                <w:szCs w:val="24"/>
              </w:rPr>
              <w:t>Title:</w:t>
            </w:r>
          </w:p>
        </w:tc>
        <w:tc>
          <w:tcPr>
            <w:tcW w:w="6681" w:type="dxa"/>
            <w:gridSpan w:val="2"/>
          </w:tcPr>
          <w:p w14:paraId="7C527C0E" w14:textId="77777777" w:rsidR="00012BA7" w:rsidRPr="00347A50" w:rsidRDefault="0046215A" w:rsidP="00C56D6E">
            <w:pPr>
              <w:rPr>
                <w:rFonts w:cstheme="minorHAnsi"/>
                <w:bCs/>
              </w:rPr>
            </w:pPr>
            <w:r w:rsidRPr="00347A50">
              <w:rPr>
                <w:rFonts w:cstheme="minorHAnsi"/>
                <w:bCs/>
                <w:shd w:val="clear" w:color="auto" w:fill="FAF9F8"/>
              </w:rPr>
              <w:t>Advanced Corporate Finance</w:t>
            </w:r>
          </w:p>
        </w:tc>
      </w:tr>
      <w:tr w:rsidR="0063304D" w14:paraId="4CEF4661" w14:textId="77777777" w:rsidTr="00345BBB">
        <w:tc>
          <w:tcPr>
            <w:tcW w:w="2988" w:type="dxa"/>
            <w:shd w:val="clear" w:color="auto" w:fill="D9D9D9" w:themeFill="background1" w:themeFillShade="D9"/>
          </w:tcPr>
          <w:p w14:paraId="33687BE7" w14:textId="77777777" w:rsidR="0063304D" w:rsidRPr="00B274A6" w:rsidRDefault="0063304D" w:rsidP="00290A4D">
            <w:pPr>
              <w:rPr>
                <w:rFonts w:ascii="Calibri" w:hAnsi="Calibri" w:cs="Calibri"/>
                <w:b/>
                <w:sz w:val="24"/>
                <w:szCs w:val="24"/>
              </w:rPr>
            </w:pPr>
            <w:r w:rsidRPr="00D42AA1">
              <w:rPr>
                <w:rFonts w:ascii="Calibri" w:hAnsi="Calibri" w:cs="Calibri"/>
                <w:b/>
                <w:sz w:val="24"/>
                <w:szCs w:val="24"/>
              </w:rPr>
              <w:t xml:space="preserve">Credit </w:t>
            </w:r>
            <w:r w:rsidR="00B274A6">
              <w:rPr>
                <w:rFonts w:ascii="Calibri" w:hAnsi="Calibri" w:cs="Calibri"/>
                <w:b/>
                <w:sz w:val="24"/>
                <w:szCs w:val="24"/>
              </w:rPr>
              <w:t>value</w:t>
            </w:r>
            <w:r w:rsidRPr="00D42AA1">
              <w:rPr>
                <w:rFonts w:ascii="Calibri" w:hAnsi="Calibri" w:cs="Calibri"/>
                <w:b/>
                <w:sz w:val="24"/>
                <w:szCs w:val="24"/>
              </w:rPr>
              <w:t>:</w:t>
            </w:r>
          </w:p>
        </w:tc>
        <w:tc>
          <w:tcPr>
            <w:tcW w:w="6681" w:type="dxa"/>
            <w:gridSpan w:val="2"/>
          </w:tcPr>
          <w:p w14:paraId="4A662D93" w14:textId="77777777" w:rsidR="00012BA7" w:rsidRPr="00FC70C9" w:rsidRDefault="0046215A" w:rsidP="00C56D6E">
            <w:pPr>
              <w:rPr>
                <w:rFonts w:cstheme="minorHAnsi"/>
                <w:bCs/>
              </w:rPr>
            </w:pPr>
            <w:r w:rsidRPr="00FC70C9">
              <w:rPr>
                <w:rFonts w:cstheme="minorHAnsi"/>
              </w:rPr>
              <w:t>15</w:t>
            </w:r>
          </w:p>
        </w:tc>
      </w:tr>
      <w:tr w:rsidR="0063304D" w14:paraId="3BBE8FA9" w14:textId="77777777" w:rsidTr="00345BBB">
        <w:tc>
          <w:tcPr>
            <w:tcW w:w="2988" w:type="dxa"/>
            <w:shd w:val="clear" w:color="auto" w:fill="D9D9D9" w:themeFill="background1" w:themeFillShade="D9"/>
          </w:tcPr>
          <w:p w14:paraId="126BD93F" w14:textId="77777777" w:rsidR="00B274A6" w:rsidRPr="00B274A6" w:rsidRDefault="0063304D" w:rsidP="00290A4D">
            <w:pPr>
              <w:rPr>
                <w:rFonts w:ascii="Calibri" w:hAnsi="Calibri" w:cs="Calibri"/>
                <w:b/>
                <w:sz w:val="24"/>
                <w:szCs w:val="24"/>
              </w:rPr>
            </w:pPr>
            <w:r w:rsidRPr="00D42AA1">
              <w:rPr>
                <w:rFonts w:ascii="Calibri" w:hAnsi="Calibri" w:cs="Calibri"/>
                <w:b/>
                <w:sz w:val="24"/>
                <w:szCs w:val="24"/>
              </w:rPr>
              <w:t>Semester:</w:t>
            </w:r>
          </w:p>
        </w:tc>
        <w:tc>
          <w:tcPr>
            <w:tcW w:w="6681" w:type="dxa"/>
            <w:gridSpan w:val="2"/>
          </w:tcPr>
          <w:p w14:paraId="4E7A0FD7" w14:textId="77777777" w:rsidR="00012BA7" w:rsidRPr="00FC70C9" w:rsidRDefault="0046215A" w:rsidP="00C56D6E">
            <w:pPr>
              <w:rPr>
                <w:rFonts w:cstheme="minorHAnsi"/>
                <w:bCs/>
              </w:rPr>
            </w:pPr>
            <w:r w:rsidRPr="00FC70C9">
              <w:rPr>
                <w:rFonts w:cstheme="minorHAnsi"/>
              </w:rPr>
              <w:t>2</w:t>
            </w:r>
          </w:p>
        </w:tc>
      </w:tr>
      <w:tr w:rsidR="0063304D" w14:paraId="34595B43" w14:textId="77777777" w:rsidTr="00345BBB">
        <w:tc>
          <w:tcPr>
            <w:tcW w:w="2988" w:type="dxa"/>
            <w:shd w:val="clear" w:color="auto" w:fill="D9D9D9" w:themeFill="background1" w:themeFillShade="D9"/>
          </w:tcPr>
          <w:p w14:paraId="189A1718" w14:textId="77777777" w:rsidR="0063304D" w:rsidRPr="00D42AA1" w:rsidRDefault="0063304D" w:rsidP="0063304D">
            <w:pPr>
              <w:rPr>
                <w:rFonts w:ascii="Calibri" w:hAnsi="Calibri" w:cs="Calibri"/>
                <w:b/>
                <w:sz w:val="24"/>
                <w:szCs w:val="24"/>
              </w:rPr>
            </w:pPr>
            <w:r w:rsidRPr="00D42AA1">
              <w:rPr>
                <w:rFonts w:ascii="Calibri" w:hAnsi="Calibri" w:cs="Calibri"/>
                <w:b/>
                <w:sz w:val="24"/>
                <w:szCs w:val="24"/>
              </w:rPr>
              <w:t xml:space="preserve">Course Coordinator </w:t>
            </w:r>
            <w:r w:rsidR="00F57768">
              <w:rPr>
                <w:rFonts w:ascii="Calibri" w:hAnsi="Calibri" w:cs="Calibri"/>
                <w:b/>
                <w:sz w:val="24"/>
                <w:szCs w:val="24"/>
              </w:rPr>
              <w:t>name and</w:t>
            </w:r>
          </w:p>
          <w:p w14:paraId="6A74BF3F" w14:textId="77777777" w:rsidR="0063304D" w:rsidRPr="00B274A6" w:rsidRDefault="0063304D" w:rsidP="00D57CBE">
            <w:pPr>
              <w:rPr>
                <w:rFonts w:ascii="Calibri" w:hAnsi="Calibri" w:cs="Calibri"/>
                <w:b/>
                <w:sz w:val="24"/>
                <w:szCs w:val="24"/>
              </w:rPr>
            </w:pPr>
            <w:r w:rsidRPr="00D42AA1">
              <w:rPr>
                <w:rFonts w:ascii="Calibri" w:hAnsi="Calibri" w:cs="Calibri"/>
                <w:b/>
                <w:sz w:val="24"/>
                <w:szCs w:val="24"/>
              </w:rPr>
              <w:t>contact details:</w:t>
            </w:r>
          </w:p>
        </w:tc>
        <w:tc>
          <w:tcPr>
            <w:tcW w:w="6681" w:type="dxa"/>
            <w:gridSpan w:val="2"/>
          </w:tcPr>
          <w:p w14:paraId="1BD9B153" w14:textId="77777777" w:rsidR="00012BA7" w:rsidRPr="00FC70C9" w:rsidRDefault="0046215A" w:rsidP="00C56D6E">
            <w:pPr>
              <w:rPr>
                <w:rFonts w:cstheme="minorHAnsi"/>
              </w:rPr>
            </w:pPr>
            <w:r w:rsidRPr="00FC70C9">
              <w:rPr>
                <w:rFonts w:cstheme="minorHAnsi"/>
              </w:rPr>
              <w:t>Stefan Petry</w:t>
            </w:r>
          </w:p>
          <w:p w14:paraId="0974840A" w14:textId="77777777" w:rsidR="00012BA7" w:rsidRPr="00FC70C9" w:rsidRDefault="0046215A" w:rsidP="00C56D6E">
            <w:pPr>
              <w:rPr>
                <w:rFonts w:cstheme="minorHAnsi"/>
              </w:rPr>
            </w:pPr>
            <w:r w:rsidRPr="00FC70C9">
              <w:rPr>
                <w:rFonts w:cstheme="minorHAnsi"/>
              </w:rPr>
              <w:t>Room 5.021, AMBS</w:t>
            </w:r>
          </w:p>
          <w:p w14:paraId="55FA20AA" w14:textId="77777777" w:rsidR="00012BA7" w:rsidRPr="00FC70C9" w:rsidRDefault="00012BA7" w:rsidP="00C56D6E">
            <w:pPr>
              <w:rPr>
                <w:rFonts w:cstheme="minorHAnsi"/>
              </w:rPr>
            </w:pPr>
            <w:hyperlink r:id="rId8" w:history="1">
              <w:r w:rsidRPr="00FC70C9">
                <w:rPr>
                  <w:rStyle w:val="Hyperlink"/>
                  <w:rFonts w:cstheme="minorHAnsi"/>
                  <w:color w:val="auto"/>
                </w:rPr>
                <w:t>stefan.petry@manchester.ac.uk</w:t>
              </w:r>
            </w:hyperlink>
          </w:p>
          <w:p w14:paraId="77C3F9F6" w14:textId="77777777" w:rsidR="00012BA7" w:rsidRPr="00FC70C9" w:rsidRDefault="00012BA7" w:rsidP="00C56D6E">
            <w:pPr>
              <w:rPr>
                <w:rFonts w:cstheme="minorHAnsi"/>
                <w:bCs/>
              </w:rPr>
            </w:pPr>
          </w:p>
        </w:tc>
      </w:tr>
      <w:tr w:rsidR="0063304D" w14:paraId="779EA9DC" w14:textId="77777777" w:rsidTr="00345BBB">
        <w:tc>
          <w:tcPr>
            <w:tcW w:w="2988" w:type="dxa"/>
            <w:shd w:val="clear" w:color="auto" w:fill="D9D9D9" w:themeFill="background1" w:themeFillShade="D9"/>
          </w:tcPr>
          <w:p w14:paraId="630EEDC8" w14:textId="77777777" w:rsidR="0063304D" w:rsidRPr="00B274A6" w:rsidRDefault="0063304D" w:rsidP="00D57CBE">
            <w:pPr>
              <w:rPr>
                <w:rFonts w:ascii="Calibri" w:hAnsi="Calibri" w:cs="Calibri"/>
                <w:b/>
                <w:sz w:val="24"/>
                <w:szCs w:val="24"/>
              </w:rPr>
            </w:pPr>
            <w:r w:rsidRPr="00D42AA1">
              <w:rPr>
                <w:rFonts w:ascii="Calibri" w:hAnsi="Calibri" w:cs="Calibri"/>
                <w:b/>
                <w:sz w:val="24"/>
                <w:szCs w:val="24"/>
              </w:rPr>
              <w:t>Other staff involved contact details:</w:t>
            </w:r>
          </w:p>
        </w:tc>
        <w:tc>
          <w:tcPr>
            <w:tcW w:w="6681" w:type="dxa"/>
            <w:gridSpan w:val="2"/>
          </w:tcPr>
          <w:p w14:paraId="4EC506B2" w14:textId="77777777" w:rsidR="00012BA7" w:rsidRPr="00FC70C9" w:rsidRDefault="0046215A" w:rsidP="00C56D6E">
            <w:pPr>
              <w:rPr>
                <w:rFonts w:cstheme="minorHAnsi"/>
                <w:bCs/>
              </w:rPr>
            </w:pPr>
            <w:r w:rsidRPr="00FC70C9">
              <w:rPr>
                <w:rFonts w:cstheme="minorHAnsi"/>
              </w:rPr>
              <w:t>Ning Gao, Viet Dang, Roberto Mura, Kostas Stathopoulos, Emiel Jerphanion, Ellen Ye</w:t>
            </w:r>
          </w:p>
        </w:tc>
      </w:tr>
      <w:tr w:rsidR="00345BBB" w14:paraId="770AB6B0" w14:textId="77777777" w:rsidTr="00345BBB">
        <w:tc>
          <w:tcPr>
            <w:tcW w:w="2988" w:type="dxa"/>
            <w:shd w:val="clear" w:color="auto" w:fill="D9D9D9" w:themeFill="background1" w:themeFillShade="D9"/>
          </w:tcPr>
          <w:p w14:paraId="1CE75CE7" w14:textId="77777777" w:rsidR="00345BBB" w:rsidRDefault="00345BBB" w:rsidP="0063304D">
            <w:pPr>
              <w:rPr>
                <w:rFonts w:ascii="Calibri" w:hAnsi="Calibri" w:cs="Calibri"/>
                <w:b/>
                <w:sz w:val="24"/>
                <w:szCs w:val="24"/>
              </w:rPr>
            </w:pPr>
            <w:r>
              <w:rPr>
                <w:rFonts w:ascii="Calibri" w:hAnsi="Calibri" w:cs="Calibri"/>
                <w:b/>
                <w:sz w:val="24"/>
                <w:szCs w:val="24"/>
              </w:rPr>
              <w:t>Pre-requisites</w:t>
            </w:r>
          </w:p>
          <w:p w14:paraId="72E3C6AF" w14:textId="77777777" w:rsidR="00345BBB" w:rsidRDefault="00345BBB" w:rsidP="0063304D">
            <w:pPr>
              <w:rPr>
                <w:rFonts w:ascii="Calibri" w:hAnsi="Calibri" w:cs="Calibri"/>
                <w:b/>
                <w:sz w:val="24"/>
                <w:szCs w:val="24"/>
              </w:rPr>
            </w:pPr>
            <w:r>
              <w:rPr>
                <w:rFonts w:ascii="Calibri" w:hAnsi="Calibri" w:cs="Calibri"/>
                <w:b/>
                <w:sz w:val="24"/>
                <w:szCs w:val="24"/>
              </w:rPr>
              <w:t>Co-requisites</w:t>
            </w:r>
          </w:p>
          <w:p w14:paraId="274A0D54" w14:textId="77777777" w:rsidR="00345BBB" w:rsidRDefault="00B274A6" w:rsidP="0063304D">
            <w:pPr>
              <w:rPr>
                <w:rFonts w:ascii="Calibri" w:hAnsi="Calibri" w:cs="Calibri"/>
                <w:b/>
                <w:sz w:val="24"/>
                <w:szCs w:val="24"/>
              </w:rPr>
            </w:pPr>
            <w:r>
              <w:rPr>
                <w:rFonts w:ascii="Calibri" w:hAnsi="Calibri" w:cs="Calibri"/>
                <w:b/>
                <w:sz w:val="24"/>
                <w:szCs w:val="24"/>
              </w:rPr>
              <w:t>Dependent course units</w:t>
            </w:r>
          </w:p>
          <w:p w14:paraId="5EEE1CC4" w14:textId="77777777" w:rsidR="00B274A6" w:rsidRPr="00D42AA1" w:rsidRDefault="00B274A6" w:rsidP="0063304D">
            <w:pPr>
              <w:rPr>
                <w:rFonts w:ascii="Calibri" w:hAnsi="Calibri" w:cs="Calibri"/>
                <w:b/>
                <w:sz w:val="24"/>
                <w:szCs w:val="24"/>
              </w:rPr>
            </w:pPr>
            <w:r>
              <w:rPr>
                <w:rFonts w:ascii="Calibri" w:hAnsi="Calibri" w:cs="Calibri"/>
                <w:b/>
                <w:sz w:val="24"/>
                <w:szCs w:val="24"/>
              </w:rPr>
              <w:t>Restrictions</w:t>
            </w:r>
          </w:p>
        </w:tc>
        <w:tc>
          <w:tcPr>
            <w:tcW w:w="6681" w:type="dxa"/>
            <w:gridSpan w:val="2"/>
          </w:tcPr>
          <w:p w14:paraId="6FD26F74" w14:textId="77777777" w:rsidR="00012BA7" w:rsidRPr="00FC70C9" w:rsidRDefault="0046215A" w:rsidP="00C56D6E">
            <w:pPr>
              <w:rPr>
                <w:rFonts w:cstheme="minorHAnsi"/>
                <w:bCs/>
              </w:rPr>
            </w:pPr>
            <w:r w:rsidRPr="00FC70C9">
              <w:rPr>
                <w:rFonts w:cstheme="minorHAnsi"/>
              </w:rPr>
              <w:t>BMAN71152 Corporate Finance or equivalent.</w:t>
            </w:r>
          </w:p>
        </w:tc>
      </w:tr>
      <w:tr w:rsidR="00A25907" w14:paraId="7ABD38F1" w14:textId="77777777" w:rsidTr="00345BBB">
        <w:tc>
          <w:tcPr>
            <w:tcW w:w="9669" w:type="dxa"/>
            <w:gridSpan w:val="3"/>
            <w:shd w:val="clear" w:color="auto" w:fill="7030A0"/>
          </w:tcPr>
          <w:p w14:paraId="710F8063" w14:textId="77777777" w:rsidR="00A25907" w:rsidRPr="00F429F4" w:rsidRDefault="00F429F4" w:rsidP="004003EA">
            <w:pPr>
              <w:rPr>
                <w:rFonts w:ascii="Arial" w:hAnsi="Arial" w:cs="Arial"/>
                <w:b/>
                <w:color w:val="FFFFFF" w:themeColor="background1"/>
                <w:sz w:val="24"/>
                <w:szCs w:val="24"/>
              </w:rPr>
            </w:pPr>
            <w:r>
              <w:rPr>
                <w:rFonts w:ascii="Arial" w:hAnsi="Arial" w:cs="Arial"/>
                <w:b/>
                <w:color w:val="FFFFFF" w:themeColor="background1"/>
                <w:sz w:val="24"/>
                <w:szCs w:val="24"/>
              </w:rPr>
              <w:t>Course unit overview</w:t>
            </w:r>
          </w:p>
        </w:tc>
      </w:tr>
      <w:tr w:rsidR="00F429F4" w14:paraId="1EED823A" w14:textId="77777777" w:rsidTr="00345BBB">
        <w:tc>
          <w:tcPr>
            <w:tcW w:w="9669" w:type="dxa"/>
            <w:gridSpan w:val="3"/>
          </w:tcPr>
          <w:p w14:paraId="7B0893F1" w14:textId="5CA7E730" w:rsidR="00BF508C" w:rsidRDefault="007E0046">
            <w:r w:rsidRPr="007E0046">
              <w:t>This is a thorough PhD-level class covering modern empirical work. It draws on frontier research in capital structure, corporate governance, M&amp;A, and risk-taking, with a complementary session on household finance, and is taught by active researchers in each area</w:t>
            </w:r>
            <w:r>
              <w:t>.</w:t>
            </w:r>
          </w:p>
          <w:p w14:paraId="483E73CE" w14:textId="1836B179" w:rsidR="00E81180" w:rsidRDefault="00E81180"/>
        </w:tc>
      </w:tr>
      <w:tr w:rsidR="004003EA" w14:paraId="3DFD94FD" w14:textId="77777777" w:rsidTr="00345BBB">
        <w:tc>
          <w:tcPr>
            <w:tcW w:w="9669" w:type="dxa"/>
            <w:gridSpan w:val="3"/>
            <w:shd w:val="clear" w:color="auto" w:fill="7030A0"/>
          </w:tcPr>
          <w:p w14:paraId="18A99D20" w14:textId="77777777" w:rsidR="004003EA" w:rsidRPr="004003EA" w:rsidRDefault="004003EA" w:rsidP="004003EA">
            <w:pPr>
              <w:rPr>
                <w:rFonts w:ascii="Arial" w:hAnsi="Arial" w:cs="Arial"/>
                <w:b/>
                <w:color w:val="FFFFFF" w:themeColor="background1"/>
                <w:sz w:val="24"/>
                <w:szCs w:val="24"/>
              </w:rPr>
            </w:pPr>
            <w:r>
              <w:rPr>
                <w:rFonts w:ascii="Arial" w:hAnsi="Arial" w:cs="Arial"/>
                <w:b/>
                <w:color w:val="FFFFFF" w:themeColor="background1"/>
                <w:sz w:val="24"/>
                <w:szCs w:val="24"/>
              </w:rPr>
              <w:t>Aims</w:t>
            </w:r>
          </w:p>
        </w:tc>
      </w:tr>
      <w:tr w:rsidR="00C7344D" w14:paraId="3B2916FC" w14:textId="77777777" w:rsidTr="00345BBB">
        <w:tc>
          <w:tcPr>
            <w:tcW w:w="9669" w:type="dxa"/>
            <w:gridSpan w:val="3"/>
          </w:tcPr>
          <w:p w14:paraId="444988E0" w14:textId="68BFD5FF" w:rsidR="00012BA7" w:rsidRPr="00207B58" w:rsidRDefault="0046215A" w:rsidP="00C56D6E">
            <w:pPr>
              <w:rPr>
                <w:rFonts w:cstheme="minorHAnsi"/>
                <w:bCs/>
                <w:color w:val="000000" w:themeColor="text1"/>
              </w:rPr>
            </w:pPr>
            <w:r w:rsidRPr="00207B58">
              <w:rPr>
                <w:rFonts w:cstheme="minorHAnsi"/>
                <w:bCs/>
                <w:color w:val="000000" w:themeColor="text1"/>
              </w:rPr>
              <w:t xml:space="preserve">The course aims </w:t>
            </w:r>
            <w:r w:rsidR="00E33D77">
              <w:rPr>
                <w:rFonts w:cstheme="minorHAnsi"/>
                <w:bCs/>
                <w:color w:val="000000" w:themeColor="text1"/>
              </w:rPr>
              <w:t>to provide</w:t>
            </w:r>
            <w:r w:rsidRPr="00207B58">
              <w:rPr>
                <w:rFonts w:cstheme="minorHAnsi"/>
                <w:bCs/>
                <w:color w:val="000000" w:themeColor="text1"/>
              </w:rPr>
              <w:t xml:space="preserve"> the appropriate instruments to pursue empirical research in Corporate Finance. </w:t>
            </w:r>
            <w:proofErr w:type="gramStart"/>
            <w:r w:rsidRPr="00207B58">
              <w:rPr>
                <w:rFonts w:cstheme="minorHAnsi"/>
                <w:bCs/>
                <w:color w:val="000000" w:themeColor="text1"/>
              </w:rPr>
              <w:t>In particular, it</w:t>
            </w:r>
            <w:proofErr w:type="gramEnd"/>
            <w:r w:rsidRPr="00207B58">
              <w:rPr>
                <w:rFonts w:cstheme="minorHAnsi"/>
                <w:bCs/>
                <w:color w:val="000000" w:themeColor="text1"/>
              </w:rPr>
              <w:t xml:space="preserve"> </w:t>
            </w:r>
            <w:r>
              <w:rPr>
                <w:rFonts w:cstheme="minorHAnsi"/>
                <w:bCs/>
                <w:color w:val="000000" w:themeColor="text1"/>
              </w:rPr>
              <w:t xml:space="preserve">includes several </w:t>
            </w:r>
            <w:r w:rsidRPr="00207B58">
              <w:rPr>
                <w:rFonts w:cstheme="minorHAnsi"/>
                <w:bCs/>
                <w:color w:val="000000" w:themeColor="text1"/>
              </w:rPr>
              <w:t>lectures that will cover the following topics in Corporate Finance:  capital structure, corporate governance and control, M&amp;A, and risk-taking.</w:t>
            </w:r>
            <w:r>
              <w:rPr>
                <w:rFonts w:cstheme="minorHAnsi"/>
                <w:bCs/>
                <w:color w:val="000000" w:themeColor="text1"/>
              </w:rPr>
              <w:t xml:space="preserve"> There will </w:t>
            </w:r>
            <w:r w:rsidR="00E33D77">
              <w:rPr>
                <w:rFonts w:cstheme="minorHAnsi"/>
                <w:bCs/>
                <w:color w:val="000000" w:themeColor="text1"/>
              </w:rPr>
              <w:t>also be</w:t>
            </w:r>
            <w:r>
              <w:rPr>
                <w:rFonts w:cstheme="minorHAnsi"/>
                <w:bCs/>
                <w:color w:val="000000" w:themeColor="text1"/>
              </w:rPr>
              <w:t xml:space="preserve"> a lecture </w:t>
            </w:r>
            <w:r w:rsidR="00E33D77">
              <w:rPr>
                <w:rFonts w:cstheme="minorHAnsi"/>
                <w:bCs/>
                <w:color w:val="000000" w:themeColor="text1"/>
              </w:rPr>
              <w:t xml:space="preserve">on Household of Finance that will complement </w:t>
            </w:r>
            <w:r>
              <w:rPr>
                <w:rFonts w:cstheme="minorHAnsi"/>
                <w:bCs/>
                <w:color w:val="000000" w:themeColor="text1"/>
              </w:rPr>
              <w:t>corporate investment decisions.</w:t>
            </w:r>
          </w:p>
          <w:p w14:paraId="5414C07B" w14:textId="77777777" w:rsidR="00002873" w:rsidRDefault="00002873" w:rsidP="00F57768">
            <w:pPr>
              <w:spacing w:before="120" w:after="120"/>
              <w:rPr>
                <w:rFonts w:ascii="Arial" w:hAnsi="Arial" w:cs="Arial"/>
                <w:b/>
                <w:sz w:val="24"/>
                <w:szCs w:val="24"/>
              </w:rPr>
            </w:pPr>
          </w:p>
        </w:tc>
      </w:tr>
      <w:tr w:rsidR="004003EA" w14:paraId="316700FC" w14:textId="77777777" w:rsidTr="00345BBB">
        <w:tc>
          <w:tcPr>
            <w:tcW w:w="9669" w:type="dxa"/>
            <w:gridSpan w:val="3"/>
            <w:shd w:val="clear" w:color="auto" w:fill="7030A0"/>
          </w:tcPr>
          <w:p w14:paraId="32639565" w14:textId="77777777" w:rsidR="004003EA" w:rsidRPr="004003EA" w:rsidRDefault="004003EA" w:rsidP="004003EA">
            <w:pPr>
              <w:rPr>
                <w:rFonts w:ascii="Arial" w:hAnsi="Arial" w:cs="Arial"/>
                <w:b/>
                <w:color w:val="FFFFFF" w:themeColor="background1"/>
                <w:sz w:val="24"/>
                <w:szCs w:val="24"/>
              </w:rPr>
            </w:pPr>
            <w:r>
              <w:rPr>
                <w:rFonts w:ascii="Arial" w:hAnsi="Arial" w:cs="Arial"/>
                <w:b/>
                <w:color w:val="FFFFFF" w:themeColor="background1"/>
                <w:sz w:val="24"/>
                <w:szCs w:val="24"/>
              </w:rPr>
              <w:t>Objectives (Learning outcomes)</w:t>
            </w:r>
          </w:p>
        </w:tc>
      </w:tr>
      <w:tr w:rsidR="00CF3EFD" w14:paraId="4A049B24" w14:textId="77777777" w:rsidTr="00345BBB">
        <w:tc>
          <w:tcPr>
            <w:tcW w:w="9669" w:type="dxa"/>
            <w:gridSpan w:val="3"/>
          </w:tcPr>
          <w:p w14:paraId="579D8D5A" w14:textId="51FB67E7" w:rsidR="00012BA7" w:rsidRPr="00AE3DFD" w:rsidRDefault="0046215A" w:rsidP="00C56D6E">
            <w:pPr>
              <w:spacing w:before="120" w:after="120"/>
              <w:rPr>
                <w:rFonts w:eastAsia="Batang" w:cstheme="minorHAnsi"/>
                <w:iCs/>
                <w:color w:val="000000" w:themeColor="text1"/>
                <w:lang w:eastAsia="de-DE"/>
              </w:rPr>
            </w:pPr>
            <w:r w:rsidRPr="00AE3DFD">
              <w:rPr>
                <w:rFonts w:eastAsia="Batang" w:cstheme="minorHAnsi"/>
                <w:iCs/>
                <w:color w:val="000000" w:themeColor="text1"/>
                <w:lang w:eastAsia="de-DE"/>
              </w:rPr>
              <w:t>On completion of this unit</w:t>
            </w:r>
            <w:r w:rsidR="00E33D77">
              <w:rPr>
                <w:rFonts w:eastAsia="Batang" w:cstheme="minorHAnsi"/>
                <w:iCs/>
                <w:color w:val="000000" w:themeColor="text1"/>
                <w:lang w:eastAsia="de-DE"/>
              </w:rPr>
              <w:t>,</w:t>
            </w:r>
            <w:r w:rsidRPr="00AE3DFD">
              <w:rPr>
                <w:rFonts w:eastAsia="Batang" w:cstheme="minorHAnsi"/>
                <w:iCs/>
                <w:color w:val="000000" w:themeColor="text1"/>
                <w:lang w:eastAsia="de-DE"/>
              </w:rPr>
              <w:t xml:space="preserve"> successful students will be able to: </w:t>
            </w:r>
          </w:p>
          <w:p w14:paraId="52448C50" w14:textId="421BA19C" w:rsidR="00012BA7" w:rsidRDefault="0046215A" w:rsidP="00C56D6E">
            <w:pPr>
              <w:spacing w:before="120" w:after="120"/>
              <w:rPr>
                <w:rFonts w:eastAsia="Batang" w:cstheme="minorHAnsi"/>
                <w:iCs/>
                <w:color w:val="000000" w:themeColor="text1"/>
                <w:lang w:eastAsia="de-DE"/>
              </w:rPr>
            </w:pPr>
            <w:r w:rsidRPr="00AE3DFD">
              <w:rPr>
                <w:rFonts w:eastAsia="Batang" w:cstheme="minorHAnsi"/>
                <w:iCs/>
                <w:color w:val="000000" w:themeColor="text1"/>
                <w:lang w:eastAsia="de-DE"/>
              </w:rPr>
              <w:t>• Understand the: - financing choices of firms with links to corporate finance</w:t>
            </w:r>
            <w:r>
              <w:rPr>
                <w:rFonts w:eastAsia="Batang" w:cstheme="minorHAnsi"/>
                <w:iCs/>
                <w:color w:val="000000" w:themeColor="text1"/>
                <w:lang w:eastAsia="de-DE"/>
              </w:rPr>
              <w:t>,</w:t>
            </w:r>
            <w:r w:rsidRPr="00AE3DFD">
              <w:rPr>
                <w:rFonts w:eastAsia="Batang" w:cstheme="minorHAnsi"/>
                <w:iCs/>
                <w:color w:val="000000" w:themeColor="text1"/>
                <w:lang w:eastAsia="de-DE"/>
              </w:rPr>
              <w:t xml:space="preserve"> </w:t>
            </w:r>
            <w:r>
              <w:rPr>
                <w:rFonts w:eastAsia="Batang" w:cstheme="minorHAnsi"/>
                <w:iCs/>
                <w:color w:val="000000" w:themeColor="text1"/>
                <w:lang w:eastAsia="de-DE"/>
              </w:rPr>
              <w:t xml:space="preserve">and </w:t>
            </w:r>
            <w:r w:rsidR="00E33D77">
              <w:rPr>
                <w:rFonts w:eastAsia="Batang" w:cstheme="minorHAnsi"/>
                <w:iCs/>
                <w:color w:val="000000" w:themeColor="text1"/>
                <w:lang w:eastAsia="de-DE"/>
              </w:rPr>
              <w:t>short-selling</w:t>
            </w:r>
            <w:r w:rsidRPr="00AE3DFD">
              <w:rPr>
                <w:rFonts w:eastAsia="Batang" w:cstheme="minorHAnsi"/>
                <w:iCs/>
                <w:color w:val="000000" w:themeColor="text1"/>
                <w:lang w:eastAsia="de-DE"/>
              </w:rPr>
              <w:t xml:space="preserve"> topics; - monitoring issues within companies (Corporate Governance and control topic); - payout and investment choices of firms (payout policy, M&amp;A and </w:t>
            </w:r>
            <w:r w:rsidR="00E33D77">
              <w:rPr>
                <w:rFonts w:eastAsia="Batang" w:cstheme="minorHAnsi"/>
                <w:iCs/>
                <w:color w:val="000000" w:themeColor="text1"/>
                <w:lang w:eastAsia="de-DE"/>
              </w:rPr>
              <w:t>risk-taking</w:t>
            </w:r>
            <w:r w:rsidRPr="00AE3DFD">
              <w:rPr>
                <w:rFonts w:eastAsia="Batang" w:cstheme="minorHAnsi"/>
                <w:iCs/>
                <w:color w:val="000000" w:themeColor="text1"/>
                <w:lang w:eastAsia="de-DE"/>
              </w:rPr>
              <w:t>)</w:t>
            </w:r>
            <w:r w:rsidR="00E33D77">
              <w:rPr>
                <w:rFonts w:eastAsia="Batang" w:cstheme="minorHAnsi"/>
                <w:iCs/>
                <w:color w:val="000000" w:themeColor="text1"/>
                <w:lang w:eastAsia="de-DE"/>
              </w:rPr>
              <w:t>,</w:t>
            </w:r>
            <w:r w:rsidRPr="00AE3DFD">
              <w:rPr>
                <w:rFonts w:eastAsia="Batang" w:cstheme="minorHAnsi"/>
                <w:iCs/>
                <w:color w:val="000000" w:themeColor="text1"/>
                <w:lang w:eastAsia="de-DE"/>
              </w:rPr>
              <w:t xml:space="preserve"> </w:t>
            </w:r>
            <w:r>
              <w:rPr>
                <w:rFonts w:eastAsia="Batang" w:cstheme="minorHAnsi"/>
                <w:iCs/>
                <w:color w:val="000000" w:themeColor="text1"/>
                <w:lang w:eastAsia="de-DE"/>
              </w:rPr>
              <w:t xml:space="preserve">and, as </w:t>
            </w:r>
            <w:r w:rsidR="00E33D77">
              <w:rPr>
                <w:rFonts w:eastAsia="Batang" w:cstheme="minorHAnsi"/>
                <w:iCs/>
                <w:color w:val="000000" w:themeColor="text1"/>
                <w:lang w:eastAsia="de-DE"/>
              </w:rPr>
              <w:t xml:space="preserve">a </w:t>
            </w:r>
            <w:r>
              <w:rPr>
                <w:rFonts w:eastAsia="Batang" w:cstheme="minorHAnsi"/>
                <w:iCs/>
                <w:color w:val="000000" w:themeColor="text1"/>
                <w:lang w:eastAsia="de-DE"/>
              </w:rPr>
              <w:t>complement, saving (investment) choices of households</w:t>
            </w:r>
          </w:p>
          <w:p w14:paraId="2AC7B201" w14:textId="44025E07" w:rsidR="00CF3EFD" w:rsidRPr="00C56D6E" w:rsidRDefault="0046215A" w:rsidP="00C56D6E">
            <w:pPr>
              <w:spacing w:before="120" w:after="120"/>
              <w:rPr>
                <w:rFonts w:eastAsia="Batang" w:cstheme="minorHAnsi"/>
                <w:iCs/>
                <w:color w:val="000000" w:themeColor="text1"/>
                <w:lang w:eastAsia="de-DE"/>
              </w:rPr>
            </w:pPr>
            <w:r w:rsidRPr="00AE3DFD">
              <w:rPr>
                <w:rFonts w:eastAsia="Batang" w:cstheme="minorHAnsi"/>
                <w:iCs/>
                <w:color w:val="000000" w:themeColor="text1"/>
                <w:lang w:eastAsia="de-DE"/>
              </w:rPr>
              <w:t xml:space="preserve">• </w:t>
            </w:r>
            <w:r>
              <w:rPr>
                <w:rFonts w:eastAsia="Batang" w:cstheme="minorHAnsi"/>
                <w:iCs/>
                <w:color w:val="000000" w:themeColor="text1"/>
                <w:lang w:eastAsia="de-DE"/>
              </w:rPr>
              <w:t xml:space="preserve">understand the </w:t>
            </w:r>
            <w:r w:rsidRPr="00AE3DFD">
              <w:rPr>
                <w:rFonts w:eastAsia="Batang" w:cstheme="minorHAnsi"/>
                <w:iCs/>
                <w:color w:val="000000" w:themeColor="text1"/>
                <w:lang w:eastAsia="de-DE"/>
              </w:rPr>
              <w:t xml:space="preserve">advanced features </w:t>
            </w:r>
            <w:r w:rsidR="00E33D77">
              <w:rPr>
                <w:rFonts w:eastAsia="Batang" w:cstheme="minorHAnsi"/>
                <w:iCs/>
                <w:color w:val="000000" w:themeColor="text1"/>
                <w:lang w:eastAsia="de-DE"/>
              </w:rPr>
              <w:t>of</w:t>
            </w:r>
            <w:r>
              <w:rPr>
                <w:rFonts w:eastAsia="Batang" w:cstheme="minorHAnsi"/>
                <w:iCs/>
                <w:color w:val="000000" w:themeColor="text1"/>
                <w:lang w:eastAsia="de-DE"/>
              </w:rPr>
              <w:t xml:space="preserve"> how </w:t>
            </w:r>
            <w:r w:rsidRPr="00AE3DFD">
              <w:rPr>
                <w:rFonts w:eastAsia="Batang" w:cstheme="minorHAnsi"/>
                <w:iCs/>
                <w:color w:val="000000" w:themeColor="text1"/>
                <w:lang w:eastAsia="de-DE"/>
              </w:rPr>
              <w:t xml:space="preserve">to conduct empirical analysis </w:t>
            </w:r>
          </w:p>
        </w:tc>
      </w:tr>
      <w:tr w:rsidR="004003EA" w14:paraId="50A96FAE" w14:textId="77777777" w:rsidTr="00345BBB">
        <w:tc>
          <w:tcPr>
            <w:tcW w:w="9669" w:type="dxa"/>
            <w:gridSpan w:val="3"/>
            <w:shd w:val="clear" w:color="auto" w:fill="7030A0"/>
          </w:tcPr>
          <w:p w14:paraId="2DC0988F" w14:textId="77777777" w:rsidR="004003EA" w:rsidRPr="004003EA" w:rsidRDefault="0056006D" w:rsidP="004003EA">
            <w:pPr>
              <w:rPr>
                <w:rFonts w:ascii="Arial" w:hAnsi="Arial" w:cs="Arial"/>
                <w:b/>
                <w:color w:val="FFFFFF" w:themeColor="background1"/>
                <w:sz w:val="24"/>
                <w:szCs w:val="24"/>
              </w:rPr>
            </w:pPr>
            <w:r>
              <w:rPr>
                <w:rFonts w:ascii="Arial" w:hAnsi="Arial" w:cs="Arial"/>
                <w:b/>
                <w:color w:val="FFFFFF" w:themeColor="background1"/>
                <w:sz w:val="24"/>
                <w:szCs w:val="24"/>
              </w:rPr>
              <w:t>Syllabus</w:t>
            </w:r>
            <w:r w:rsidR="00B274A6">
              <w:rPr>
                <w:rFonts w:ascii="Arial" w:hAnsi="Arial" w:cs="Arial"/>
                <w:b/>
                <w:color w:val="FFFFFF" w:themeColor="background1"/>
                <w:sz w:val="24"/>
                <w:szCs w:val="24"/>
              </w:rPr>
              <w:t xml:space="preserve"> content</w:t>
            </w:r>
          </w:p>
        </w:tc>
      </w:tr>
      <w:tr w:rsidR="00C7344D" w14:paraId="375ECCE2" w14:textId="77777777" w:rsidTr="00345BBB">
        <w:tc>
          <w:tcPr>
            <w:tcW w:w="9669" w:type="dxa"/>
            <w:gridSpan w:val="3"/>
          </w:tcPr>
          <w:p w14:paraId="0F2E35DD" w14:textId="77777777" w:rsidR="00012BA7" w:rsidRDefault="00012BA7" w:rsidP="00C56D6E">
            <w:pPr>
              <w:rPr>
                <w:rFonts w:cstheme="minorHAnsi"/>
                <w:color w:val="000000" w:themeColor="text1"/>
              </w:rPr>
            </w:pPr>
          </w:p>
          <w:p w14:paraId="7AD515FB" w14:textId="1E8AFC4C" w:rsidR="00012BA7" w:rsidRPr="00AE3DFD" w:rsidRDefault="0046215A" w:rsidP="00C56D6E">
            <w:pPr>
              <w:rPr>
                <w:rFonts w:cstheme="minorHAnsi"/>
                <w:color w:val="000000" w:themeColor="text1"/>
              </w:rPr>
            </w:pPr>
            <w:r w:rsidRPr="00AE3DFD">
              <w:rPr>
                <w:rFonts w:cstheme="minorHAnsi"/>
                <w:color w:val="000000" w:themeColor="text1"/>
              </w:rPr>
              <w:t xml:space="preserve">The module is dedicated to </w:t>
            </w:r>
            <w:r w:rsidR="00E33D77">
              <w:rPr>
                <w:rFonts w:cstheme="minorHAnsi"/>
                <w:color w:val="000000" w:themeColor="text1"/>
              </w:rPr>
              <w:t>discussing</w:t>
            </w:r>
            <w:r w:rsidRPr="00AE3DFD">
              <w:rPr>
                <w:rFonts w:cstheme="minorHAnsi"/>
                <w:color w:val="000000" w:themeColor="text1"/>
              </w:rPr>
              <w:t xml:space="preserve"> three </w:t>
            </w:r>
            <w:r>
              <w:rPr>
                <w:rFonts w:cstheme="minorHAnsi"/>
                <w:color w:val="000000" w:themeColor="text1"/>
              </w:rPr>
              <w:t xml:space="preserve">broad </w:t>
            </w:r>
            <w:r w:rsidRPr="00AE3DFD">
              <w:rPr>
                <w:rFonts w:cstheme="minorHAnsi"/>
                <w:color w:val="000000" w:themeColor="text1"/>
              </w:rPr>
              <w:t>areas in Corporate Finance</w:t>
            </w:r>
            <w:r>
              <w:rPr>
                <w:rFonts w:cstheme="minorHAnsi"/>
                <w:color w:val="000000" w:themeColor="text1"/>
              </w:rPr>
              <w:t xml:space="preserve"> and Household Finance</w:t>
            </w:r>
            <w:r w:rsidRPr="00AE3DFD">
              <w:rPr>
                <w:rFonts w:cstheme="minorHAnsi"/>
                <w:color w:val="000000" w:themeColor="text1"/>
              </w:rPr>
              <w:t xml:space="preserve">. The focus of these lectures will be mainly empirical.  Each lecture will provide:  - general introduction to a specific </w:t>
            </w:r>
            <w:proofErr w:type="gramStart"/>
            <w:r w:rsidRPr="00AE3DFD">
              <w:rPr>
                <w:rFonts w:cstheme="minorHAnsi"/>
                <w:color w:val="000000" w:themeColor="text1"/>
              </w:rPr>
              <w:t>topic;  -</w:t>
            </w:r>
            <w:proofErr w:type="gramEnd"/>
            <w:r w:rsidRPr="00AE3DFD">
              <w:rPr>
                <w:rFonts w:cstheme="minorHAnsi"/>
                <w:color w:val="000000" w:themeColor="text1"/>
              </w:rPr>
              <w:t xml:space="preserve"> presentation and discussion of very recent empirical papers that are at the frontier of the literature in that specific area - when necessary (at the lecturer’s discretion), detailed discussion of some specific empirical techniques (</w:t>
            </w:r>
            <w:r w:rsidR="00E33D77" w:rsidRPr="00AE3DFD">
              <w:rPr>
                <w:rFonts w:cstheme="minorHAnsi"/>
                <w:color w:val="000000" w:themeColor="text1"/>
              </w:rPr>
              <w:t>i.e.</w:t>
            </w:r>
            <w:r w:rsidRPr="00AE3DFD">
              <w:rPr>
                <w:rFonts w:cstheme="minorHAnsi"/>
                <w:color w:val="000000" w:themeColor="text1"/>
              </w:rPr>
              <w:t>, event study methodology, dynamic panel data, etc</w:t>
            </w:r>
            <w:proofErr w:type="gramStart"/>
            <w:r w:rsidRPr="00AE3DFD">
              <w:rPr>
                <w:rFonts w:cstheme="minorHAnsi"/>
                <w:color w:val="000000" w:themeColor="text1"/>
              </w:rPr>
              <w:t>)</w:t>
            </w:r>
            <w:proofErr w:type="gramEnd"/>
            <w:r w:rsidRPr="00AE3DFD">
              <w:rPr>
                <w:rFonts w:cstheme="minorHAnsi"/>
                <w:color w:val="000000" w:themeColor="text1"/>
              </w:rPr>
              <w:t xml:space="preserve"> that may complement the STATA training sessions </w:t>
            </w:r>
            <w:r>
              <w:rPr>
                <w:rFonts w:cstheme="minorHAnsi"/>
                <w:color w:val="000000" w:themeColor="text1"/>
              </w:rPr>
              <w:t xml:space="preserve">included in BMAN80711 </w:t>
            </w:r>
            <w:r w:rsidRPr="00AE3DFD">
              <w:rPr>
                <w:rFonts w:cstheme="minorHAnsi"/>
                <w:color w:val="000000" w:themeColor="text1"/>
              </w:rPr>
              <w:t xml:space="preserve">module. </w:t>
            </w:r>
          </w:p>
          <w:p w14:paraId="5BB92EF3" w14:textId="77777777" w:rsidR="00012BA7" w:rsidRPr="00AE3DFD" w:rsidRDefault="0046215A" w:rsidP="00C56D6E">
            <w:pPr>
              <w:rPr>
                <w:rFonts w:cstheme="minorHAnsi"/>
                <w:color w:val="000000" w:themeColor="text1"/>
              </w:rPr>
            </w:pPr>
            <w:r w:rsidRPr="00AE3DFD">
              <w:rPr>
                <w:rFonts w:cstheme="minorHAnsi"/>
                <w:color w:val="000000" w:themeColor="text1"/>
              </w:rPr>
              <w:t xml:space="preserve"> </w:t>
            </w:r>
          </w:p>
          <w:p w14:paraId="6A4B085A" w14:textId="57D31D67" w:rsidR="00012BA7" w:rsidRPr="00AE3DFD" w:rsidRDefault="0046215A" w:rsidP="00C56D6E">
            <w:pPr>
              <w:rPr>
                <w:rFonts w:cstheme="minorHAnsi"/>
                <w:color w:val="000000" w:themeColor="text1"/>
              </w:rPr>
            </w:pPr>
            <w:r w:rsidRPr="00AE3DFD">
              <w:rPr>
                <w:rFonts w:cstheme="minorHAnsi"/>
                <w:color w:val="000000" w:themeColor="text1"/>
              </w:rPr>
              <w:t xml:space="preserve">Every lecture will be at least 3 hours (no more than 5/6 hours, at the discretion of each lecturer). </w:t>
            </w:r>
          </w:p>
          <w:p w14:paraId="5B8C49FF" w14:textId="77777777" w:rsidR="00012BA7" w:rsidRPr="00AE3DFD" w:rsidRDefault="0046215A" w:rsidP="00C56D6E">
            <w:pPr>
              <w:rPr>
                <w:rFonts w:cstheme="minorHAnsi"/>
                <w:color w:val="000000" w:themeColor="text1"/>
              </w:rPr>
            </w:pPr>
            <w:r w:rsidRPr="00AE3DFD">
              <w:rPr>
                <w:rFonts w:cstheme="minorHAnsi"/>
                <w:color w:val="000000" w:themeColor="text1"/>
              </w:rPr>
              <w:t xml:space="preserve"> </w:t>
            </w:r>
          </w:p>
          <w:p w14:paraId="2FFFABA8" w14:textId="77777777" w:rsidR="00012BA7" w:rsidRPr="00AE3DFD" w:rsidRDefault="0046215A" w:rsidP="00C56D6E">
            <w:pPr>
              <w:rPr>
                <w:rFonts w:cstheme="minorHAnsi"/>
                <w:color w:val="000000" w:themeColor="text1"/>
              </w:rPr>
            </w:pPr>
            <w:r w:rsidRPr="00AE3DFD">
              <w:rPr>
                <w:rFonts w:cstheme="minorHAnsi"/>
                <w:color w:val="000000" w:themeColor="text1"/>
              </w:rPr>
              <w:lastRenderedPageBreak/>
              <w:t xml:space="preserve">In particular: </w:t>
            </w:r>
          </w:p>
          <w:p w14:paraId="7E6914B5" w14:textId="77777777" w:rsidR="00012BA7" w:rsidRPr="00AE3DFD" w:rsidRDefault="0046215A" w:rsidP="00C56D6E">
            <w:pPr>
              <w:rPr>
                <w:rFonts w:cstheme="minorHAnsi"/>
                <w:color w:val="000000" w:themeColor="text1"/>
              </w:rPr>
            </w:pPr>
            <w:r w:rsidRPr="00AE3DFD">
              <w:rPr>
                <w:rFonts w:cstheme="minorHAnsi"/>
                <w:color w:val="000000" w:themeColor="text1"/>
              </w:rPr>
              <w:t xml:space="preserve"> </w:t>
            </w:r>
          </w:p>
          <w:p w14:paraId="204C6B4D" w14:textId="31931688" w:rsidR="00012BA7" w:rsidRPr="00AE3DFD" w:rsidRDefault="0046215A" w:rsidP="00C56D6E">
            <w:pPr>
              <w:rPr>
                <w:rFonts w:cstheme="minorHAnsi"/>
                <w:color w:val="000000" w:themeColor="text1"/>
              </w:rPr>
            </w:pPr>
            <w:r w:rsidRPr="00AE3DFD">
              <w:rPr>
                <w:rFonts w:cstheme="minorHAnsi"/>
                <w:color w:val="000000" w:themeColor="text1"/>
              </w:rPr>
              <w:t xml:space="preserve">a. How firms raise </w:t>
            </w:r>
            <w:r w:rsidR="00E33D77">
              <w:rPr>
                <w:rFonts w:cstheme="minorHAnsi"/>
                <w:color w:val="000000" w:themeColor="text1"/>
              </w:rPr>
              <w:t>financial</w:t>
            </w:r>
            <w:r w:rsidRPr="00AE3DFD">
              <w:rPr>
                <w:rFonts w:cstheme="minorHAnsi"/>
                <w:color w:val="000000" w:themeColor="text1"/>
              </w:rPr>
              <w:t xml:space="preserve"> resources:  </w:t>
            </w:r>
          </w:p>
          <w:p w14:paraId="2EBD3314" w14:textId="77777777" w:rsidR="00012BA7" w:rsidRPr="00AE3DFD" w:rsidRDefault="0046215A" w:rsidP="00C56D6E">
            <w:pPr>
              <w:rPr>
                <w:rFonts w:cstheme="minorHAnsi"/>
                <w:color w:val="000000" w:themeColor="text1"/>
              </w:rPr>
            </w:pPr>
            <w:r w:rsidRPr="00AE3DFD">
              <w:rPr>
                <w:rFonts w:cstheme="minorHAnsi"/>
                <w:color w:val="000000" w:themeColor="text1"/>
              </w:rPr>
              <w:t xml:space="preserve"> </w:t>
            </w:r>
          </w:p>
          <w:p w14:paraId="2B5D5265" w14:textId="5D784487" w:rsidR="00012BA7" w:rsidRPr="00AE3DFD" w:rsidRDefault="0046215A" w:rsidP="00C56D6E">
            <w:pPr>
              <w:rPr>
                <w:rFonts w:cstheme="minorHAnsi"/>
                <w:color w:val="000000" w:themeColor="text1"/>
              </w:rPr>
            </w:pPr>
            <w:r>
              <w:rPr>
                <w:rFonts w:cstheme="minorHAnsi"/>
                <w:color w:val="000000" w:themeColor="text1"/>
              </w:rPr>
              <w:t>1</w:t>
            </w:r>
            <w:r w:rsidRPr="00AE3DFD">
              <w:rPr>
                <w:rFonts w:cstheme="minorHAnsi"/>
                <w:color w:val="000000" w:themeColor="text1"/>
              </w:rPr>
              <w:t xml:space="preserve">. Financial risk (Session leader: Dr. Stefan Petry) The session aims to provide a better understanding of (financial) risk and its proxies used in the empirical finance literature. The session starts with a brief review of the (theoretical) definition of financial risk. It then looks at various research areas that have made recent contributions </w:t>
            </w:r>
            <w:r w:rsidR="00E33D77">
              <w:rPr>
                <w:rFonts w:cstheme="minorHAnsi"/>
                <w:color w:val="000000" w:themeColor="text1"/>
              </w:rPr>
              <w:t>to methodology and/or to</w:t>
            </w:r>
            <w:r w:rsidRPr="00AE3DFD">
              <w:rPr>
                <w:rFonts w:cstheme="minorHAnsi"/>
                <w:color w:val="000000" w:themeColor="text1"/>
              </w:rPr>
              <w:t xml:space="preserve"> our understanding of what the risk proxies measure. It concludes with a discussion of potential directions for future research in these areas. </w:t>
            </w:r>
          </w:p>
          <w:p w14:paraId="362EB526" w14:textId="77777777" w:rsidR="00012BA7" w:rsidRPr="00AE3DFD" w:rsidRDefault="0046215A" w:rsidP="00C56D6E">
            <w:pPr>
              <w:rPr>
                <w:rFonts w:cstheme="minorHAnsi"/>
                <w:color w:val="000000" w:themeColor="text1"/>
              </w:rPr>
            </w:pPr>
            <w:r w:rsidRPr="00AE3DFD">
              <w:rPr>
                <w:rFonts w:cstheme="minorHAnsi"/>
                <w:color w:val="000000" w:themeColor="text1"/>
              </w:rPr>
              <w:t xml:space="preserve"> </w:t>
            </w:r>
          </w:p>
          <w:p w14:paraId="38E83F15" w14:textId="14B0E28B" w:rsidR="00012BA7" w:rsidRDefault="0046215A" w:rsidP="00C56D6E">
            <w:pPr>
              <w:rPr>
                <w:rFonts w:cstheme="minorHAnsi"/>
                <w:color w:val="000000" w:themeColor="text1"/>
              </w:rPr>
            </w:pPr>
            <w:r>
              <w:rPr>
                <w:rFonts w:cstheme="minorHAnsi"/>
                <w:color w:val="000000" w:themeColor="text1"/>
              </w:rPr>
              <w:t>2</w:t>
            </w:r>
            <w:r w:rsidRPr="00AE3DFD">
              <w:rPr>
                <w:rFonts w:cstheme="minorHAnsi"/>
                <w:color w:val="000000" w:themeColor="text1"/>
              </w:rPr>
              <w:t xml:space="preserve">. </w:t>
            </w:r>
            <w:r>
              <w:rPr>
                <w:rFonts w:cstheme="minorHAnsi"/>
                <w:color w:val="000000" w:themeColor="text1"/>
              </w:rPr>
              <w:t>Capital Structure</w:t>
            </w:r>
            <w:r w:rsidRPr="00AE3DFD">
              <w:rPr>
                <w:rFonts w:cstheme="minorHAnsi"/>
                <w:color w:val="000000" w:themeColor="text1"/>
              </w:rPr>
              <w:t xml:space="preserve"> (Session leader:</w:t>
            </w:r>
            <w:r>
              <w:rPr>
                <w:rFonts w:cstheme="minorHAnsi"/>
                <w:color w:val="000000" w:themeColor="text1"/>
              </w:rPr>
              <w:t xml:space="preserve"> Prof. Viet Dang</w:t>
            </w:r>
            <w:r w:rsidRPr="00AE3DFD">
              <w:rPr>
                <w:rFonts w:cstheme="minorHAnsi"/>
                <w:color w:val="000000" w:themeColor="text1"/>
              </w:rPr>
              <w:t xml:space="preserve">) The use of the agency costs and asymmetric information perspectives as main explanations of maturity choices will be analysed in this section. This session will be devoted to a brief discussion of the theoretical background and a more detailed presentation of the most recent empirical papers in this area. </w:t>
            </w:r>
          </w:p>
          <w:p w14:paraId="40C8DF06" w14:textId="77777777" w:rsidR="00012BA7" w:rsidRDefault="00012BA7" w:rsidP="00C56D6E">
            <w:pPr>
              <w:rPr>
                <w:rFonts w:cstheme="minorHAnsi"/>
                <w:color w:val="000000" w:themeColor="text1"/>
              </w:rPr>
            </w:pPr>
          </w:p>
          <w:p w14:paraId="7520AD36" w14:textId="77777777" w:rsidR="00012BA7" w:rsidRPr="00AE3DFD" w:rsidRDefault="0046215A" w:rsidP="00C56D6E">
            <w:pPr>
              <w:rPr>
                <w:rFonts w:cstheme="minorHAnsi"/>
                <w:color w:val="000000" w:themeColor="text1"/>
              </w:rPr>
            </w:pPr>
            <w:r w:rsidRPr="00AE3DFD">
              <w:rPr>
                <w:rFonts w:cstheme="minorHAnsi"/>
                <w:color w:val="000000" w:themeColor="text1"/>
              </w:rPr>
              <w:t xml:space="preserve"> </w:t>
            </w:r>
          </w:p>
          <w:p w14:paraId="01A1EE20" w14:textId="77777777" w:rsidR="00012BA7" w:rsidRPr="00AE3DFD" w:rsidRDefault="0046215A" w:rsidP="00C56D6E">
            <w:pPr>
              <w:rPr>
                <w:rFonts w:cstheme="minorHAnsi"/>
                <w:color w:val="000000" w:themeColor="text1"/>
              </w:rPr>
            </w:pPr>
            <w:r w:rsidRPr="00AE3DFD">
              <w:rPr>
                <w:rFonts w:cstheme="minorHAnsi"/>
                <w:color w:val="000000" w:themeColor="text1"/>
              </w:rPr>
              <w:t xml:space="preserve">b. How firms are monitored in managing their resources: </w:t>
            </w:r>
          </w:p>
          <w:p w14:paraId="3C38FEB1" w14:textId="77777777" w:rsidR="00012BA7" w:rsidRPr="00AE3DFD" w:rsidRDefault="0046215A" w:rsidP="00C56D6E">
            <w:pPr>
              <w:rPr>
                <w:rFonts w:cstheme="minorHAnsi"/>
                <w:color w:val="000000" w:themeColor="text1"/>
              </w:rPr>
            </w:pPr>
            <w:r w:rsidRPr="00AE3DFD">
              <w:rPr>
                <w:rFonts w:cstheme="minorHAnsi"/>
                <w:color w:val="000000" w:themeColor="text1"/>
              </w:rPr>
              <w:t xml:space="preserve"> </w:t>
            </w:r>
          </w:p>
          <w:p w14:paraId="718FA790" w14:textId="5B2137C8" w:rsidR="00012BA7" w:rsidRPr="00AE3DFD" w:rsidRDefault="0046215A" w:rsidP="00C56D6E">
            <w:pPr>
              <w:rPr>
                <w:rFonts w:cstheme="minorHAnsi"/>
                <w:color w:val="000000" w:themeColor="text1"/>
              </w:rPr>
            </w:pPr>
            <w:r>
              <w:rPr>
                <w:rFonts w:cstheme="minorHAnsi"/>
                <w:color w:val="000000" w:themeColor="text1"/>
              </w:rPr>
              <w:t>3</w:t>
            </w:r>
            <w:r w:rsidRPr="00AE3DFD">
              <w:rPr>
                <w:rFonts w:cstheme="minorHAnsi"/>
                <w:color w:val="000000" w:themeColor="text1"/>
              </w:rPr>
              <w:t>. Corporate</w:t>
            </w:r>
            <w:r>
              <w:rPr>
                <w:rFonts w:cstheme="minorHAnsi"/>
                <w:color w:val="000000" w:themeColor="text1"/>
              </w:rPr>
              <w:t xml:space="preserve"> Governance: (Session leader: Prof</w:t>
            </w:r>
            <w:r w:rsidRPr="00AE3DFD">
              <w:rPr>
                <w:rFonts w:cstheme="minorHAnsi"/>
                <w:color w:val="000000" w:themeColor="text1"/>
              </w:rPr>
              <w:t xml:space="preserve">. Konstantinos Stathopoulos)  This session provides an overview of the latest empirical evidence on Corporate Governance (CG). It summarizes the evidence on the role of the major CG mechanisms, internal and external, and presents current CG systems and practices together with potential future research areas. There will be an extensive discussion of a couple </w:t>
            </w:r>
            <w:r w:rsidR="005F4728">
              <w:rPr>
                <w:rFonts w:cstheme="minorHAnsi"/>
                <w:color w:val="000000" w:themeColor="text1"/>
              </w:rPr>
              <w:t>of papers,</w:t>
            </w:r>
            <w:r w:rsidRPr="00AE3DFD">
              <w:rPr>
                <w:rFonts w:cstheme="minorHAnsi"/>
                <w:color w:val="000000" w:themeColor="text1"/>
              </w:rPr>
              <w:t xml:space="preserve"> primarily focusing on conceptual and methodological issues. </w:t>
            </w:r>
          </w:p>
          <w:p w14:paraId="2F1C2DC2" w14:textId="77777777" w:rsidR="00012BA7" w:rsidRDefault="0046215A" w:rsidP="00C56D6E">
            <w:pPr>
              <w:rPr>
                <w:rFonts w:cstheme="minorHAnsi"/>
                <w:color w:val="000000" w:themeColor="text1"/>
              </w:rPr>
            </w:pPr>
            <w:r w:rsidRPr="00AE3DFD">
              <w:rPr>
                <w:rFonts w:cstheme="minorHAnsi"/>
                <w:color w:val="000000" w:themeColor="text1"/>
              </w:rPr>
              <w:t xml:space="preserve"> </w:t>
            </w:r>
          </w:p>
          <w:p w14:paraId="67143B6C" w14:textId="5E6BC4C5" w:rsidR="00012BA7" w:rsidRPr="008C4D61" w:rsidRDefault="0046215A" w:rsidP="00C56D6E">
            <w:pPr>
              <w:rPr>
                <w:rFonts w:cstheme="minorHAnsi"/>
                <w:color w:val="000000" w:themeColor="text1"/>
              </w:rPr>
            </w:pPr>
            <w:r>
              <w:rPr>
                <w:rFonts w:cstheme="minorHAnsi"/>
                <w:color w:val="000000" w:themeColor="text1"/>
              </w:rPr>
              <w:t xml:space="preserve">4. </w:t>
            </w:r>
            <w:r w:rsidRPr="008C4D61">
              <w:rPr>
                <w:rFonts w:cstheme="minorHAnsi"/>
                <w:color w:val="000000" w:themeColor="text1"/>
              </w:rPr>
              <w:t>Institutional investors and corporate governance</w:t>
            </w:r>
            <w:r>
              <w:rPr>
                <w:rFonts w:cstheme="minorHAnsi"/>
                <w:color w:val="000000" w:themeColor="text1"/>
              </w:rPr>
              <w:t>: (Session leader: Dr. Ellen Ye)</w:t>
            </w:r>
            <w:r w:rsidRPr="008C4D61">
              <w:rPr>
                <w:rFonts w:cstheme="minorHAnsi"/>
                <w:color w:val="000000" w:themeColor="text1"/>
              </w:rPr>
              <w:t xml:space="preserve">. </w:t>
            </w:r>
            <w:r>
              <w:rPr>
                <w:rFonts w:cstheme="minorHAnsi"/>
                <w:color w:val="000000" w:themeColor="text1"/>
              </w:rPr>
              <w:t xml:space="preserve">This session will </w:t>
            </w:r>
            <w:r w:rsidRPr="008C4D61">
              <w:rPr>
                <w:rFonts w:cstheme="minorHAnsi"/>
                <w:color w:val="000000" w:themeColor="text1"/>
              </w:rPr>
              <w:t xml:space="preserve">start </w:t>
            </w:r>
            <w:r w:rsidR="005F4728">
              <w:rPr>
                <w:rFonts w:cstheme="minorHAnsi"/>
                <w:color w:val="000000" w:themeColor="text1"/>
              </w:rPr>
              <w:t>with the ideas of voice and exit and then discuss a series of empirical papers on mutual funds, hedge funds, and pension fund</w:t>
            </w:r>
            <w:r w:rsidRPr="008C4D61">
              <w:rPr>
                <w:rFonts w:cstheme="minorHAnsi"/>
                <w:color w:val="000000" w:themeColor="text1"/>
              </w:rPr>
              <w:t xml:space="preserve"> activism. In the end, </w:t>
            </w:r>
            <w:r>
              <w:rPr>
                <w:rFonts w:cstheme="minorHAnsi"/>
                <w:color w:val="000000" w:themeColor="text1"/>
              </w:rPr>
              <w:t xml:space="preserve">the focus will be </w:t>
            </w:r>
            <w:r w:rsidR="005F4728">
              <w:rPr>
                <w:rFonts w:cstheme="minorHAnsi"/>
                <w:color w:val="000000" w:themeColor="text1"/>
              </w:rPr>
              <w:t>on</w:t>
            </w:r>
            <w:r w:rsidRPr="008C4D61">
              <w:rPr>
                <w:rFonts w:cstheme="minorHAnsi"/>
                <w:color w:val="000000" w:themeColor="text1"/>
              </w:rPr>
              <w:t xml:space="preserve"> shareholder meetings and votes – institutional details and recent papers. </w:t>
            </w:r>
            <w:r>
              <w:rPr>
                <w:rFonts w:cstheme="minorHAnsi"/>
                <w:color w:val="000000" w:themeColor="text1"/>
              </w:rPr>
              <w:t xml:space="preserve">There will </w:t>
            </w:r>
            <w:r w:rsidR="005F4728">
              <w:rPr>
                <w:rFonts w:cstheme="minorHAnsi"/>
                <w:color w:val="000000" w:themeColor="text1"/>
              </w:rPr>
              <w:t>also be a discussion of some key databases,</w:t>
            </w:r>
            <w:r w:rsidRPr="008C4D61">
              <w:rPr>
                <w:rFonts w:cstheme="minorHAnsi"/>
                <w:color w:val="000000" w:themeColor="text1"/>
              </w:rPr>
              <w:t xml:space="preserve"> primarily </w:t>
            </w:r>
            <w:r w:rsidR="005F4728">
              <w:rPr>
                <w:rFonts w:cstheme="minorHAnsi"/>
                <w:color w:val="000000" w:themeColor="text1"/>
              </w:rPr>
              <w:t>ISS voting analytics, with brief coverage of</w:t>
            </w:r>
            <w:r w:rsidRPr="008C4D61">
              <w:rPr>
                <w:rFonts w:cstheme="minorHAnsi"/>
                <w:color w:val="000000" w:themeColor="text1"/>
              </w:rPr>
              <w:t xml:space="preserve"> CRSP Mutual funds, s12, and s34.</w:t>
            </w:r>
          </w:p>
          <w:p w14:paraId="0E38972C" w14:textId="77777777" w:rsidR="00012BA7" w:rsidRDefault="00012BA7" w:rsidP="00C56D6E">
            <w:pPr>
              <w:rPr>
                <w:rFonts w:cstheme="minorHAnsi"/>
                <w:color w:val="000000" w:themeColor="text1"/>
              </w:rPr>
            </w:pPr>
          </w:p>
          <w:p w14:paraId="2C0C2CE8" w14:textId="6CCB4B24" w:rsidR="00012BA7" w:rsidRPr="00AE3DFD" w:rsidRDefault="00012BA7" w:rsidP="00C56D6E">
            <w:pPr>
              <w:rPr>
                <w:rFonts w:cstheme="minorHAnsi"/>
                <w:color w:val="000000" w:themeColor="text1"/>
              </w:rPr>
            </w:pPr>
          </w:p>
          <w:p w14:paraId="6A23836A" w14:textId="77777777" w:rsidR="00012BA7" w:rsidRPr="00AE3DFD" w:rsidRDefault="0046215A" w:rsidP="00C56D6E">
            <w:pPr>
              <w:rPr>
                <w:rFonts w:cstheme="minorHAnsi"/>
                <w:color w:val="000000" w:themeColor="text1"/>
              </w:rPr>
            </w:pPr>
            <w:r w:rsidRPr="00AE3DFD">
              <w:rPr>
                <w:rFonts w:cstheme="minorHAnsi"/>
                <w:color w:val="000000" w:themeColor="text1"/>
              </w:rPr>
              <w:t xml:space="preserve">c. How firms invest their resources: </w:t>
            </w:r>
          </w:p>
          <w:p w14:paraId="6F75701E" w14:textId="77777777" w:rsidR="00012BA7" w:rsidRPr="00AE3DFD" w:rsidRDefault="0046215A" w:rsidP="00C56D6E">
            <w:pPr>
              <w:rPr>
                <w:rFonts w:cstheme="minorHAnsi"/>
                <w:color w:val="000000" w:themeColor="text1"/>
              </w:rPr>
            </w:pPr>
            <w:r w:rsidRPr="00AE3DFD">
              <w:rPr>
                <w:rFonts w:cstheme="minorHAnsi"/>
                <w:color w:val="000000" w:themeColor="text1"/>
              </w:rPr>
              <w:t xml:space="preserve"> </w:t>
            </w:r>
          </w:p>
          <w:p w14:paraId="075B1D59" w14:textId="29C5AA45" w:rsidR="00012BA7" w:rsidRPr="00AE3DFD" w:rsidRDefault="0046215A" w:rsidP="00C56D6E">
            <w:pPr>
              <w:rPr>
                <w:rFonts w:cstheme="minorHAnsi"/>
                <w:color w:val="000000" w:themeColor="text1"/>
              </w:rPr>
            </w:pPr>
            <w:r w:rsidRPr="00AE3DFD">
              <w:rPr>
                <w:rFonts w:cstheme="minorHAnsi"/>
                <w:color w:val="000000" w:themeColor="text1"/>
              </w:rPr>
              <w:t>5. Investment decisions and</w:t>
            </w:r>
            <w:r>
              <w:rPr>
                <w:rFonts w:cstheme="minorHAnsi"/>
                <w:color w:val="000000" w:themeColor="text1"/>
              </w:rPr>
              <w:t xml:space="preserve"> risk-taking (Session leader: Prof</w:t>
            </w:r>
            <w:r w:rsidRPr="00AE3DFD">
              <w:rPr>
                <w:rFonts w:cstheme="minorHAnsi"/>
                <w:color w:val="000000" w:themeColor="text1"/>
              </w:rPr>
              <w:t xml:space="preserve">. Roberto Mura)  This session aims </w:t>
            </w:r>
            <w:r w:rsidR="00C259D3">
              <w:rPr>
                <w:rFonts w:cstheme="minorHAnsi"/>
                <w:color w:val="000000" w:themeColor="text1"/>
              </w:rPr>
              <w:t>to discuss</w:t>
            </w:r>
            <w:r w:rsidRPr="00AE3DFD">
              <w:rPr>
                <w:rFonts w:cstheme="minorHAnsi"/>
                <w:color w:val="000000" w:themeColor="text1"/>
              </w:rPr>
              <w:t xml:space="preserve"> in detail the most recent developments in the literature about risk-taking. First, it provides </w:t>
            </w:r>
            <w:r w:rsidR="00C259D3">
              <w:rPr>
                <w:rFonts w:cstheme="minorHAnsi"/>
                <w:color w:val="000000" w:themeColor="text1"/>
              </w:rPr>
              <w:t>a general background on the literature on corporate risk-taking</w:t>
            </w:r>
            <w:r w:rsidRPr="00AE3DFD">
              <w:rPr>
                <w:rFonts w:cstheme="minorHAnsi"/>
                <w:color w:val="000000" w:themeColor="text1"/>
              </w:rPr>
              <w:t xml:space="preserve">. Then, it discusses </w:t>
            </w:r>
            <w:r w:rsidR="00C259D3">
              <w:rPr>
                <w:rFonts w:cstheme="minorHAnsi"/>
                <w:color w:val="000000" w:themeColor="text1"/>
              </w:rPr>
              <w:t xml:space="preserve">recent empirical developments in this literature, </w:t>
            </w:r>
            <w:proofErr w:type="gramStart"/>
            <w:r w:rsidR="00C259D3">
              <w:rPr>
                <w:rFonts w:cstheme="minorHAnsi"/>
                <w:color w:val="000000" w:themeColor="text1"/>
              </w:rPr>
              <w:t>taking into account</w:t>
            </w:r>
            <w:proofErr w:type="gramEnd"/>
            <w:r w:rsidR="00C259D3">
              <w:rPr>
                <w:rFonts w:cstheme="minorHAnsi"/>
                <w:color w:val="000000" w:themeColor="text1"/>
              </w:rPr>
              <w:t xml:space="preserve"> the international perspective, the links between risk-taking and economic growth and </w:t>
            </w:r>
            <w:r w:rsidRPr="00AE3DFD">
              <w:rPr>
                <w:rFonts w:cstheme="minorHAnsi"/>
                <w:color w:val="000000" w:themeColor="text1"/>
              </w:rPr>
              <w:t xml:space="preserve">between risk-taking and portfolio diversification. </w:t>
            </w:r>
          </w:p>
          <w:p w14:paraId="4D8188EB" w14:textId="77777777" w:rsidR="00012BA7" w:rsidRPr="00AE3DFD" w:rsidRDefault="0046215A" w:rsidP="00C56D6E">
            <w:pPr>
              <w:rPr>
                <w:rFonts w:cstheme="minorHAnsi"/>
                <w:color w:val="000000" w:themeColor="text1"/>
              </w:rPr>
            </w:pPr>
            <w:r w:rsidRPr="00AE3DFD">
              <w:rPr>
                <w:rFonts w:cstheme="minorHAnsi"/>
                <w:color w:val="000000" w:themeColor="text1"/>
              </w:rPr>
              <w:t xml:space="preserve"> </w:t>
            </w:r>
          </w:p>
          <w:p w14:paraId="7D6E71F0" w14:textId="30A4BD68" w:rsidR="00012BA7" w:rsidRDefault="0046215A" w:rsidP="00C56D6E">
            <w:pPr>
              <w:rPr>
                <w:rFonts w:cstheme="minorHAnsi"/>
                <w:color w:val="000000" w:themeColor="text1"/>
              </w:rPr>
            </w:pPr>
            <w:r w:rsidRPr="00AE3DFD">
              <w:rPr>
                <w:rFonts w:cstheme="minorHAnsi"/>
                <w:color w:val="000000" w:themeColor="text1"/>
              </w:rPr>
              <w:t xml:space="preserve">6. M&amp;A (Session leader: Dr. Ning Gao) This session will </w:t>
            </w:r>
            <w:proofErr w:type="gramStart"/>
            <w:r w:rsidRPr="00AE3DFD">
              <w:rPr>
                <w:rFonts w:cstheme="minorHAnsi"/>
                <w:color w:val="000000" w:themeColor="text1"/>
              </w:rPr>
              <w:t>provide an introduction to</w:t>
            </w:r>
            <w:proofErr w:type="gramEnd"/>
            <w:r w:rsidRPr="00AE3DFD">
              <w:rPr>
                <w:rFonts w:cstheme="minorHAnsi"/>
                <w:color w:val="000000" w:themeColor="text1"/>
              </w:rPr>
              <w:t xml:space="preserve"> research questions </w:t>
            </w:r>
            <w:proofErr w:type="gramStart"/>
            <w:r w:rsidRPr="00AE3DFD">
              <w:rPr>
                <w:rFonts w:cstheme="minorHAnsi"/>
                <w:color w:val="000000" w:themeColor="text1"/>
              </w:rPr>
              <w:t>in the area of</w:t>
            </w:r>
            <w:proofErr w:type="gramEnd"/>
            <w:r w:rsidRPr="00AE3DFD">
              <w:rPr>
                <w:rFonts w:cstheme="minorHAnsi"/>
                <w:color w:val="000000" w:themeColor="text1"/>
              </w:rPr>
              <w:t xml:space="preserve"> corporate </w:t>
            </w:r>
            <w:r w:rsidR="00C259D3">
              <w:rPr>
                <w:rFonts w:cstheme="minorHAnsi"/>
                <w:color w:val="000000" w:themeColor="text1"/>
              </w:rPr>
              <w:t>mergers and acquisitions (M&amp;A), recent developments</w:t>
            </w:r>
            <w:r w:rsidRPr="00AE3DFD">
              <w:rPr>
                <w:rFonts w:cstheme="minorHAnsi"/>
                <w:color w:val="000000" w:themeColor="text1"/>
              </w:rPr>
              <w:t xml:space="preserve"> in this area, and related empirical techniques. It will focus on two specific topics: performance of merging firms and the effects of cash in takeovers. </w:t>
            </w:r>
          </w:p>
          <w:p w14:paraId="11160AD6" w14:textId="77777777" w:rsidR="00012BA7" w:rsidRDefault="00012BA7" w:rsidP="00C56D6E">
            <w:pPr>
              <w:rPr>
                <w:rFonts w:cstheme="minorHAnsi"/>
                <w:color w:val="000000" w:themeColor="text1"/>
              </w:rPr>
            </w:pPr>
          </w:p>
          <w:p w14:paraId="15AA76F5" w14:textId="423CD8E2" w:rsidR="00012BA7" w:rsidRPr="003D4CBC" w:rsidRDefault="0046215A" w:rsidP="00C56D6E">
            <w:pPr>
              <w:rPr>
                <w:rFonts w:cstheme="minorHAnsi"/>
                <w:color w:val="000000" w:themeColor="text1"/>
              </w:rPr>
            </w:pPr>
            <w:r>
              <w:rPr>
                <w:rFonts w:cstheme="minorHAnsi"/>
                <w:color w:val="000000" w:themeColor="text1"/>
              </w:rPr>
              <w:t xml:space="preserve">7. Household saving decisions (Session leader: Dr. Emiel Jerphanion) </w:t>
            </w:r>
            <w:r w:rsidRPr="003D4CBC">
              <w:rPr>
                <w:rFonts w:cstheme="minorHAnsi"/>
                <w:color w:val="000000" w:themeColor="text1"/>
              </w:rPr>
              <w:t xml:space="preserve">The session aims to provide a better understanding of why </w:t>
            </w:r>
            <w:r w:rsidR="00C259D3">
              <w:rPr>
                <w:rFonts w:cstheme="minorHAnsi"/>
                <w:color w:val="000000" w:themeColor="text1"/>
              </w:rPr>
              <w:t>households</w:t>
            </w:r>
            <w:r w:rsidRPr="003D4CBC">
              <w:rPr>
                <w:rFonts w:cstheme="minorHAnsi"/>
                <w:color w:val="000000" w:themeColor="text1"/>
              </w:rPr>
              <w:t xml:space="preserve"> save and the observed heterogeneity in saving propensities. Studying saving decisions </w:t>
            </w:r>
            <w:r w:rsidR="00C259D3">
              <w:rPr>
                <w:rFonts w:cstheme="minorHAnsi"/>
                <w:color w:val="000000" w:themeColor="text1"/>
              </w:rPr>
              <w:t>is central in understanding a household’s direct or indirect investments in financial markets, borrowing behaviour</w:t>
            </w:r>
            <w:r w:rsidRPr="003D4CBC">
              <w:rPr>
                <w:rFonts w:cstheme="minorHAnsi"/>
                <w:color w:val="000000" w:themeColor="text1"/>
              </w:rPr>
              <w:t xml:space="preserve">, lifecycle portfolio choices and financial security. The session provides an overview of the leading theories </w:t>
            </w:r>
            <w:r w:rsidR="00C259D3">
              <w:rPr>
                <w:rFonts w:cstheme="minorHAnsi"/>
                <w:color w:val="000000" w:themeColor="text1"/>
              </w:rPr>
              <w:t>of saving motives and reviews important differences among various measures of household saving behavior</w:t>
            </w:r>
            <w:r w:rsidRPr="003D4CBC">
              <w:rPr>
                <w:rFonts w:cstheme="minorHAnsi"/>
                <w:color w:val="000000" w:themeColor="text1"/>
              </w:rPr>
              <w:t xml:space="preserve">. Finally, the session will provide an in-depth discussion of recent empirical papers that </w:t>
            </w:r>
            <w:r w:rsidR="00C259D3">
              <w:rPr>
                <w:rFonts w:cstheme="minorHAnsi"/>
                <w:color w:val="000000" w:themeColor="text1"/>
              </w:rPr>
              <w:t>have made substantial contributions</w:t>
            </w:r>
            <w:r w:rsidRPr="003D4CBC">
              <w:rPr>
                <w:rFonts w:cstheme="minorHAnsi"/>
                <w:color w:val="000000" w:themeColor="text1"/>
              </w:rPr>
              <w:t xml:space="preserve"> to the literature.</w:t>
            </w:r>
          </w:p>
          <w:p w14:paraId="47A245DB" w14:textId="77777777" w:rsidR="005E3754" w:rsidRPr="00C56D6E" w:rsidRDefault="00002873" w:rsidP="00C56D6E">
            <w:pPr>
              <w:keepNext/>
              <w:keepLines/>
              <w:autoSpaceDE w:val="0"/>
              <w:autoSpaceDN w:val="0"/>
              <w:spacing w:before="120" w:after="120"/>
              <w:jc w:val="both"/>
              <w:rPr>
                <w:rFonts w:ascii="Arial" w:hAnsi="Arial" w:cs="Arial"/>
                <w:b/>
                <w:sz w:val="24"/>
                <w:szCs w:val="24"/>
              </w:rPr>
            </w:pPr>
            <w:r w:rsidRPr="00C56D6E">
              <w:rPr>
                <w:rFonts w:cstheme="minorHAnsi"/>
                <w:b/>
              </w:rPr>
              <w:lastRenderedPageBreak/>
              <w:t xml:space="preserve"> </w:t>
            </w:r>
          </w:p>
        </w:tc>
      </w:tr>
      <w:tr w:rsidR="009A2688" w:rsidRPr="004003EA" w14:paraId="12EAC6E9" w14:textId="77777777" w:rsidTr="00345BBB">
        <w:tc>
          <w:tcPr>
            <w:tcW w:w="9669" w:type="dxa"/>
            <w:gridSpan w:val="3"/>
            <w:shd w:val="clear" w:color="auto" w:fill="7030A0"/>
          </w:tcPr>
          <w:p w14:paraId="4AE6CA46" w14:textId="77777777" w:rsidR="009A2688" w:rsidRPr="004003EA" w:rsidRDefault="00C7344D" w:rsidP="003A0F8F">
            <w:pPr>
              <w:rPr>
                <w:rFonts w:ascii="Arial" w:hAnsi="Arial" w:cs="Arial"/>
                <w:b/>
                <w:color w:val="FFFFFF" w:themeColor="background1"/>
                <w:sz w:val="24"/>
                <w:szCs w:val="24"/>
              </w:rPr>
            </w:pPr>
            <w:r>
              <w:rPr>
                <w:rFonts w:ascii="Arial" w:hAnsi="Arial" w:cs="Arial"/>
                <w:b/>
                <w:color w:val="FFFFFF" w:themeColor="background1"/>
                <w:sz w:val="24"/>
                <w:szCs w:val="24"/>
              </w:rPr>
              <w:lastRenderedPageBreak/>
              <w:t>M</w:t>
            </w:r>
            <w:r w:rsidR="00AA2E20">
              <w:rPr>
                <w:rFonts w:ascii="Arial" w:hAnsi="Arial" w:cs="Arial"/>
                <w:b/>
                <w:color w:val="FFFFFF" w:themeColor="background1"/>
                <w:sz w:val="24"/>
                <w:szCs w:val="24"/>
              </w:rPr>
              <w:t>ethods of d</w:t>
            </w:r>
            <w:r w:rsidR="009A2688">
              <w:rPr>
                <w:rFonts w:ascii="Arial" w:hAnsi="Arial" w:cs="Arial"/>
                <w:b/>
                <w:color w:val="FFFFFF" w:themeColor="background1"/>
                <w:sz w:val="24"/>
                <w:szCs w:val="24"/>
              </w:rPr>
              <w:t>elivery</w:t>
            </w:r>
          </w:p>
        </w:tc>
      </w:tr>
      <w:tr w:rsidR="00AA2E20" w14:paraId="5DA0C6DA" w14:textId="77777777" w:rsidTr="006A15A6">
        <w:tc>
          <w:tcPr>
            <w:tcW w:w="4729" w:type="dxa"/>
            <w:gridSpan w:val="2"/>
            <w:shd w:val="clear" w:color="auto" w:fill="D9D9D9" w:themeFill="background1" w:themeFillShade="D9"/>
          </w:tcPr>
          <w:p w14:paraId="53DD8633" w14:textId="77777777" w:rsidR="00AA2E20" w:rsidRPr="00D42AA1" w:rsidRDefault="00AA2E20" w:rsidP="004003EA">
            <w:pPr>
              <w:rPr>
                <w:rFonts w:ascii="Calibri" w:hAnsi="Calibri" w:cs="Calibri"/>
                <w:b/>
                <w:sz w:val="24"/>
                <w:szCs w:val="24"/>
              </w:rPr>
            </w:pPr>
            <w:r w:rsidRPr="00D42AA1">
              <w:rPr>
                <w:rFonts w:ascii="Calibri" w:hAnsi="Calibri" w:cs="Calibri"/>
                <w:b/>
                <w:sz w:val="24"/>
                <w:szCs w:val="24"/>
              </w:rPr>
              <w:t>Lectures</w:t>
            </w:r>
            <w:r w:rsidR="00002873">
              <w:rPr>
                <w:rFonts w:ascii="Calibri" w:hAnsi="Calibri" w:cs="Calibri"/>
                <w:b/>
                <w:sz w:val="24"/>
                <w:szCs w:val="24"/>
              </w:rPr>
              <w:t>/Seminars</w:t>
            </w:r>
          </w:p>
        </w:tc>
        <w:tc>
          <w:tcPr>
            <w:tcW w:w="4940" w:type="dxa"/>
          </w:tcPr>
          <w:p w14:paraId="74723D26" w14:textId="77777777" w:rsidR="00012BA7" w:rsidRPr="00B274A6" w:rsidRDefault="0046215A" w:rsidP="00C56D6E">
            <w:pPr>
              <w:rPr>
                <w:color w:val="FF0000"/>
              </w:rPr>
            </w:pPr>
            <w:r>
              <w:rPr>
                <w:rFonts w:cstheme="minorHAnsi"/>
              </w:rPr>
              <w:t>21</w:t>
            </w:r>
          </w:p>
        </w:tc>
      </w:tr>
      <w:tr w:rsidR="00002873" w14:paraId="556DA006" w14:textId="77777777" w:rsidTr="006A15A6">
        <w:tc>
          <w:tcPr>
            <w:tcW w:w="4729" w:type="dxa"/>
            <w:gridSpan w:val="2"/>
            <w:shd w:val="clear" w:color="auto" w:fill="D9D9D9" w:themeFill="background1" w:themeFillShade="D9"/>
          </w:tcPr>
          <w:p w14:paraId="7BF97055" w14:textId="77777777" w:rsidR="00002873" w:rsidRPr="00D42AA1" w:rsidRDefault="00002873" w:rsidP="00002873">
            <w:pPr>
              <w:rPr>
                <w:rFonts w:ascii="Calibri" w:hAnsi="Calibri" w:cs="Calibri"/>
                <w:b/>
                <w:sz w:val="24"/>
                <w:szCs w:val="24"/>
              </w:rPr>
            </w:pPr>
            <w:r>
              <w:rPr>
                <w:rFonts w:ascii="Calibri" w:hAnsi="Calibri" w:cs="Calibri"/>
                <w:b/>
                <w:sz w:val="24"/>
                <w:szCs w:val="24"/>
              </w:rPr>
              <w:t>Independent</w:t>
            </w:r>
            <w:r w:rsidRPr="00D42AA1">
              <w:rPr>
                <w:rFonts w:ascii="Calibri" w:hAnsi="Calibri" w:cs="Calibri"/>
                <w:b/>
                <w:sz w:val="24"/>
                <w:szCs w:val="24"/>
              </w:rPr>
              <w:t xml:space="preserve"> Study</w:t>
            </w:r>
          </w:p>
        </w:tc>
        <w:tc>
          <w:tcPr>
            <w:tcW w:w="4940" w:type="dxa"/>
          </w:tcPr>
          <w:p w14:paraId="2B577699" w14:textId="77777777" w:rsidR="00012BA7" w:rsidRPr="00B274A6" w:rsidRDefault="0046215A" w:rsidP="00C56D6E">
            <w:pPr>
              <w:rPr>
                <w:color w:val="FF0000"/>
              </w:rPr>
            </w:pPr>
            <w:r w:rsidRPr="00347A50">
              <w:t>108</w:t>
            </w:r>
          </w:p>
        </w:tc>
      </w:tr>
      <w:tr w:rsidR="00002873" w14:paraId="77FE98B9" w14:textId="77777777" w:rsidTr="006A15A6">
        <w:tc>
          <w:tcPr>
            <w:tcW w:w="4729" w:type="dxa"/>
            <w:gridSpan w:val="2"/>
            <w:shd w:val="clear" w:color="auto" w:fill="D9D9D9" w:themeFill="background1" w:themeFillShade="D9"/>
          </w:tcPr>
          <w:p w14:paraId="69A0FB37" w14:textId="77777777" w:rsidR="00002873" w:rsidRPr="00D42AA1" w:rsidRDefault="00002873" w:rsidP="00002873">
            <w:pPr>
              <w:rPr>
                <w:rFonts w:ascii="Calibri" w:hAnsi="Calibri" w:cs="Calibri"/>
                <w:b/>
                <w:sz w:val="24"/>
                <w:szCs w:val="24"/>
              </w:rPr>
            </w:pPr>
            <w:r w:rsidRPr="00D42AA1">
              <w:rPr>
                <w:rFonts w:ascii="Calibri" w:hAnsi="Calibri" w:cs="Calibri"/>
                <w:b/>
                <w:sz w:val="24"/>
                <w:szCs w:val="24"/>
              </w:rPr>
              <w:t>Total Study Hours</w:t>
            </w:r>
          </w:p>
          <w:p w14:paraId="5FD2628B" w14:textId="77777777" w:rsidR="00002873" w:rsidRPr="00D42AA1" w:rsidRDefault="00002873" w:rsidP="00002873">
            <w:pPr>
              <w:rPr>
                <w:rFonts w:ascii="Calibri" w:hAnsi="Calibri" w:cs="Calibri"/>
                <w:b/>
                <w:color w:val="FF0000"/>
                <w:sz w:val="24"/>
                <w:szCs w:val="24"/>
              </w:rPr>
            </w:pPr>
          </w:p>
        </w:tc>
        <w:tc>
          <w:tcPr>
            <w:tcW w:w="4940" w:type="dxa"/>
          </w:tcPr>
          <w:p w14:paraId="251B481D" w14:textId="77777777" w:rsidR="00012BA7" w:rsidRPr="00EB72EF" w:rsidRDefault="0046215A" w:rsidP="00C56D6E">
            <w:pPr>
              <w:rPr>
                <w:rFonts w:cstheme="minorHAnsi"/>
              </w:rPr>
            </w:pPr>
            <w:r w:rsidRPr="00EB72EF">
              <w:rPr>
                <w:rFonts w:cstheme="minorHAnsi"/>
              </w:rPr>
              <w:t>1</w:t>
            </w:r>
            <w:r>
              <w:rPr>
                <w:rFonts w:cstheme="minorHAnsi"/>
              </w:rPr>
              <w:t>29</w:t>
            </w:r>
          </w:p>
          <w:p w14:paraId="22AA3D4E" w14:textId="77777777" w:rsidR="00012BA7" w:rsidRPr="00B274A6" w:rsidRDefault="00012BA7" w:rsidP="00C56D6E">
            <w:pPr>
              <w:rPr>
                <w:color w:val="FF0000"/>
              </w:rPr>
            </w:pPr>
          </w:p>
        </w:tc>
      </w:tr>
      <w:tr w:rsidR="00B76C82" w:rsidRPr="004003EA" w14:paraId="179270E1" w14:textId="77777777" w:rsidTr="00345BBB">
        <w:trPr>
          <w:trHeight w:val="254"/>
        </w:trPr>
        <w:tc>
          <w:tcPr>
            <w:tcW w:w="9669" w:type="dxa"/>
            <w:gridSpan w:val="3"/>
            <w:shd w:val="clear" w:color="auto" w:fill="7030A0"/>
          </w:tcPr>
          <w:p w14:paraId="7D35E4AB" w14:textId="77777777" w:rsidR="00B76C82" w:rsidRPr="004003EA" w:rsidRDefault="00B76C82" w:rsidP="003A0F8F">
            <w:pPr>
              <w:rPr>
                <w:rFonts w:ascii="Arial" w:hAnsi="Arial" w:cs="Arial"/>
                <w:b/>
                <w:color w:val="FFFFFF" w:themeColor="background1"/>
                <w:sz w:val="24"/>
                <w:szCs w:val="24"/>
              </w:rPr>
            </w:pPr>
            <w:r>
              <w:rPr>
                <w:rFonts w:ascii="Arial" w:hAnsi="Arial" w:cs="Arial"/>
                <w:b/>
                <w:color w:val="FFFFFF" w:themeColor="background1"/>
                <w:sz w:val="24"/>
                <w:szCs w:val="24"/>
              </w:rPr>
              <w:t>Reading List</w:t>
            </w:r>
          </w:p>
        </w:tc>
      </w:tr>
      <w:tr w:rsidR="0056006D" w14:paraId="0915DFA9" w14:textId="77777777" w:rsidTr="00345BBB">
        <w:tc>
          <w:tcPr>
            <w:tcW w:w="9669" w:type="dxa"/>
            <w:gridSpan w:val="3"/>
          </w:tcPr>
          <w:p w14:paraId="68012BD9" w14:textId="77777777" w:rsidR="00012BA7" w:rsidRPr="00EB72EF" w:rsidRDefault="00012BA7" w:rsidP="00C56D6E">
            <w:pPr>
              <w:rPr>
                <w:rFonts w:cstheme="minorHAnsi"/>
                <w:b/>
              </w:rPr>
            </w:pPr>
          </w:p>
          <w:p w14:paraId="0FFC01F2" w14:textId="77777777" w:rsidR="00012BA7" w:rsidRPr="00EB72EF" w:rsidRDefault="0046215A" w:rsidP="00C56D6E">
            <w:pPr>
              <w:rPr>
                <w:rFonts w:cstheme="minorHAnsi"/>
                <w:b/>
              </w:rPr>
            </w:pPr>
            <w:r w:rsidRPr="00EB72EF">
              <w:rPr>
                <w:rFonts w:cstheme="minorHAnsi"/>
                <w:b/>
              </w:rPr>
              <w:t xml:space="preserve">Pre-requisites </w:t>
            </w:r>
          </w:p>
          <w:p w14:paraId="51E359C9" w14:textId="77777777" w:rsidR="00012BA7" w:rsidRPr="00EB72EF" w:rsidRDefault="0046215A" w:rsidP="00C56D6E">
            <w:pPr>
              <w:rPr>
                <w:rFonts w:cstheme="minorHAnsi"/>
              </w:rPr>
            </w:pPr>
            <w:r w:rsidRPr="00EB72EF">
              <w:rPr>
                <w:rFonts w:cstheme="minorHAnsi"/>
              </w:rPr>
              <w:t xml:space="preserve">BMAN71152 Corporate Finance or equivalent. Students are expected to be familiar with the fundamental theories on capital structure: Modigliani-Miller Theorem, Static Trade-off theory and Pecking Order theory. Relevant readings are Modigliani and Miller (1958, AER), Myers (1984, JF) and Myers and Majluf (1984, JFE). </w:t>
            </w:r>
          </w:p>
          <w:p w14:paraId="19F848B1" w14:textId="77777777" w:rsidR="00012BA7" w:rsidRPr="00EB72EF" w:rsidRDefault="0046215A" w:rsidP="00C56D6E">
            <w:pPr>
              <w:rPr>
                <w:rFonts w:cstheme="minorHAnsi"/>
              </w:rPr>
            </w:pPr>
            <w:r w:rsidRPr="00EB72EF">
              <w:rPr>
                <w:rFonts w:cstheme="minorHAnsi"/>
              </w:rPr>
              <w:t xml:space="preserve"> </w:t>
            </w:r>
          </w:p>
          <w:p w14:paraId="65096B84" w14:textId="77777777" w:rsidR="00012BA7" w:rsidRPr="00EB72EF" w:rsidRDefault="0046215A" w:rsidP="00C56D6E">
            <w:pPr>
              <w:rPr>
                <w:rFonts w:cstheme="minorHAnsi"/>
              </w:rPr>
            </w:pPr>
            <w:r w:rsidRPr="00EB72EF">
              <w:rPr>
                <w:rFonts w:cstheme="minorHAnsi"/>
              </w:rPr>
              <w:t xml:space="preserve">Preliminary (provisional) reading for each topic: </w:t>
            </w:r>
          </w:p>
          <w:p w14:paraId="356E9027" w14:textId="77777777" w:rsidR="00012BA7" w:rsidRPr="00EB72EF" w:rsidRDefault="00012BA7" w:rsidP="00C56D6E">
            <w:pPr>
              <w:rPr>
                <w:rFonts w:cstheme="minorHAnsi"/>
              </w:rPr>
            </w:pPr>
          </w:p>
          <w:p w14:paraId="6D9D02E7" w14:textId="77777777" w:rsidR="00012BA7" w:rsidRPr="00A51D65" w:rsidRDefault="0046215A" w:rsidP="00C56D6E">
            <w:pPr>
              <w:rPr>
                <w:rFonts w:cstheme="minorHAnsi"/>
              </w:rPr>
            </w:pPr>
            <w:r w:rsidRPr="00A51D65">
              <w:rPr>
                <w:rFonts w:cstheme="minorHAnsi"/>
              </w:rPr>
              <w:t xml:space="preserve">1. Financial risk </w:t>
            </w:r>
          </w:p>
          <w:p w14:paraId="3B8556D9" w14:textId="77777777" w:rsidR="00012BA7" w:rsidRPr="00A51D65" w:rsidRDefault="0046215A" w:rsidP="00C56D6E">
            <w:pPr>
              <w:rPr>
                <w:rFonts w:cstheme="minorHAnsi"/>
              </w:rPr>
            </w:pPr>
            <w:r w:rsidRPr="00A51D65">
              <w:rPr>
                <w:rFonts w:cstheme="minorHAnsi"/>
              </w:rPr>
              <w:t>Augustin, P., Subrahmanyam, M.G., Tang, D.Y., Wang, S.Q., 2014. Credit Default Swaps: A Survey. Foundations and Trends in Finance 9, 1—196.  Bartram, S.M., Brown, G.W., Waller, W., 2015. How important is financial risk? Journal of Financial and Quantitative Analysis 50, 801–824. Choi, J. and M. Richardson, 2016. The volatility of a firm’s assets and the leverage effect. Journal of Financial Economics 121, 254—277. Dyer, T., Lang, M., Stice-Lawrence, L., 2017. The evolution of 10-K textual disclosure: Eviden</w:t>
            </w:r>
            <w:r w:rsidRPr="00A51D65">
              <w:rPr>
                <w:rFonts w:cstheme="minorHAnsi"/>
              </w:rPr>
              <w:t xml:space="preserve">ce from Latent Dirichlet Allocation. Journal of Accounting and Economics 64, 221–245. Fracassi, C., Petry, S., Tate, G., 2016. Does rating analyst subjectivity affect corporate debt pricing? Journal of Financial Economics 120, 514—538. Modigliani, F. and M. Miller. The Cost of Capital, Corporation Finance and the Theory of Investment, American Economic Review 48, 261—297. </w:t>
            </w:r>
          </w:p>
          <w:p w14:paraId="05619149" w14:textId="77777777" w:rsidR="00012BA7" w:rsidRPr="00A51D65" w:rsidRDefault="00012BA7" w:rsidP="00C56D6E">
            <w:pPr>
              <w:rPr>
                <w:rFonts w:cstheme="minorHAnsi"/>
              </w:rPr>
            </w:pPr>
          </w:p>
          <w:p w14:paraId="0B0F57D1" w14:textId="77777777" w:rsidR="00012BA7" w:rsidRPr="00A51D65" w:rsidRDefault="0046215A" w:rsidP="00C56D6E">
            <w:pPr>
              <w:rPr>
                <w:rFonts w:cstheme="minorHAnsi"/>
              </w:rPr>
            </w:pPr>
            <w:r w:rsidRPr="00A51D65">
              <w:rPr>
                <w:rFonts w:cstheme="minorHAnsi"/>
              </w:rPr>
              <w:t>2. Capital Structure</w:t>
            </w:r>
          </w:p>
          <w:p w14:paraId="66A8AC8A" w14:textId="77777777" w:rsidR="00012BA7" w:rsidRPr="00A51D65" w:rsidRDefault="0046215A" w:rsidP="00C56D6E">
            <w:pPr>
              <w:jc w:val="both"/>
              <w:rPr>
                <w:rFonts w:cstheme="minorHAnsi"/>
              </w:rPr>
            </w:pPr>
            <w:r w:rsidRPr="00A51D65">
              <w:rPr>
                <w:rFonts w:cstheme="minorHAnsi"/>
              </w:rPr>
              <w:t xml:space="preserve">Agrawal, A.K. and </w:t>
            </w:r>
            <w:proofErr w:type="spellStart"/>
            <w:r w:rsidRPr="00A51D65">
              <w:rPr>
                <w:rFonts w:cstheme="minorHAnsi"/>
              </w:rPr>
              <w:t>Matsa</w:t>
            </w:r>
            <w:proofErr w:type="spellEnd"/>
            <w:r w:rsidRPr="00A51D65">
              <w:rPr>
                <w:rFonts w:cstheme="minorHAnsi"/>
              </w:rPr>
              <w:t xml:space="preserve">, D.A., 2013. Labor Unemployment Risk and Corporate Financing Decisions. Journal of Financial Economics 108(2), 449–470. Elsas, R., </w:t>
            </w:r>
            <w:proofErr w:type="spellStart"/>
            <w:r w:rsidRPr="00A51D65">
              <w:rPr>
                <w:rFonts w:cstheme="minorHAnsi"/>
              </w:rPr>
              <w:t>Florysiak</w:t>
            </w:r>
            <w:proofErr w:type="spellEnd"/>
            <w:r w:rsidRPr="00A51D65">
              <w:rPr>
                <w:rFonts w:cstheme="minorHAnsi"/>
              </w:rPr>
              <w:t xml:space="preserve">, D., 2015. Dynamic Capital Structure Adjustment and the Impact of Fractional Dependent Variables. Journal of Financial and Quantitative Analysis 50, 1105–1133. Faulkender, M., Flannery, M.J., Hankins, K.W., Smith, J.M., 2012. Cash Flows and Leverage Adjustments. Journal of Financial Economics 103, 632–646. Frank, M.Z., Goyal, V.K., 2008. Chapter 12 - Trade-Off and Pecking Order Theories of Debt in </w:t>
            </w:r>
            <w:proofErr w:type="spellStart"/>
            <w:r w:rsidRPr="00A51D65">
              <w:rPr>
                <w:rFonts w:cstheme="minorHAnsi"/>
              </w:rPr>
              <w:t>Eckbo</w:t>
            </w:r>
            <w:proofErr w:type="spellEnd"/>
            <w:r w:rsidRPr="00A51D65">
              <w:rPr>
                <w:rFonts w:cstheme="minorHAnsi"/>
              </w:rPr>
              <w:t xml:space="preserve">, B. (Ed.), Handbook of Empirical Corporate Finance. Elsevier, San Diego, 135–202. Graham, J.R. and Leary, M.T., 2011. A Review of Empirical Capital Structure Research and Directions for the Future. Annual Review of Financial Economics, Vol. 3. Heider, F. and Ljungqvist, A., 2015. As Certain as Debt and Taxes: Estimating the Tax Sensitivity of Leverage from State Tax Changes. Journal of Financial Economics 118, 684–712. </w:t>
            </w:r>
            <w:proofErr w:type="spellStart"/>
            <w:r w:rsidRPr="00A51D65">
              <w:rPr>
                <w:rFonts w:cstheme="minorHAnsi"/>
              </w:rPr>
              <w:t>Klasa</w:t>
            </w:r>
            <w:proofErr w:type="spellEnd"/>
            <w:r w:rsidRPr="00A51D65">
              <w:rPr>
                <w:rFonts w:cstheme="minorHAnsi"/>
              </w:rPr>
              <w:t>, S., H. Ortiz-Molina, M. Serfling, and S. Srinivasan. 2018. Protection of Trade Secrets and Capital Structure Decisions. Journal of Financial Economics 128, 266</w:t>
            </w:r>
            <w:r w:rsidRPr="00A51D65">
              <w:rPr>
                <w:rFonts w:cstheme="minorHAnsi"/>
              </w:rPr>
              <w:sym w:font="Symbol" w:char="F02D"/>
            </w:r>
            <w:r w:rsidRPr="00A51D65">
              <w:rPr>
                <w:rFonts w:cstheme="minorHAnsi"/>
              </w:rPr>
              <w:t xml:space="preserve">86. Öztekin, Ö., Flannery, M.J., 2012. Institutional Determinants of Capital Structure Adjustment Speeds. Journal of Financial Economics 103, 88–112. Serfling, M. 2016. Firing Costs and Capital Structure Decisions. Journal of Finance 71, 2239–86. </w:t>
            </w:r>
          </w:p>
          <w:p w14:paraId="6FF00C23" w14:textId="77777777" w:rsidR="00012BA7" w:rsidRPr="00A51D65" w:rsidRDefault="0046215A" w:rsidP="00C56D6E">
            <w:pPr>
              <w:rPr>
                <w:rFonts w:cstheme="minorHAnsi"/>
              </w:rPr>
            </w:pPr>
            <w:r w:rsidRPr="00A51D65">
              <w:rPr>
                <w:rFonts w:cstheme="minorHAnsi"/>
              </w:rPr>
              <w:t xml:space="preserve"> </w:t>
            </w:r>
          </w:p>
          <w:p w14:paraId="670E8B08" w14:textId="77777777" w:rsidR="00012BA7" w:rsidRPr="00A51D65" w:rsidRDefault="0046215A" w:rsidP="00C56D6E">
            <w:pPr>
              <w:rPr>
                <w:rFonts w:cstheme="minorHAnsi"/>
              </w:rPr>
            </w:pPr>
            <w:r w:rsidRPr="00A51D65">
              <w:rPr>
                <w:rFonts w:cstheme="minorHAnsi"/>
              </w:rPr>
              <w:t xml:space="preserve">3. Corporate Governance </w:t>
            </w:r>
          </w:p>
          <w:p w14:paraId="33F89689" w14:textId="77777777" w:rsidR="00012BA7" w:rsidRPr="00A51D65" w:rsidRDefault="0046215A" w:rsidP="00C56D6E">
            <w:pPr>
              <w:rPr>
                <w:rFonts w:cstheme="minorHAnsi"/>
              </w:rPr>
            </w:pPr>
            <w:r w:rsidRPr="00A51D65">
              <w:rPr>
                <w:rFonts w:cstheme="minorHAnsi"/>
              </w:rPr>
              <w:t xml:space="preserve">Bebchuk, L. A., J. M. Fried, and D. I. Walker, (2002), “Managerial power and rent extraction in the design of executive compensation”, The University of Chicago Law Review 69, 751-846. </w:t>
            </w:r>
            <w:proofErr w:type="spellStart"/>
            <w:r w:rsidRPr="00A51D65">
              <w:rPr>
                <w:rFonts w:cstheme="minorHAnsi"/>
              </w:rPr>
              <w:t>Demsetz</w:t>
            </w:r>
            <w:proofErr w:type="spellEnd"/>
            <w:r w:rsidRPr="00A51D65">
              <w:rPr>
                <w:rFonts w:cstheme="minorHAnsi"/>
              </w:rPr>
              <w:t xml:space="preserve">, H. and K. Lehn, (1985), “The Structure of Corporate Ownership: Causes and Consequences”, Journal of Political Economy 93, 1155-1177. Denis, Diane K. and McConnell, John J., "International Corporate Governance" (January 2003). ECGI - Finance Working Paper No. 05/2003; and Tuck-JQFA Contemporary Corporate Governance Issues II Conference. http://ssrn.com/abstract=320121 Jensen, M., and W. H. Meckling, (1976), “Theory </w:t>
            </w:r>
            <w:r w:rsidRPr="00A51D65">
              <w:rPr>
                <w:rFonts w:cstheme="minorHAnsi"/>
              </w:rPr>
              <w:lastRenderedPageBreak/>
              <w:t xml:space="preserve">of the firm: managerial behaviour, agency costs and ownership structure”, Journal of Financial Economics 3, (4) 305-360. Murphy, K. J., (2002), ”Explaining executive compensation: Managerial power versus the perceived cost of stock options”, The University of Chicago Law Review 69, 846869. Shleifer, A., and R. W. </w:t>
            </w:r>
            <w:proofErr w:type="spellStart"/>
            <w:r w:rsidRPr="00A51D65">
              <w:rPr>
                <w:rFonts w:cstheme="minorHAnsi"/>
              </w:rPr>
              <w:t>Vishny</w:t>
            </w:r>
            <w:proofErr w:type="spellEnd"/>
            <w:r w:rsidRPr="00A51D65">
              <w:rPr>
                <w:rFonts w:cstheme="minorHAnsi"/>
              </w:rPr>
              <w:t xml:space="preserve">, (1997), ”A Survey of Corporate Governance”, Journal of Finance 52, 737-783. </w:t>
            </w:r>
          </w:p>
          <w:p w14:paraId="62B3DD6F" w14:textId="77777777" w:rsidR="00012BA7" w:rsidRPr="00A51D65" w:rsidRDefault="0046215A" w:rsidP="00C56D6E">
            <w:pPr>
              <w:rPr>
                <w:rFonts w:cstheme="minorHAnsi"/>
              </w:rPr>
            </w:pPr>
            <w:r w:rsidRPr="00A51D65">
              <w:rPr>
                <w:rFonts w:cstheme="minorHAnsi"/>
              </w:rPr>
              <w:t xml:space="preserve"> </w:t>
            </w:r>
          </w:p>
          <w:p w14:paraId="2942D919" w14:textId="77777777" w:rsidR="00012BA7" w:rsidRPr="00A51D65" w:rsidRDefault="0046215A" w:rsidP="00C56D6E">
            <w:pPr>
              <w:rPr>
                <w:rFonts w:cstheme="minorHAnsi"/>
              </w:rPr>
            </w:pPr>
            <w:r w:rsidRPr="00A51D65">
              <w:rPr>
                <w:rFonts w:cstheme="minorHAnsi"/>
              </w:rPr>
              <w:t xml:space="preserve">4. Risk-taking  </w:t>
            </w:r>
          </w:p>
          <w:p w14:paraId="048F4B88" w14:textId="77777777" w:rsidR="00012BA7" w:rsidRPr="00A51D65" w:rsidRDefault="0046215A" w:rsidP="007F698E">
            <w:pPr>
              <w:rPr>
                <w:rFonts w:cstheme="minorHAnsi"/>
              </w:rPr>
            </w:pPr>
            <w:r w:rsidRPr="00A51D65">
              <w:rPr>
                <w:rFonts w:cstheme="minorHAnsi"/>
              </w:rPr>
              <w:t>*Acemoglu, Daron, and Fabrizio Zilibotti, 1997, “Was Prometheus Unbound by Chance? Risk, Diversification, and Growth,” Journal of Political Economy, 105: 709-751. *Amihud, Yakov, and Baruch Lev, 1981, “Risk Reduction as a Managerial Motive for Conglomerate Mergers,” The Bell Journal of Economics, 12(2): 605-617. *Anderson, Ronald C., and David M. Reeb, 2003, “Founding-Family Ownership, Corporate Diversification, and Firm Leverage,” Journal of Law and Economics, 46: 653-684. *Baumol, William, Robert Litan, a</w:t>
            </w:r>
            <w:r w:rsidRPr="00A51D65">
              <w:rPr>
                <w:rFonts w:cstheme="minorHAnsi"/>
              </w:rPr>
              <w:t xml:space="preserve">nd Carl Schramm, 2007, Good Capitalism, Bad Capitalism, and the Economics of Growth and Prosperity. New Haven, CT: Yale University Press. *DeLong, Bradford, and Lawrence Summers, 1991, “Equipment Investment and Economic Growth,” Quarterly Journal of Economics, 106(2): 445-502. *Faccio, M., Marchica, M.T., and R. Mura, 2010, Large shareholder diversification and corporate risk-taking, working paper. *Garcia-Kuhnert, </w:t>
            </w:r>
            <w:proofErr w:type="spellStart"/>
            <w:r w:rsidRPr="00A51D65">
              <w:rPr>
                <w:rFonts w:cstheme="minorHAnsi"/>
              </w:rPr>
              <w:t>Yamileh</w:t>
            </w:r>
            <w:proofErr w:type="spellEnd"/>
            <w:r w:rsidRPr="00A51D65">
              <w:rPr>
                <w:rFonts w:cstheme="minorHAnsi"/>
              </w:rPr>
              <w:t>, Marchica, Maria-</w:t>
            </w:r>
            <w:proofErr w:type="spellStart"/>
            <w:r w:rsidRPr="00A51D65">
              <w:rPr>
                <w:rFonts w:cstheme="minorHAnsi"/>
              </w:rPr>
              <w:t>Teresaand</w:t>
            </w:r>
            <w:proofErr w:type="spellEnd"/>
            <w:r w:rsidRPr="00A51D65">
              <w:rPr>
                <w:rFonts w:cstheme="minorHAnsi"/>
              </w:rPr>
              <w:t xml:space="preserve"> Roberto Mura, 2015: "Shareholder diversification and bank risk-taking”, Journal of Financial Intermediation, 24, 4, 602-635. *John, Kose, Lubomir Litov, and Bernard Yeung, 2008, “Corporate Governance and Risk-Taking,” Journal of Finance, 63(4): 1679-1728. *</w:t>
            </w:r>
            <w:proofErr w:type="spellStart"/>
            <w:r w:rsidRPr="00A51D65">
              <w:rPr>
                <w:rFonts w:cstheme="minorHAnsi"/>
              </w:rPr>
              <w:t>Laeven</w:t>
            </w:r>
            <w:proofErr w:type="spellEnd"/>
            <w:r w:rsidRPr="00A51D65">
              <w:rPr>
                <w:rFonts w:cstheme="minorHAnsi"/>
              </w:rPr>
              <w:t>, Luc, and Ross Levine, 2007, “Is There a Diversification Discount in Financial Conglomerates,” Journal of Financial Economics, 85: 331-367. *</w:t>
            </w:r>
            <w:proofErr w:type="spellStart"/>
            <w:r w:rsidRPr="00A51D65">
              <w:rPr>
                <w:rFonts w:cstheme="minorHAnsi"/>
              </w:rPr>
              <w:t>Laeven</w:t>
            </w:r>
            <w:proofErr w:type="spellEnd"/>
            <w:r w:rsidRPr="00A51D65">
              <w:rPr>
                <w:rFonts w:cstheme="minorHAnsi"/>
              </w:rPr>
              <w:t>, Luc, and Ross Levine, 2009, “Bank Governance, Regulation and Risk Taking,” Journal of Financial Economics, 93: 259-275. *Low, Angie, 2009, “Managerial risk-taking behavior and equity-based compensation,” Journal of Financial Economics, 92: 470-490. *Lyandres, Evgeny, Marchica, Maria-Teresa, Roni, Michaely, and Roberto, Mura, 2019: Owners’ Portfolio Diversification and Firm Investment: Theory and Evidence from Private and Public Firms”, Review of Financial Studies, Vol.32 Issue 12, 4855-4904.</w:t>
            </w:r>
          </w:p>
          <w:p w14:paraId="085163C5" w14:textId="77777777" w:rsidR="00012BA7" w:rsidRPr="00A51D65" w:rsidRDefault="00012BA7" w:rsidP="00C56D6E">
            <w:pPr>
              <w:rPr>
                <w:rFonts w:cstheme="minorHAnsi"/>
              </w:rPr>
            </w:pPr>
          </w:p>
          <w:p w14:paraId="356D3B5B" w14:textId="77777777" w:rsidR="00012BA7" w:rsidRPr="00A51D65" w:rsidRDefault="0046215A" w:rsidP="00C56D6E">
            <w:pPr>
              <w:rPr>
                <w:rFonts w:cstheme="minorHAnsi"/>
              </w:rPr>
            </w:pPr>
            <w:r w:rsidRPr="00A51D65">
              <w:rPr>
                <w:rFonts w:cstheme="minorHAnsi"/>
              </w:rPr>
              <w:t xml:space="preserve">5. M&amp;A </w:t>
            </w:r>
          </w:p>
          <w:p w14:paraId="3A8AF424" w14:textId="77777777" w:rsidR="00012BA7" w:rsidRPr="00A51D65" w:rsidRDefault="0046215A" w:rsidP="00C56D6E">
            <w:pPr>
              <w:rPr>
                <w:rFonts w:cstheme="minorHAnsi"/>
              </w:rPr>
            </w:pPr>
            <w:r w:rsidRPr="00A51D65">
              <w:rPr>
                <w:rFonts w:cstheme="minorHAnsi"/>
              </w:rPr>
              <w:t xml:space="preserve">a. Performance of merging firms </w:t>
            </w:r>
          </w:p>
          <w:p w14:paraId="7FC4D9FF" w14:textId="77777777" w:rsidR="00012BA7" w:rsidRPr="00A51D65" w:rsidRDefault="0046215A" w:rsidP="00C56D6E">
            <w:pPr>
              <w:rPr>
                <w:rFonts w:cstheme="minorHAnsi"/>
              </w:rPr>
            </w:pPr>
            <w:r w:rsidRPr="00A51D65">
              <w:rPr>
                <w:rFonts w:cstheme="minorHAnsi"/>
              </w:rPr>
              <w:t xml:space="preserve">Martin, K. J., 1996. The method of payment in corporate acquisitions, investment opportunities, and management ownership. Journal of Finance 51, 1227–1246.  Travlos, N. G., 1987. Corporate takeover bids, methods of payment and bidding firms’ stock returns. Journal of Finance 42, 943–963.  Gao, N. and W. Liu, 2016. Liquidity benefits and acquirer long-term performance. Working paper, the University of Manchester. </w:t>
            </w:r>
            <w:proofErr w:type="spellStart"/>
            <w:r w:rsidRPr="00A51D65">
              <w:rPr>
                <w:rFonts w:cstheme="minorHAnsi"/>
              </w:rPr>
              <w:t>Serveas</w:t>
            </w:r>
            <w:proofErr w:type="spellEnd"/>
            <w:r w:rsidRPr="00A51D65">
              <w:rPr>
                <w:rFonts w:cstheme="minorHAnsi"/>
              </w:rPr>
              <w:t xml:space="preserve">, H., 1991. Tobin’s Q and the gains from takeovers. Journal of Finance 46, 409– 419.  Rau, P.R. and T. Vermaelen, 1998. Glamour, value and the post-acquisition performance of acquiring firms. Journal of Financial Economics 49, 223–253. </w:t>
            </w:r>
          </w:p>
          <w:p w14:paraId="3DEC126F" w14:textId="77777777" w:rsidR="00012BA7" w:rsidRPr="00A51D65" w:rsidRDefault="0046215A" w:rsidP="00C56D6E">
            <w:pPr>
              <w:rPr>
                <w:rFonts w:cstheme="minorHAnsi"/>
              </w:rPr>
            </w:pPr>
            <w:r w:rsidRPr="00A51D65">
              <w:rPr>
                <w:rFonts w:cstheme="minorHAnsi"/>
              </w:rPr>
              <w:t xml:space="preserve"> </w:t>
            </w:r>
          </w:p>
          <w:p w14:paraId="248BFD79" w14:textId="77777777" w:rsidR="00012BA7" w:rsidRPr="00A51D65" w:rsidRDefault="0046215A" w:rsidP="00C56D6E">
            <w:pPr>
              <w:rPr>
                <w:rFonts w:cstheme="minorHAnsi"/>
              </w:rPr>
            </w:pPr>
            <w:r w:rsidRPr="00A51D65">
              <w:rPr>
                <w:rFonts w:cstheme="minorHAnsi"/>
              </w:rPr>
              <w:t xml:space="preserve">b. The effects of cash in takeovers </w:t>
            </w:r>
          </w:p>
          <w:p w14:paraId="2987D9EF" w14:textId="77777777" w:rsidR="00012BA7" w:rsidRPr="00A51D65" w:rsidRDefault="0046215A" w:rsidP="00C56D6E">
            <w:pPr>
              <w:rPr>
                <w:rFonts w:cstheme="minorHAnsi"/>
              </w:rPr>
            </w:pPr>
            <w:r w:rsidRPr="00A51D65">
              <w:rPr>
                <w:rFonts w:cstheme="minorHAnsi"/>
              </w:rPr>
              <w:t xml:space="preserve">Harford, J., 1999. Corporate cash reserves and acquisitions. Journal of Finance 54, 1969– 1997.  Harford, J., </w:t>
            </w:r>
            <w:proofErr w:type="spellStart"/>
            <w:r w:rsidRPr="00A51D65">
              <w:rPr>
                <w:rFonts w:cstheme="minorHAnsi"/>
              </w:rPr>
              <w:t>S.A.Mansi</w:t>
            </w:r>
            <w:proofErr w:type="spellEnd"/>
            <w:r w:rsidRPr="00A51D65">
              <w:rPr>
                <w:rFonts w:cstheme="minorHAnsi"/>
              </w:rPr>
              <w:t xml:space="preserve">, and </w:t>
            </w:r>
            <w:proofErr w:type="spellStart"/>
            <w:r w:rsidRPr="00A51D65">
              <w:rPr>
                <w:rFonts w:cstheme="minorHAnsi"/>
              </w:rPr>
              <w:t>W.F.Maxwell</w:t>
            </w:r>
            <w:proofErr w:type="spellEnd"/>
            <w:r w:rsidRPr="00A51D65">
              <w:rPr>
                <w:rFonts w:cstheme="minorHAnsi"/>
              </w:rPr>
              <w:t xml:space="preserve">, 2008. Corporate governance and firm cash holdings in the US. The Journal of Financial Economics 87, 535–555. Gao, N., 2009. The adverse selection effect of corporate cash reserve: Evidence from acquisitions solely finance by stock. Journal of Corporate Finance 17(4), 798– 808. Gao N. and A. Mohammed, 2016. Cash-rich acquirers do not make bad acquisitions: new evidence. Working paper.  </w:t>
            </w:r>
          </w:p>
          <w:p w14:paraId="5BC06A88" w14:textId="77777777" w:rsidR="00012BA7" w:rsidRPr="00A51D65" w:rsidRDefault="0046215A" w:rsidP="00C56D6E">
            <w:pPr>
              <w:rPr>
                <w:rFonts w:cstheme="minorHAnsi"/>
              </w:rPr>
            </w:pPr>
            <w:r w:rsidRPr="00A51D65">
              <w:rPr>
                <w:rFonts w:cstheme="minorHAnsi"/>
              </w:rPr>
              <w:t xml:space="preserve"> </w:t>
            </w:r>
          </w:p>
          <w:p w14:paraId="7FC3D2E5" w14:textId="77777777" w:rsidR="00012BA7" w:rsidRPr="00A51D65" w:rsidRDefault="0046215A" w:rsidP="00C56D6E">
            <w:pPr>
              <w:rPr>
                <w:rFonts w:cstheme="minorHAnsi"/>
              </w:rPr>
            </w:pPr>
            <w:r w:rsidRPr="00A51D65">
              <w:rPr>
                <w:rFonts w:cstheme="minorHAnsi"/>
              </w:rPr>
              <w:t xml:space="preserve">c. Additional readings </w:t>
            </w:r>
          </w:p>
          <w:p w14:paraId="167EA630" w14:textId="77777777" w:rsidR="00012BA7" w:rsidRPr="00A51D65" w:rsidRDefault="0046215A" w:rsidP="00C56D6E">
            <w:pPr>
              <w:rPr>
                <w:rFonts w:cstheme="minorHAnsi"/>
              </w:rPr>
            </w:pPr>
            <w:r w:rsidRPr="00A51D65">
              <w:rPr>
                <w:rFonts w:cstheme="minorHAnsi"/>
              </w:rPr>
              <w:t xml:space="preserve">Merger Waves </w:t>
            </w:r>
          </w:p>
          <w:p w14:paraId="13BA30D1" w14:textId="77777777" w:rsidR="00012BA7" w:rsidRPr="00A51D65" w:rsidRDefault="0046215A" w:rsidP="00C56D6E">
            <w:pPr>
              <w:rPr>
                <w:rFonts w:cstheme="minorHAnsi"/>
              </w:rPr>
            </w:pPr>
            <w:r w:rsidRPr="00A51D65">
              <w:rPr>
                <w:rFonts w:cstheme="minorHAnsi"/>
              </w:rPr>
              <w:t xml:space="preserve">Rhodes-Kropf, M., D. T. Robinson and S. Viswanathan, 2005. Valuation waves and merger activity: the empirical evidence. Journal of Financial Economics 77, 561– 603.  Mitchell and Mulherin, 1996. The impact of industry shocks on takeover and restructuring activity. Journal of Financial Economics 41, 193–229. Shleifer, A. and R. W. </w:t>
            </w:r>
            <w:proofErr w:type="spellStart"/>
            <w:r w:rsidRPr="00A51D65">
              <w:rPr>
                <w:rFonts w:cstheme="minorHAnsi"/>
              </w:rPr>
              <w:t>Vishny</w:t>
            </w:r>
            <w:proofErr w:type="spellEnd"/>
            <w:r w:rsidRPr="00A51D65">
              <w:rPr>
                <w:rFonts w:cstheme="minorHAnsi"/>
              </w:rPr>
              <w:t xml:space="preserve">, 2003. Stock market driven acquisitions. Journal of Financial Economics </w:t>
            </w:r>
            <w:r w:rsidRPr="00A51D65">
              <w:rPr>
                <w:rFonts w:cstheme="minorHAnsi"/>
              </w:rPr>
              <w:lastRenderedPageBreak/>
              <w:t xml:space="preserve">70, 295–311.  Rhodes-Kropf, M. and S. Viswanathan, 2004. Market valuation and merger waves. The Journal of Finance 60, 2685–2718.  </w:t>
            </w:r>
          </w:p>
          <w:p w14:paraId="68EF904C" w14:textId="77777777" w:rsidR="00012BA7" w:rsidRPr="00A51D65" w:rsidRDefault="0046215A" w:rsidP="00C56D6E">
            <w:pPr>
              <w:rPr>
                <w:rFonts w:cstheme="minorHAnsi"/>
              </w:rPr>
            </w:pPr>
            <w:r w:rsidRPr="00A51D65">
              <w:rPr>
                <w:rFonts w:cstheme="minorHAnsi"/>
              </w:rPr>
              <w:t xml:space="preserve"> </w:t>
            </w:r>
          </w:p>
          <w:p w14:paraId="497FB3A9" w14:textId="77777777" w:rsidR="00012BA7" w:rsidRPr="00A51D65" w:rsidRDefault="0046215A" w:rsidP="00C56D6E">
            <w:pPr>
              <w:rPr>
                <w:rFonts w:cstheme="minorHAnsi"/>
              </w:rPr>
            </w:pPr>
            <w:r w:rsidRPr="00A51D65">
              <w:rPr>
                <w:rFonts w:cstheme="minorHAnsi"/>
              </w:rPr>
              <w:t xml:space="preserve">Agency, antitakeover and the market for corporate control </w:t>
            </w:r>
          </w:p>
          <w:p w14:paraId="431C447E" w14:textId="77777777" w:rsidR="00012BA7" w:rsidRPr="00A51D65" w:rsidRDefault="0046215A" w:rsidP="00C56D6E">
            <w:pPr>
              <w:rPr>
                <w:rFonts w:cstheme="minorHAnsi"/>
              </w:rPr>
            </w:pPr>
            <w:r w:rsidRPr="00A51D65">
              <w:rPr>
                <w:rFonts w:cstheme="minorHAnsi"/>
              </w:rPr>
              <w:t xml:space="preserve">Gompers, P., J. Ishii, and A. Metrick, 2003. Corporate governance and equity prices. The Quarterly Journal of Economics 118, 107–155. Bebchuk, Cohen, and Ferrel, 2009. What matters in corporate governance? Review of Financial Studies 22, 783–827. Morck, R., A. Shleifer and R. W. </w:t>
            </w:r>
            <w:proofErr w:type="spellStart"/>
            <w:r w:rsidRPr="00A51D65">
              <w:rPr>
                <w:rFonts w:cstheme="minorHAnsi"/>
              </w:rPr>
              <w:t>Vishny</w:t>
            </w:r>
            <w:proofErr w:type="spellEnd"/>
            <w:r w:rsidRPr="00A51D65">
              <w:rPr>
                <w:rFonts w:cstheme="minorHAnsi"/>
              </w:rPr>
              <w:t xml:space="preserve">, 1990. Do managerial objectives drive bad acquisitions? Journal of Finance 45, 31–48.  Jensen and Ruback, 1983. The market for corporate control: the scientific evidence. Journal of Financial Economics 11, 5–50. Schlingemann, F. P., 2004. Financing decisions and bidder gains. Journal of Corporate Finance 10, 683–701.  </w:t>
            </w:r>
          </w:p>
          <w:p w14:paraId="2E7C7768" w14:textId="77777777" w:rsidR="00012BA7" w:rsidRPr="00A51D65" w:rsidRDefault="0046215A" w:rsidP="00C56D6E">
            <w:pPr>
              <w:rPr>
                <w:rFonts w:cstheme="minorHAnsi"/>
              </w:rPr>
            </w:pPr>
            <w:r w:rsidRPr="00A51D65">
              <w:rPr>
                <w:rFonts w:cstheme="minorHAnsi"/>
              </w:rPr>
              <w:t xml:space="preserve"> </w:t>
            </w:r>
          </w:p>
          <w:p w14:paraId="77FD9E41" w14:textId="77777777" w:rsidR="00012BA7" w:rsidRPr="00A51D65" w:rsidRDefault="0046215A" w:rsidP="00C56D6E">
            <w:pPr>
              <w:rPr>
                <w:rFonts w:cstheme="minorHAnsi"/>
              </w:rPr>
            </w:pPr>
            <w:r w:rsidRPr="00A51D65">
              <w:rPr>
                <w:rFonts w:cstheme="minorHAnsi"/>
              </w:rPr>
              <w:t xml:space="preserve">Means of payment Faccio and </w:t>
            </w:r>
            <w:proofErr w:type="spellStart"/>
            <w:r w:rsidRPr="00A51D65">
              <w:rPr>
                <w:rFonts w:cstheme="minorHAnsi"/>
              </w:rPr>
              <w:t>Masulis</w:t>
            </w:r>
            <w:proofErr w:type="spellEnd"/>
            <w:r w:rsidRPr="00A51D65">
              <w:rPr>
                <w:rFonts w:cstheme="minorHAnsi"/>
              </w:rPr>
              <w:t xml:space="preserve">, 2005. The choice of payment method in European merger and acquisitions. The Journal of Finance 60, 1345–1388. Hansen, Robert G., 1987, A theory for the choice of exchange medium in mergers and acquisitions, Journal of Business 60, 75-95. Fishman, M.J., 1989. </w:t>
            </w:r>
            <w:proofErr w:type="spellStart"/>
            <w:r w:rsidRPr="00A51D65">
              <w:rPr>
                <w:rFonts w:cstheme="minorHAnsi"/>
              </w:rPr>
              <w:t>Preemptive</w:t>
            </w:r>
            <w:proofErr w:type="spellEnd"/>
            <w:r w:rsidRPr="00A51D65">
              <w:rPr>
                <w:rFonts w:cstheme="minorHAnsi"/>
              </w:rPr>
              <w:t xml:space="preserve"> bidding and the role of the medium of exchange in acquisitions. J. Finance 44, 41–57. </w:t>
            </w:r>
          </w:p>
          <w:p w14:paraId="57AD1CC5" w14:textId="77777777" w:rsidR="00012BA7" w:rsidRPr="00A51D65" w:rsidRDefault="00012BA7" w:rsidP="00C56D6E">
            <w:pPr>
              <w:rPr>
                <w:rFonts w:cstheme="minorHAnsi"/>
              </w:rPr>
            </w:pPr>
          </w:p>
          <w:p w14:paraId="2735A6D5" w14:textId="77777777" w:rsidR="00012BA7" w:rsidRPr="00A51D65" w:rsidRDefault="0046215A" w:rsidP="00C56D6E">
            <w:pPr>
              <w:rPr>
                <w:rFonts w:cstheme="minorHAnsi"/>
              </w:rPr>
            </w:pPr>
            <w:r w:rsidRPr="00A51D65">
              <w:rPr>
                <w:rFonts w:cstheme="minorHAnsi"/>
              </w:rPr>
              <w:t>6. Household Finance (full reading list TBC)</w:t>
            </w:r>
          </w:p>
          <w:p w14:paraId="504DF71F" w14:textId="77777777" w:rsidR="00012BA7" w:rsidRPr="00A51D65" w:rsidRDefault="0046215A" w:rsidP="000644C0">
            <w:pPr>
              <w:rPr>
                <w:rFonts w:cstheme="minorHAnsi"/>
              </w:rPr>
            </w:pPr>
            <w:proofErr w:type="spellStart"/>
            <w:r w:rsidRPr="00A51D65">
              <w:rPr>
                <w:rFonts w:cstheme="minorHAnsi"/>
              </w:rPr>
              <w:t>Badarinza</w:t>
            </w:r>
            <w:proofErr w:type="spellEnd"/>
            <w:r w:rsidRPr="00A51D65">
              <w:rPr>
                <w:rFonts w:cstheme="minorHAnsi"/>
              </w:rPr>
              <w:t xml:space="preserve">, C., Campbell, J. Y., &amp; </w:t>
            </w:r>
            <w:proofErr w:type="spellStart"/>
            <w:r w:rsidRPr="00A51D65">
              <w:rPr>
                <w:rFonts w:cstheme="minorHAnsi"/>
              </w:rPr>
              <w:t>Ramadorai</w:t>
            </w:r>
            <w:proofErr w:type="spellEnd"/>
            <w:r w:rsidRPr="00A51D65">
              <w:rPr>
                <w:rFonts w:cstheme="minorHAnsi"/>
              </w:rPr>
              <w:t xml:space="preserve">, T. (2016). International comparative household finance. Annual Review of Economics, 8, 111-144. Calvet, L. E., Campbell, J. Y., &amp; Sodini, P. (2007). Down or out: Assessing the welfare costs of household investment mistakes. Journal of Political Economy, 115(5), 707-747. Campbell, J. Y. (2006). Household finance. Journal of Finance, 61(4), 1553-1604. Gomes, F., </w:t>
            </w:r>
            <w:proofErr w:type="spellStart"/>
            <w:r w:rsidRPr="00A51D65">
              <w:rPr>
                <w:rFonts w:cstheme="minorHAnsi"/>
              </w:rPr>
              <w:t>Haliassos</w:t>
            </w:r>
            <w:proofErr w:type="spellEnd"/>
            <w:r w:rsidRPr="00A51D65">
              <w:rPr>
                <w:rFonts w:cstheme="minorHAnsi"/>
              </w:rPr>
              <w:t xml:space="preserve">, M., &amp; </w:t>
            </w:r>
            <w:proofErr w:type="spellStart"/>
            <w:r w:rsidRPr="00A51D65">
              <w:rPr>
                <w:rFonts w:cstheme="minorHAnsi"/>
              </w:rPr>
              <w:t>Ramadorai</w:t>
            </w:r>
            <w:proofErr w:type="spellEnd"/>
            <w:r w:rsidRPr="00A51D65">
              <w:rPr>
                <w:rFonts w:cstheme="minorHAnsi"/>
              </w:rPr>
              <w:t xml:space="preserve">, T. (2021). Household finance. Journal of Economic Literature, 59(3), 919-1000. </w:t>
            </w:r>
            <w:r w:rsidRPr="00E33D77">
              <w:rPr>
                <w:rFonts w:cstheme="minorHAnsi"/>
                <w:lang w:val="de-DE"/>
              </w:rPr>
              <w:t xml:space="preserve">Heimer, R. Z., Myrseth, K. O. R., &amp; Schoenle, R. S. (2019). </w:t>
            </w:r>
            <w:r w:rsidRPr="00A51D65">
              <w:rPr>
                <w:rFonts w:cstheme="minorHAnsi"/>
              </w:rPr>
              <w:t xml:space="preserve">YOLO: Mortality beliefs and household finance puzzles. Journal of Finance, 74(6), 2957-2996. Hong, H., Kubik, J. D., &amp; Stein, J. C. (2004). Social interaction and stock‐market participation. Journal of Finance, 59(1), 137-163. </w:t>
            </w:r>
            <w:proofErr w:type="spellStart"/>
            <w:r w:rsidRPr="00A51D65">
              <w:rPr>
                <w:rFonts w:cstheme="minorHAnsi"/>
              </w:rPr>
              <w:t>Kaustia</w:t>
            </w:r>
            <w:proofErr w:type="spellEnd"/>
            <w:r w:rsidRPr="00A51D65">
              <w:rPr>
                <w:rFonts w:cstheme="minorHAnsi"/>
              </w:rPr>
              <w:t xml:space="preserve">, M., Conlin, A., &amp; </w:t>
            </w:r>
            <w:proofErr w:type="spellStart"/>
            <w:r w:rsidRPr="00A51D65">
              <w:rPr>
                <w:rFonts w:cstheme="minorHAnsi"/>
              </w:rPr>
              <w:t>Luotonen</w:t>
            </w:r>
            <w:proofErr w:type="spellEnd"/>
            <w:r w:rsidRPr="00A51D65">
              <w:rPr>
                <w:rFonts w:cstheme="minorHAnsi"/>
              </w:rPr>
              <w:t xml:space="preserve">, N. (2023). What drives stock market participation? The role of institutional, traditional, and </w:t>
            </w:r>
            <w:proofErr w:type="spellStart"/>
            <w:r w:rsidRPr="00A51D65">
              <w:rPr>
                <w:rFonts w:cstheme="minorHAnsi"/>
              </w:rPr>
              <w:t>behavioral</w:t>
            </w:r>
            <w:proofErr w:type="spellEnd"/>
            <w:r w:rsidRPr="00A51D65">
              <w:rPr>
                <w:rFonts w:cstheme="minorHAnsi"/>
              </w:rPr>
              <w:t xml:space="preserve"> factors. Journal of Banking &amp; Finance, 148, 106743. Van Rooij, M., Lusardi, A., &amp; </w:t>
            </w:r>
            <w:proofErr w:type="spellStart"/>
            <w:r w:rsidRPr="00A51D65">
              <w:rPr>
                <w:rFonts w:cstheme="minorHAnsi"/>
              </w:rPr>
              <w:t>Alessie</w:t>
            </w:r>
            <w:proofErr w:type="spellEnd"/>
            <w:r w:rsidRPr="00A51D65">
              <w:rPr>
                <w:rFonts w:cstheme="minorHAnsi"/>
              </w:rPr>
              <w:t>, R. (2011). Financial literacy and stock market participation. Journal of Financial Economics, 101(2), 449-472.</w:t>
            </w:r>
          </w:p>
          <w:p w14:paraId="5A0E2D83" w14:textId="77777777" w:rsidR="005E3754" w:rsidRPr="00A51D65" w:rsidRDefault="005E3754" w:rsidP="005E3754">
            <w:pPr>
              <w:rPr>
                <w:rFonts w:cstheme="minorHAnsi"/>
              </w:rPr>
            </w:pPr>
          </w:p>
          <w:p w14:paraId="6CF4DED7" w14:textId="77777777" w:rsidR="005E3754" w:rsidRPr="00D6628D" w:rsidRDefault="005E3754" w:rsidP="00F57768"/>
        </w:tc>
      </w:tr>
      <w:tr w:rsidR="00B76C82" w:rsidRPr="004003EA" w14:paraId="4607BDCE" w14:textId="77777777" w:rsidTr="00345BBB">
        <w:trPr>
          <w:trHeight w:val="328"/>
        </w:trPr>
        <w:tc>
          <w:tcPr>
            <w:tcW w:w="9669" w:type="dxa"/>
            <w:gridSpan w:val="3"/>
            <w:shd w:val="clear" w:color="auto" w:fill="7030A0"/>
          </w:tcPr>
          <w:p w14:paraId="27320C1F" w14:textId="77777777" w:rsidR="00B76C82" w:rsidRPr="004003EA" w:rsidRDefault="00B76C82" w:rsidP="00D42AA1">
            <w:pPr>
              <w:ind w:right="-70"/>
              <w:rPr>
                <w:rFonts w:ascii="Arial" w:hAnsi="Arial" w:cs="Arial"/>
                <w:b/>
                <w:color w:val="FFFFFF" w:themeColor="background1"/>
                <w:sz w:val="24"/>
                <w:szCs w:val="24"/>
              </w:rPr>
            </w:pPr>
            <w:r>
              <w:rPr>
                <w:rFonts w:ascii="Arial" w:hAnsi="Arial" w:cs="Arial"/>
                <w:b/>
                <w:color w:val="FFFFFF" w:themeColor="background1"/>
                <w:sz w:val="24"/>
                <w:szCs w:val="24"/>
              </w:rPr>
              <w:lastRenderedPageBreak/>
              <w:t>Assessment</w:t>
            </w:r>
          </w:p>
        </w:tc>
      </w:tr>
    </w:tbl>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17"/>
        <w:gridCol w:w="1984"/>
        <w:gridCol w:w="2439"/>
      </w:tblGrid>
      <w:tr w:rsidR="002F7643" w:rsidRPr="002F7643" w14:paraId="367CB3A6" w14:textId="77777777" w:rsidTr="00002873">
        <w:tc>
          <w:tcPr>
            <w:tcW w:w="5217" w:type="dxa"/>
            <w:shd w:val="clear" w:color="auto" w:fill="D9D9D9" w:themeFill="background1" w:themeFillShade="D9"/>
            <w:vAlign w:val="center"/>
          </w:tcPr>
          <w:p w14:paraId="320958AF" w14:textId="77777777" w:rsidR="002F7643" w:rsidRPr="00D42AA1" w:rsidRDefault="00A25907" w:rsidP="00A25907">
            <w:pPr>
              <w:keepNext/>
              <w:autoSpaceDE w:val="0"/>
              <w:autoSpaceDN w:val="0"/>
              <w:spacing w:before="120" w:after="120" w:line="240" w:lineRule="auto"/>
              <w:ind w:left="284"/>
              <w:jc w:val="center"/>
              <w:outlineLvl w:val="2"/>
              <w:rPr>
                <w:rFonts w:ascii="Calibri" w:eastAsia="Batang" w:hAnsi="Calibri" w:cs="Calibri"/>
                <w:b/>
                <w:sz w:val="24"/>
                <w:szCs w:val="24"/>
                <w:lang w:eastAsia="ko-KR"/>
              </w:rPr>
            </w:pPr>
            <w:r>
              <w:rPr>
                <w:rFonts w:ascii="Calibri" w:eastAsia="Batang" w:hAnsi="Calibri" w:cs="Calibri"/>
                <w:b/>
                <w:sz w:val="24"/>
                <w:szCs w:val="24"/>
                <w:lang w:eastAsia="ko-KR"/>
              </w:rPr>
              <w:t>Mode of Assessment</w:t>
            </w:r>
          </w:p>
        </w:tc>
        <w:tc>
          <w:tcPr>
            <w:tcW w:w="1984" w:type="dxa"/>
            <w:shd w:val="clear" w:color="auto" w:fill="D9D9D9" w:themeFill="background1" w:themeFillShade="D9"/>
          </w:tcPr>
          <w:p w14:paraId="2B9C0B0A" w14:textId="77777777" w:rsidR="002F7643" w:rsidRPr="00D42AA1" w:rsidRDefault="002F7643" w:rsidP="002F7643">
            <w:pPr>
              <w:autoSpaceDE w:val="0"/>
              <w:autoSpaceDN w:val="0"/>
              <w:spacing w:before="120" w:after="120" w:line="240" w:lineRule="auto"/>
              <w:jc w:val="center"/>
              <w:rPr>
                <w:rFonts w:ascii="Calibri" w:eastAsia="Batang" w:hAnsi="Calibri" w:cs="Calibri"/>
                <w:b/>
                <w:bCs/>
                <w:sz w:val="24"/>
                <w:szCs w:val="24"/>
                <w:lang w:eastAsia="ko-KR"/>
              </w:rPr>
            </w:pPr>
            <w:r w:rsidRPr="00D42AA1">
              <w:rPr>
                <w:rFonts w:ascii="Calibri" w:eastAsia="Batang" w:hAnsi="Calibri" w:cs="Calibri"/>
                <w:b/>
                <w:bCs/>
                <w:sz w:val="24"/>
                <w:szCs w:val="24"/>
                <w:lang w:eastAsia="ko-KR"/>
              </w:rPr>
              <w:t>Length required</w:t>
            </w:r>
          </w:p>
        </w:tc>
        <w:tc>
          <w:tcPr>
            <w:tcW w:w="2439" w:type="dxa"/>
            <w:shd w:val="clear" w:color="auto" w:fill="D9D9D9" w:themeFill="background1" w:themeFillShade="D9"/>
          </w:tcPr>
          <w:p w14:paraId="1C6053D4" w14:textId="77777777" w:rsidR="002F7643" w:rsidRPr="00D42AA1" w:rsidRDefault="002F7643" w:rsidP="002F7643">
            <w:pPr>
              <w:autoSpaceDE w:val="0"/>
              <w:autoSpaceDN w:val="0"/>
              <w:spacing w:before="120" w:after="120" w:line="240" w:lineRule="auto"/>
              <w:jc w:val="center"/>
              <w:rPr>
                <w:rFonts w:ascii="Calibri" w:eastAsia="Batang" w:hAnsi="Calibri" w:cs="Calibri"/>
                <w:b/>
                <w:bCs/>
                <w:sz w:val="24"/>
                <w:szCs w:val="24"/>
                <w:lang w:eastAsia="ko-KR"/>
              </w:rPr>
            </w:pPr>
            <w:r w:rsidRPr="00D42AA1">
              <w:rPr>
                <w:rFonts w:ascii="Calibri" w:eastAsia="Batang" w:hAnsi="Calibri" w:cs="Calibri"/>
                <w:b/>
                <w:bCs/>
                <w:sz w:val="24"/>
                <w:szCs w:val="24"/>
                <w:lang w:eastAsia="ko-KR"/>
              </w:rPr>
              <w:t>Weighting within unit</w:t>
            </w:r>
          </w:p>
        </w:tc>
      </w:tr>
      <w:tr w:rsidR="002F7643" w:rsidRPr="002F7643" w14:paraId="7EE3F728" w14:textId="77777777" w:rsidTr="00002873">
        <w:tc>
          <w:tcPr>
            <w:tcW w:w="5217" w:type="dxa"/>
          </w:tcPr>
          <w:p w14:paraId="6904B3A8" w14:textId="77777777" w:rsidR="00012BA7" w:rsidRPr="00AE3DFD" w:rsidRDefault="0046215A" w:rsidP="00347A50">
            <w:pPr>
              <w:autoSpaceDE w:val="0"/>
              <w:autoSpaceDN w:val="0"/>
              <w:spacing w:before="120" w:after="120" w:line="240" w:lineRule="auto"/>
              <w:rPr>
                <w:rFonts w:eastAsia="Batang" w:cstheme="minorHAnsi"/>
                <w:color w:val="000000" w:themeColor="text1"/>
                <w:lang w:eastAsia="ko-KR"/>
              </w:rPr>
            </w:pPr>
            <w:r w:rsidRPr="00AE3DFD">
              <w:rPr>
                <w:rFonts w:eastAsia="Batang" w:cstheme="minorHAnsi"/>
                <w:color w:val="000000" w:themeColor="text1"/>
                <w:lang w:eastAsia="ko-KR"/>
              </w:rPr>
              <w:t>As the focus of this module is mainly empirical, students will be required:   - to replicate the results of existing empirical papers (or some parts of them) in a specific topic (conditional on the availability of data and/or complexity of the analysis) AND/OR - to critical</w:t>
            </w:r>
            <w:r>
              <w:rPr>
                <w:rFonts w:eastAsia="Batang" w:cstheme="minorHAnsi"/>
                <w:color w:val="000000" w:themeColor="text1"/>
                <w:lang w:eastAsia="ko-KR"/>
              </w:rPr>
              <w:t>ly</w:t>
            </w:r>
            <w:r w:rsidRPr="00AE3DFD">
              <w:rPr>
                <w:rFonts w:eastAsia="Batang" w:cstheme="minorHAnsi"/>
                <w:color w:val="000000" w:themeColor="text1"/>
                <w:lang w:eastAsia="ko-KR"/>
              </w:rPr>
              <w:t xml:space="preserve"> discuss existing empirical papers (other than those presented during the class). </w:t>
            </w:r>
          </w:p>
          <w:p w14:paraId="746D1164" w14:textId="77777777" w:rsidR="00012BA7" w:rsidRPr="00AE3DFD" w:rsidRDefault="0046215A" w:rsidP="00347A50">
            <w:pPr>
              <w:autoSpaceDE w:val="0"/>
              <w:autoSpaceDN w:val="0"/>
              <w:spacing w:before="120" w:after="120" w:line="240" w:lineRule="auto"/>
              <w:rPr>
                <w:rFonts w:eastAsia="Batang" w:cstheme="minorHAnsi"/>
                <w:color w:val="000000" w:themeColor="text1"/>
                <w:lang w:eastAsia="ko-KR"/>
              </w:rPr>
            </w:pPr>
            <w:r w:rsidRPr="00AE3DFD">
              <w:rPr>
                <w:rFonts w:eastAsia="Batang" w:cstheme="minorHAnsi"/>
                <w:color w:val="000000" w:themeColor="text1"/>
                <w:lang w:eastAsia="ko-KR"/>
              </w:rPr>
              <w:t xml:space="preserve">Assessment will be via </w:t>
            </w:r>
            <w:r>
              <w:rPr>
                <w:rFonts w:eastAsia="Batang" w:cstheme="minorHAnsi"/>
                <w:color w:val="000000" w:themeColor="text1"/>
                <w:lang w:eastAsia="ko-KR"/>
              </w:rPr>
              <w:t xml:space="preserve">one </w:t>
            </w:r>
            <w:r w:rsidRPr="00AE3DFD">
              <w:rPr>
                <w:rFonts w:eastAsia="Batang" w:cstheme="minorHAnsi"/>
                <w:color w:val="000000" w:themeColor="text1"/>
                <w:lang w:eastAsia="ko-KR"/>
              </w:rPr>
              <w:t xml:space="preserve">term paper of 2,000 words. </w:t>
            </w:r>
            <w:r>
              <w:rPr>
                <w:rFonts w:eastAsia="Batang" w:cstheme="minorHAnsi"/>
                <w:color w:val="000000" w:themeColor="text1"/>
                <w:lang w:eastAsia="ko-KR"/>
              </w:rPr>
              <w:t xml:space="preserve">The </w:t>
            </w:r>
            <w:r w:rsidRPr="00AE3DFD">
              <w:rPr>
                <w:rFonts w:eastAsia="Batang" w:cstheme="minorHAnsi"/>
                <w:color w:val="000000" w:themeColor="text1"/>
                <w:lang w:eastAsia="ko-KR"/>
              </w:rPr>
              <w:t xml:space="preserve">term paper should include the relevant reference list (which is not </w:t>
            </w:r>
            <w:proofErr w:type="gramStart"/>
            <w:r w:rsidRPr="00AE3DFD">
              <w:rPr>
                <w:rFonts w:eastAsia="Batang" w:cstheme="minorHAnsi"/>
                <w:color w:val="000000" w:themeColor="text1"/>
                <w:lang w:eastAsia="ko-KR"/>
              </w:rPr>
              <w:t>taken into account</w:t>
            </w:r>
            <w:proofErr w:type="gramEnd"/>
            <w:r w:rsidRPr="00AE3DFD">
              <w:rPr>
                <w:rFonts w:eastAsia="Batang" w:cstheme="minorHAnsi"/>
                <w:color w:val="000000" w:themeColor="text1"/>
                <w:lang w:eastAsia="ko-KR"/>
              </w:rPr>
              <w:t xml:space="preserve"> in the words count).  </w:t>
            </w:r>
          </w:p>
          <w:p w14:paraId="17410F9C" w14:textId="77777777" w:rsidR="00D6628D" w:rsidRPr="00D6628D" w:rsidRDefault="0046215A" w:rsidP="00347A50">
            <w:pPr>
              <w:autoSpaceDE w:val="0"/>
              <w:autoSpaceDN w:val="0"/>
              <w:spacing w:before="120" w:after="120" w:line="240" w:lineRule="auto"/>
              <w:rPr>
                <w:rFonts w:cstheme="minorHAnsi"/>
              </w:rPr>
            </w:pPr>
            <w:r w:rsidRPr="00AE3DFD">
              <w:rPr>
                <w:rFonts w:eastAsia="Batang" w:cstheme="minorHAnsi"/>
                <w:color w:val="000000" w:themeColor="text1"/>
                <w:lang w:eastAsia="ko-KR"/>
              </w:rPr>
              <w:t>Suggested topics and reading will be set by the lecturers of the course</w:t>
            </w:r>
            <w:r>
              <w:rPr>
                <w:rFonts w:eastAsia="Batang" w:cstheme="minorHAnsi"/>
                <w:color w:val="000000" w:themeColor="text1"/>
                <w:lang w:eastAsia="ko-KR"/>
              </w:rPr>
              <w:t xml:space="preserve"> </w:t>
            </w:r>
            <w:r w:rsidRPr="00AE3DFD">
              <w:rPr>
                <w:rFonts w:eastAsia="Batang" w:cstheme="minorHAnsi"/>
                <w:color w:val="000000" w:themeColor="text1"/>
                <w:lang w:eastAsia="ko-KR"/>
              </w:rPr>
              <w:t xml:space="preserve">and assessed by them. </w:t>
            </w:r>
            <w:r w:rsidRPr="00977ABB">
              <w:rPr>
                <w:rFonts w:eastAsia="Batang" w:cs="Calibri"/>
                <w:color w:val="000000"/>
                <w:lang w:eastAsia="ko-KR"/>
              </w:rPr>
              <w:t xml:space="preserve">All papers must be submitted </w:t>
            </w:r>
            <w:r>
              <w:rPr>
                <w:rFonts w:eastAsia="Batang" w:cs="Calibri"/>
                <w:color w:val="000000"/>
                <w:lang w:eastAsia="ko-KR"/>
              </w:rPr>
              <w:t>via Blackboard/</w:t>
            </w:r>
            <w:r w:rsidRPr="00C13A2F">
              <w:rPr>
                <w:rFonts w:eastAsia="Batang" w:cs="Calibri"/>
                <w:color w:val="000000"/>
                <w:lang w:eastAsia="ko-KR"/>
              </w:rPr>
              <w:t xml:space="preserve">Turnitin </w:t>
            </w:r>
            <w:r w:rsidRPr="00977ABB">
              <w:rPr>
                <w:rFonts w:eastAsia="Batang" w:cs="Calibri"/>
                <w:color w:val="000000"/>
                <w:lang w:eastAsia="ko-KR"/>
              </w:rPr>
              <w:t xml:space="preserve">by </w:t>
            </w:r>
            <w:r>
              <w:rPr>
                <w:rFonts w:eastAsia="Batang" w:cs="Calibri"/>
                <w:color w:val="000000"/>
                <w:lang w:eastAsia="ko-KR"/>
              </w:rPr>
              <w:t xml:space="preserve">3pm on Friday </w:t>
            </w:r>
            <w:r w:rsidRPr="00977ABB">
              <w:rPr>
                <w:rFonts w:eastAsia="Batang" w:cs="Calibri"/>
                <w:color w:val="000000"/>
                <w:lang w:eastAsia="ko-KR"/>
              </w:rPr>
              <w:t>26 April 2024</w:t>
            </w:r>
            <w:r>
              <w:rPr>
                <w:rFonts w:eastAsia="Batang" w:cs="Calibri"/>
                <w:color w:val="000000"/>
                <w:lang w:eastAsia="ko-KR"/>
              </w:rPr>
              <w:t>.</w:t>
            </w:r>
          </w:p>
        </w:tc>
        <w:tc>
          <w:tcPr>
            <w:tcW w:w="1984" w:type="dxa"/>
            <w:vAlign w:val="center"/>
          </w:tcPr>
          <w:p w14:paraId="360084E7" w14:textId="77777777" w:rsidR="002F7643" w:rsidRDefault="0046215A" w:rsidP="00347A50">
            <w:pPr>
              <w:autoSpaceDE w:val="0"/>
              <w:autoSpaceDN w:val="0"/>
              <w:spacing w:before="120" w:after="120" w:line="240" w:lineRule="auto"/>
              <w:rPr>
                <w:rFonts w:eastAsia="Batang" w:cs="Palatino Linotype"/>
                <w:lang w:eastAsia="ko-KR"/>
              </w:rPr>
            </w:pPr>
            <w:r w:rsidRPr="00347A50">
              <w:rPr>
                <w:rFonts w:eastAsia="Batang" w:cs="Palatino Linotype"/>
                <w:lang w:eastAsia="ko-KR"/>
              </w:rPr>
              <w:t>2000 words</w:t>
            </w:r>
          </w:p>
          <w:p w14:paraId="4CF7525B" w14:textId="77777777" w:rsidR="00012BA7" w:rsidRDefault="00012BA7" w:rsidP="00347A50">
            <w:pPr>
              <w:autoSpaceDE w:val="0"/>
              <w:autoSpaceDN w:val="0"/>
              <w:spacing w:before="120" w:after="120" w:line="240" w:lineRule="auto"/>
              <w:rPr>
                <w:rFonts w:eastAsia="Batang" w:cs="Palatino Linotype"/>
                <w:lang w:eastAsia="ko-KR"/>
              </w:rPr>
            </w:pPr>
          </w:p>
          <w:p w14:paraId="471F4EFD" w14:textId="77777777" w:rsidR="00012BA7" w:rsidRDefault="00012BA7" w:rsidP="00347A50">
            <w:pPr>
              <w:autoSpaceDE w:val="0"/>
              <w:autoSpaceDN w:val="0"/>
              <w:spacing w:before="120" w:after="120" w:line="240" w:lineRule="auto"/>
              <w:rPr>
                <w:rFonts w:eastAsia="Batang" w:cs="Palatino Linotype"/>
                <w:lang w:eastAsia="ko-KR"/>
              </w:rPr>
            </w:pPr>
          </w:p>
          <w:p w14:paraId="17262943" w14:textId="77777777" w:rsidR="00012BA7" w:rsidRDefault="00012BA7" w:rsidP="00347A50">
            <w:pPr>
              <w:autoSpaceDE w:val="0"/>
              <w:autoSpaceDN w:val="0"/>
              <w:spacing w:before="120" w:after="120" w:line="240" w:lineRule="auto"/>
              <w:rPr>
                <w:rFonts w:eastAsia="Batang" w:cs="Palatino Linotype"/>
                <w:lang w:eastAsia="ko-KR"/>
              </w:rPr>
            </w:pPr>
          </w:p>
          <w:p w14:paraId="2E09B1A7" w14:textId="77777777" w:rsidR="00012BA7" w:rsidRDefault="00012BA7" w:rsidP="00347A50">
            <w:pPr>
              <w:autoSpaceDE w:val="0"/>
              <w:autoSpaceDN w:val="0"/>
              <w:spacing w:before="120" w:after="120" w:line="240" w:lineRule="auto"/>
              <w:rPr>
                <w:rFonts w:eastAsia="Batang" w:cs="Palatino Linotype"/>
                <w:lang w:eastAsia="ko-KR"/>
              </w:rPr>
            </w:pPr>
          </w:p>
          <w:p w14:paraId="44F123FE" w14:textId="77777777" w:rsidR="00012BA7" w:rsidRDefault="00012BA7" w:rsidP="00347A50">
            <w:pPr>
              <w:autoSpaceDE w:val="0"/>
              <w:autoSpaceDN w:val="0"/>
              <w:spacing w:before="120" w:after="120" w:line="240" w:lineRule="auto"/>
              <w:rPr>
                <w:rFonts w:eastAsia="Batang" w:cs="Palatino Linotype"/>
                <w:lang w:eastAsia="ko-KR"/>
              </w:rPr>
            </w:pPr>
          </w:p>
          <w:p w14:paraId="71FE9652" w14:textId="77777777" w:rsidR="00012BA7" w:rsidRDefault="00012BA7" w:rsidP="00347A50">
            <w:pPr>
              <w:autoSpaceDE w:val="0"/>
              <w:autoSpaceDN w:val="0"/>
              <w:spacing w:before="120" w:after="120" w:line="240" w:lineRule="auto"/>
              <w:rPr>
                <w:rFonts w:eastAsia="Batang" w:cs="Palatino Linotype"/>
                <w:lang w:eastAsia="ko-KR"/>
              </w:rPr>
            </w:pPr>
          </w:p>
          <w:p w14:paraId="4ED9B9D4" w14:textId="77777777" w:rsidR="00012BA7" w:rsidRDefault="00012BA7" w:rsidP="00347A50">
            <w:pPr>
              <w:autoSpaceDE w:val="0"/>
              <w:autoSpaceDN w:val="0"/>
              <w:spacing w:before="120" w:after="120" w:line="240" w:lineRule="auto"/>
              <w:rPr>
                <w:rFonts w:eastAsia="Batang" w:cs="Palatino Linotype"/>
                <w:lang w:eastAsia="ko-KR"/>
              </w:rPr>
            </w:pPr>
          </w:p>
          <w:p w14:paraId="11BAE58A" w14:textId="77777777" w:rsidR="00012BA7" w:rsidRDefault="00012BA7" w:rsidP="00347A50">
            <w:pPr>
              <w:autoSpaceDE w:val="0"/>
              <w:autoSpaceDN w:val="0"/>
              <w:spacing w:before="120" w:after="120" w:line="240" w:lineRule="auto"/>
              <w:rPr>
                <w:rFonts w:eastAsia="Batang" w:cs="Palatino Linotype"/>
                <w:lang w:eastAsia="ko-KR"/>
              </w:rPr>
            </w:pPr>
          </w:p>
          <w:p w14:paraId="4A04ABB6" w14:textId="77777777" w:rsidR="00012BA7" w:rsidRDefault="00012BA7" w:rsidP="00347A50">
            <w:pPr>
              <w:autoSpaceDE w:val="0"/>
              <w:autoSpaceDN w:val="0"/>
              <w:spacing w:before="120" w:after="120" w:line="240" w:lineRule="auto"/>
              <w:rPr>
                <w:rFonts w:eastAsia="Batang" w:cs="Palatino Linotype"/>
                <w:lang w:eastAsia="ko-KR"/>
              </w:rPr>
            </w:pPr>
          </w:p>
          <w:p w14:paraId="303C3105" w14:textId="77777777" w:rsidR="00012BA7" w:rsidRDefault="00012BA7" w:rsidP="00347A50">
            <w:pPr>
              <w:autoSpaceDE w:val="0"/>
              <w:autoSpaceDN w:val="0"/>
              <w:spacing w:before="120" w:after="120" w:line="240" w:lineRule="auto"/>
              <w:rPr>
                <w:rFonts w:eastAsia="Batang" w:cs="Palatino Linotype"/>
                <w:lang w:eastAsia="ko-KR"/>
              </w:rPr>
            </w:pPr>
          </w:p>
          <w:p w14:paraId="103166BC" w14:textId="77777777" w:rsidR="00012BA7" w:rsidRPr="002F7643" w:rsidRDefault="00012BA7" w:rsidP="00347A50">
            <w:pPr>
              <w:autoSpaceDE w:val="0"/>
              <w:autoSpaceDN w:val="0"/>
              <w:spacing w:before="120" w:after="120" w:line="240" w:lineRule="auto"/>
              <w:rPr>
                <w:rFonts w:eastAsia="Batang" w:cs="Palatino Linotype"/>
                <w:lang w:eastAsia="ko-KR"/>
              </w:rPr>
            </w:pPr>
          </w:p>
        </w:tc>
        <w:tc>
          <w:tcPr>
            <w:tcW w:w="2439" w:type="dxa"/>
            <w:vAlign w:val="center"/>
          </w:tcPr>
          <w:p w14:paraId="523EEC93" w14:textId="77777777" w:rsidR="002F7643" w:rsidRDefault="0046215A" w:rsidP="00347A50">
            <w:pPr>
              <w:autoSpaceDE w:val="0"/>
              <w:autoSpaceDN w:val="0"/>
              <w:spacing w:before="120" w:after="120" w:line="240" w:lineRule="auto"/>
              <w:rPr>
                <w:rFonts w:eastAsia="Batang" w:cs="Palatino Linotype"/>
                <w:lang w:eastAsia="ko-KR"/>
              </w:rPr>
            </w:pPr>
            <w:r>
              <w:rPr>
                <w:rFonts w:eastAsia="Batang" w:cs="Palatino Linotype"/>
                <w:lang w:eastAsia="ko-KR"/>
              </w:rPr>
              <w:t>100%</w:t>
            </w:r>
          </w:p>
          <w:p w14:paraId="530698AB" w14:textId="77777777" w:rsidR="00012BA7" w:rsidRDefault="00012BA7" w:rsidP="00347A50">
            <w:pPr>
              <w:autoSpaceDE w:val="0"/>
              <w:autoSpaceDN w:val="0"/>
              <w:spacing w:before="120" w:after="120" w:line="240" w:lineRule="auto"/>
              <w:rPr>
                <w:rFonts w:eastAsia="Batang" w:cs="Palatino Linotype"/>
                <w:lang w:eastAsia="ko-KR"/>
              </w:rPr>
            </w:pPr>
          </w:p>
          <w:p w14:paraId="3F1BCD16" w14:textId="77777777" w:rsidR="00012BA7" w:rsidRDefault="00012BA7" w:rsidP="00347A50">
            <w:pPr>
              <w:autoSpaceDE w:val="0"/>
              <w:autoSpaceDN w:val="0"/>
              <w:spacing w:before="120" w:after="120" w:line="240" w:lineRule="auto"/>
              <w:rPr>
                <w:rFonts w:eastAsia="Batang" w:cs="Palatino Linotype"/>
                <w:lang w:eastAsia="ko-KR"/>
              </w:rPr>
            </w:pPr>
          </w:p>
          <w:p w14:paraId="28978D3A" w14:textId="77777777" w:rsidR="00012BA7" w:rsidRDefault="00012BA7" w:rsidP="00347A50">
            <w:pPr>
              <w:autoSpaceDE w:val="0"/>
              <w:autoSpaceDN w:val="0"/>
              <w:spacing w:before="120" w:after="120" w:line="240" w:lineRule="auto"/>
              <w:rPr>
                <w:rFonts w:eastAsia="Batang" w:cs="Palatino Linotype"/>
                <w:lang w:eastAsia="ko-KR"/>
              </w:rPr>
            </w:pPr>
          </w:p>
          <w:p w14:paraId="5911A171" w14:textId="77777777" w:rsidR="00012BA7" w:rsidRDefault="00012BA7" w:rsidP="00347A50">
            <w:pPr>
              <w:autoSpaceDE w:val="0"/>
              <w:autoSpaceDN w:val="0"/>
              <w:spacing w:before="120" w:after="120" w:line="240" w:lineRule="auto"/>
              <w:rPr>
                <w:rFonts w:eastAsia="Batang" w:cs="Palatino Linotype"/>
                <w:lang w:eastAsia="ko-KR"/>
              </w:rPr>
            </w:pPr>
          </w:p>
          <w:p w14:paraId="146B4ECF" w14:textId="77777777" w:rsidR="00012BA7" w:rsidRDefault="00012BA7" w:rsidP="00347A50">
            <w:pPr>
              <w:autoSpaceDE w:val="0"/>
              <w:autoSpaceDN w:val="0"/>
              <w:spacing w:before="120" w:after="120" w:line="240" w:lineRule="auto"/>
              <w:rPr>
                <w:rFonts w:eastAsia="Batang" w:cs="Palatino Linotype"/>
                <w:lang w:eastAsia="ko-KR"/>
              </w:rPr>
            </w:pPr>
          </w:p>
          <w:p w14:paraId="73BB1E1B" w14:textId="77777777" w:rsidR="00012BA7" w:rsidRDefault="00012BA7" w:rsidP="00347A50">
            <w:pPr>
              <w:autoSpaceDE w:val="0"/>
              <w:autoSpaceDN w:val="0"/>
              <w:spacing w:before="120" w:after="120" w:line="240" w:lineRule="auto"/>
              <w:rPr>
                <w:rFonts w:eastAsia="Batang" w:cs="Palatino Linotype"/>
                <w:lang w:eastAsia="ko-KR"/>
              </w:rPr>
            </w:pPr>
          </w:p>
          <w:p w14:paraId="6C7EF9E0" w14:textId="77777777" w:rsidR="00012BA7" w:rsidRDefault="00012BA7" w:rsidP="00347A50">
            <w:pPr>
              <w:autoSpaceDE w:val="0"/>
              <w:autoSpaceDN w:val="0"/>
              <w:spacing w:before="120" w:after="120" w:line="240" w:lineRule="auto"/>
              <w:rPr>
                <w:rFonts w:eastAsia="Batang" w:cs="Palatino Linotype"/>
                <w:lang w:eastAsia="ko-KR"/>
              </w:rPr>
            </w:pPr>
          </w:p>
          <w:p w14:paraId="5E45012E" w14:textId="77777777" w:rsidR="00012BA7" w:rsidRDefault="00012BA7" w:rsidP="00347A50">
            <w:pPr>
              <w:autoSpaceDE w:val="0"/>
              <w:autoSpaceDN w:val="0"/>
              <w:spacing w:before="120" w:after="120" w:line="240" w:lineRule="auto"/>
              <w:rPr>
                <w:rFonts w:eastAsia="Batang" w:cs="Palatino Linotype"/>
                <w:lang w:eastAsia="ko-KR"/>
              </w:rPr>
            </w:pPr>
          </w:p>
          <w:p w14:paraId="184B36D4" w14:textId="77777777" w:rsidR="00012BA7" w:rsidRDefault="00012BA7" w:rsidP="00347A50">
            <w:pPr>
              <w:autoSpaceDE w:val="0"/>
              <w:autoSpaceDN w:val="0"/>
              <w:spacing w:before="120" w:after="120" w:line="240" w:lineRule="auto"/>
              <w:rPr>
                <w:rFonts w:eastAsia="Batang" w:cs="Palatino Linotype"/>
                <w:lang w:eastAsia="ko-KR"/>
              </w:rPr>
            </w:pPr>
          </w:p>
          <w:p w14:paraId="188312D3" w14:textId="77777777" w:rsidR="00012BA7" w:rsidRDefault="00012BA7" w:rsidP="00347A50">
            <w:pPr>
              <w:autoSpaceDE w:val="0"/>
              <w:autoSpaceDN w:val="0"/>
              <w:spacing w:before="120" w:after="120" w:line="240" w:lineRule="auto"/>
              <w:rPr>
                <w:rFonts w:eastAsia="Batang" w:cs="Palatino Linotype"/>
                <w:lang w:eastAsia="ko-KR"/>
              </w:rPr>
            </w:pPr>
          </w:p>
          <w:p w14:paraId="7775D7C7" w14:textId="77777777" w:rsidR="00012BA7" w:rsidRPr="002F7643" w:rsidRDefault="00012BA7" w:rsidP="00347A50">
            <w:pPr>
              <w:autoSpaceDE w:val="0"/>
              <w:autoSpaceDN w:val="0"/>
              <w:spacing w:before="120" w:after="120" w:line="240" w:lineRule="auto"/>
              <w:rPr>
                <w:rFonts w:eastAsia="Batang" w:cs="Palatino Linotype"/>
                <w:lang w:eastAsia="ko-KR"/>
              </w:rPr>
            </w:pPr>
          </w:p>
        </w:tc>
      </w:tr>
      <w:tr w:rsidR="00D6628D" w:rsidRPr="002F7643" w14:paraId="09AA3D07" w14:textId="77777777" w:rsidTr="00002873">
        <w:tc>
          <w:tcPr>
            <w:tcW w:w="5217" w:type="dxa"/>
          </w:tcPr>
          <w:p w14:paraId="0A8DC221" w14:textId="77777777" w:rsidR="00D6628D" w:rsidRPr="001D10D2" w:rsidRDefault="00D6628D" w:rsidP="00D6628D">
            <w:pPr>
              <w:autoSpaceDE w:val="0"/>
              <w:autoSpaceDN w:val="0"/>
              <w:spacing w:before="120" w:after="120" w:line="240" w:lineRule="auto"/>
              <w:rPr>
                <w:b/>
              </w:rPr>
            </w:pPr>
          </w:p>
        </w:tc>
        <w:tc>
          <w:tcPr>
            <w:tcW w:w="1984" w:type="dxa"/>
            <w:vAlign w:val="center"/>
          </w:tcPr>
          <w:p w14:paraId="7B5D248E" w14:textId="77777777" w:rsidR="00D6628D" w:rsidRDefault="00D6628D" w:rsidP="00002873">
            <w:pPr>
              <w:autoSpaceDE w:val="0"/>
              <w:autoSpaceDN w:val="0"/>
              <w:spacing w:before="120" w:after="120" w:line="240" w:lineRule="auto"/>
              <w:jc w:val="center"/>
              <w:rPr>
                <w:rFonts w:eastAsia="Batang" w:cs="Palatino Linotype"/>
                <w:lang w:eastAsia="ko-KR"/>
              </w:rPr>
            </w:pPr>
          </w:p>
        </w:tc>
        <w:tc>
          <w:tcPr>
            <w:tcW w:w="2439" w:type="dxa"/>
            <w:vAlign w:val="center"/>
          </w:tcPr>
          <w:p w14:paraId="3F50611C" w14:textId="77777777" w:rsidR="00D6628D" w:rsidRDefault="00D6628D" w:rsidP="00002873">
            <w:pPr>
              <w:autoSpaceDE w:val="0"/>
              <w:autoSpaceDN w:val="0"/>
              <w:spacing w:before="120" w:after="120" w:line="240" w:lineRule="auto"/>
              <w:jc w:val="center"/>
              <w:rPr>
                <w:rFonts w:eastAsia="Batang" w:cs="Palatino Linotype"/>
                <w:lang w:eastAsia="ko-KR"/>
              </w:rPr>
            </w:pPr>
          </w:p>
        </w:tc>
      </w:tr>
      <w:tr w:rsidR="00D6628D" w:rsidRPr="002F7643" w14:paraId="4D13841B" w14:textId="77777777" w:rsidTr="00002873">
        <w:tc>
          <w:tcPr>
            <w:tcW w:w="5217" w:type="dxa"/>
          </w:tcPr>
          <w:p w14:paraId="62F3DE74" w14:textId="77777777" w:rsidR="00D6628D" w:rsidRPr="00D6628D" w:rsidRDefault="00D6628D" w:rsidP="00D6628D">
            <w:pPr>
              <w:spacing w:before="120" w:after="120" w:line="240" w:lineRule="auto"/>
              <w:jc w:val="both"/>
            </w:pPr>
          </w:p>
        </w:tc>
        <w:tc>
          <w:tcPr>
            <w:tcW w:w="1984" w:type="dxa"/>
            <w:vAlign w:val="center"/>
          </w:tcPr>
          <w:p w14:paraId="40A9E8B9" w14:textId="77777777" w:rsidR="00D6628D" w:rsidRDefault="00D6628D" w:rsidP="00002873">
            <w:pPr>
              <w:autoSpaceDE w:val="0"/>
              <w:autoSpaceDN w:val="0"/>
              <w:spacing w:before="120" w:after="120" w:line="240" w:lineRule="auto"/>
              <w:jc w:val="center"/>
              <w:rPr>
                <w:rFonts w:eastAsia="Batang" w:cs="Palatino Linotype"/>
                <w:lang w:eastAsia="ko-KR"/>
              </w:rPr>
            </w:pPr>
          </w:p>
        </w:tc>
        <w:tc>
          <w:tcPr>
            <w:tcW w:w="2439" w:type="dxa"/>
            <w:vAlign w:val="center"/>
          </w:tcPr>
          <w:p w14:paraId="5151E037" w14:textId="77777777" w:rsidR="00D6628D" w:rsidRDefault="00D6628D" w:rsidP="00002873">
            <w:pPr>
              <w:autoSpaceDE w:val="0"/>
              <w:autoSpaceDN w:val="0"/>
              <w:spacing w:before="120" w:after="120" w:line="240" w:lineRule="auto"/>
              <w:jc w:val="center"/>
              <w:rPr>
                <w:rFonts w:eastAsia="Batang" w:cs="Palatino Linotype"/>
                <w:lang w:eastAsia="ko-KR"/>
              </w:rPr>
            </w:pPr>
          </w:p>
        </w:tc>
      </w:tr>
      <w:tr w:rsidR="002F7643" w:rsidRPr="002F7643" w14:paraId="34B8A320" w14:textId="77777777" w:rsidTr="00002873">
        <w:tc>
          <w:tcPr>
            <w:tcW w:w="5217" w:type="dxa"/>
          </w:tcPr>
          <w:p w14:paraId="00BFEFC1" w14:textId="77777777" w:rsidR="002F7643" w:rsidRPr="00D42AA1" w:rsidRDefault="002F7643" w:rsidP="00A25907">
            <w:pPr>
              <w:spacing w:after="0" w:line="240" w:lineRule="auto"/>
              <w:rPr>
                <w:color w:val="FF0000"/>
              </w:rPr>
            </w:pPr>
            <w:r w:rsidRPr="002F7643">
              <w:rPr>
                <w:rFonts w:eastAsia="Batang" w:cs="Palatino Linotype"/>
                <w:b/>
                <w:lang w:eastAsia="ko-KR"/>
              </w:rPr>
              <w:t>Resits</w:t>
            </w:r>
            <w:r>
              <w:rPr>
                <w:rFonts w:eastAsia="Batang" w:cs="Palatino Linotype"/>
                <w:lang w:eastAsia="ko-KR"/>
              </w:rPr>
              <w:t xml:space="preserve">: </w:t>
            </w:r>
            <w:r w:rsidRPr="00944BC6">
              <w:rPr>
                <w:rFonts w:cstheme="minorHAnsi"/>
                <w:color w:val="000000" w:themeColor="text1"/>
              </w:rPr>
              <w:t>by coursework</w:t>
            </w:r>
          </w:p>
        </w:tc>
        <w:tc>
          <w:tcPr>
            <w:tcW w:w="1984" w:type="dxa"/>
          </w:tcPr>
          <w:p w14:paraId="5E5D80D3" w14:textId="77777777" w:rsidR="002F7643" w:rsidRPr="002F7643" w:rsidRDefault="0046215A" w:rsidP="002F7643">
            <w:pPr>
              <w:autoSpaceDE w:val="0"/>
              <w:autoSpaceDN w:val="0"/>
              <w:spacing w:before="120" w:after="120" w:line="240" w:lineRule="auto"/>
              <w:jc w:val="center"/>
              <w:rPr>
                <w:rFonts w:eastAsia="Batang" w:cs="Palatino Linotype"/>
                <w:lang w:eastAsia="ko-KR"/>
              </w:rPr>
            </w:pPr>
            <w:r>
              <w:rPr>
                <w:rFonts w:eastAsia="Batang" w:cs="Palatino Linotype"/>
                <w:lang w:eastAsia="ko-KR"/>
              </w:rPr>
              <w:t>2000 words</w:t>
            </w:r>
          </w:p>
        </w:tc>
        <w:tc>
          <w:tcPr>
            <w:tcW w:w="2439" w:type="dxa"/>
          </w:tcPr>
          <w:p w14:paraId="442403F5" w14:textId="77777777" w:rsidR="002F7643" w:rsidRPr="002F7643" w:rsidRDefault="0046215A" w:rsidP="002F7643">
            <w:pPr>
              <w:autoSpaceDE w:val="0"/>
              <w:autoSpaceDN w:val="0"/>
              <w:spacing w:before="120" w:after="120" w:line="240" w:lineRule="auto"/>
              <w:jc w:val="center"/>
              <w:rPr>
                <w:rFonts w:eastAsia="Batang" w:cs="Palatino Linotype"/>
                <w:lang w:eastAsia="ko-KR"/>
              </w:rPr>
            </w:pPr>
            <w:r w:rsidRPr="00347A50">
              <w:rPr>
                <w:rFonts w:eastAsia="Batang" w:cs="Palatino Linotype"/>
                <w:lang w:eastAsia="ko-KR"/>
              </w:rPr>
              <w:t>100%</w:t>
            </w:r>
          </w:p>
        </w:tc>
      </w:tr>
    </w:tbl>
    <w:tbl>
      <w:tblPr>
        <w:tblStyle w:val="TableGrid"/>
        <w:tblW w:w="9640" w:type="dxa"/>
        <w:tblInd w:w="-147" w:type="dxa"/>
        <w:tblLook w:val="04A0" w:firstRow="1" w:lastRow="0" w:firstColumn="1" w:lastColumn="0" w:noHBand="0" w:noVBand="1"/>
      </w:tblPr>
      <w:tblGrid>
        <w:gridCol w:w="9640"/>
      </w:tblGrid>
      <w:tr w:rsidR="009526CA" w:rsidRPr="004003EA" w14:paraId="5D8EBE5B" w14:textId="77777777" w:rsidTr="00345BBB">
        <w:tc>
          <w:tcPr>
            <w:tcW w:w="9640" w:type="dxa"/>
            <w:shd w:val="clear" w:color="auto" w:fill="7030A0"/>
          </w:tcPr>
          <w:p w14:paraId="2A56C34A" w14:textId="77777777" w:rsidR="009526CA" w:rsidRPr="004003EA" w:rsidRDefault="009526CA" w:rsidP="003A0F8F">
            <w:pPr>
              <w:rPr>
                <w:rFonts w:ascii="Arial" w:hAnsi="Arial" w:cs="Arial"/>
                <w:b/>
                <w:color w:val="FFFFFF" w:themeColor="background1"/>
                <w:sz w:val="24"/>
                <w:szCs w:val="24"/>
              </w:rPr>
            </w:pPr>
            <w:r>
              <w:rPr>
                <w:rFonts w:ascii="Arial" w:hAnsi="Arial" w:cs="Arial"/>
                <w:b/>
                <w:color w:val="FFFFFF" w:themeColor="background1"/>
                <w:sz w:val="24"/>
                <w:szCs w:val="24"/>
              </w:rPr>
              <w:t>Feedback</w:t>
            </w:r>
            <w:r w:rsidR="00A25907">
              <w:rPr>
                <w:rFonts w:ascii="Arial" w:hAnsi="Arial" w:cs="Arial"/>
                <w:b/>
                <w:color w:val="FFFFFF" w:themeColor="background1"/>
                <w:sz w:val="24"/>
                <w:szCs w:val="24"/>
              </w:rPr>
              <w:t xml:space="preserve"> methods</w:t>
            </w:r>
          </w:p>
        </w:tc>
      </w:tr>
      <w:tr w:rsidR="00A25907" w14:paraId="3408EBD7" w14:textId="77777777" w:rsidTr="00345BBB">
        <w:tc>
          <w:tcPr>
            <w:tcW w:w="9640" w:type="dxa"/>
          </w:tcPr>
          <w:p w14:paraId="4829860B" w14:textId="77777777" w:rsidR="00012BA7" w:rsidRPr="00EB72EF" w:rsidRDefault="0046215A" w:rsidP="00C56D6E">
            <w:pPr>
              <w:jc w:val="both"/>
              <w:rPr>
                <w:rFonts w:cstheme="minorHAnsi"/>
              </w:rPr>
            </w:pPr>
            <w:r w:rsidRPr="00EB72EF">
              <w:rPr>
                <w:rFonts w:cstheme="minorHAnsi"/>
              </w:rPr>
              <w:t>Informal advice and discussion will be provided during lectures.</w:t>
            </w:r>
          </w:p>
          <w:p w14:paraId="7C083DCB" w14:textId="77777777" w:rsidR="00012BA7" w:rsidRPr="00EB72EF" w:rsidRDefault="00012BA7" w:rsidP="00C56D6E">
            <w:pPr>
              <w:jc w:val="both"/>
              <w:rPr>
                <w:rFonts w:cstheme="minorHAnsi"/>
              </w:rPr>
            </w:pPr>
          </w:p>
          <w:p w14:paraId="633780DE" w14:textId="77777777" w:rsidR="00012BA7" w:rsidRPr="00EB72EF" w:rsidRDefault="0046215A" w:rsidP="00C56D6E">
            <w:pPr>
              <w:rPr>
                <w:rFonts w:cstheme="minorHAnsi"/>
                <w:b/>
              </w:rPr>
            </w:pPr>
            <w:r w:rsidRPr="00EB72EF">
              <w:rPr>
                <w:rFonts w:cstheme="minorHAnsi"/>
              </w:rPr>
              <w:t>Written comments will be provided on the term paper. These will be available either via Turnitin on Blackboard or from the Doctoral Programmes Office.</w:t>
            </w:r>
          </w:p>
          <w:p w14:paraId="6357A2AE" w14:textId="77777777" w:rsidR="00A25907" w:rsidRDefault="00A25907" w:rsidP="00D6628D">
            <w:pPr>
              <w:spacing w:after="120"/>
              <w:jc w:val="both"/>
              <w:rPr>
                <w:rFonts w:ascii="Arial" w:hAnsi="Arial" w:cs="Arial"/>
                <w:b/>
                <w:color w:val="FF0000"/>
                <w:sz w:val="24"/>
                <w:szCs w:val="24"/>
              </w:rPr>
            </w:pPr>
          </w:p>
        </w:tc>
      </w:tr>
    </w:tbl>
    <w:p w14:paraId="554C6FE5" w14:textId="77777777" w:rsidR="006B3CA7" w:rsidRDefault="006B3CA7" w:rsidP="006B3CA7">
      <w:pPr>
        <w:pStyle w:val="xmsonormal"/>
        <w:rPr>
          <w:color w:val="FF0000"/>
        </w:rPr>
      </w:pPr>
    </w:p>
    <w:p w14:paraId="706D8765" w14:textId="77777777" w:rsidR="006B3CA7" w:rsidRDefault="006B3CA7" w:rsidP="006B3CA7">
      <w:pPr>
        <w:pStyle w:val="xmsonormal"/>
        <w:rPr>
          <w:color w:val="FF0000"/>
        </w:rPr>
      </w:pPr>
    </w:p>
    <w:tbl>
      <w:tblPr>
        <w:tblStyle w:val="TableGrid"/>
        <w:tblW w:w="9640" w:type="dxa"/>
        <w:tblInd w:w="-147" w:type="dxa"/>
        <w:tblLook w:val="04A0" w:firstRow="1" w:lastRow="0" w:firstColumn="1" w:lastColumn="0" w:noHBand="0" w:noVBand="1"/>
      </w:tblPr>
      <w:tblGrid>
        <w:gridCol w:w="9640"/>
      </w:tblGrid>
      <w:tr w:rsidR="006B3CA7" w:rsidRPr="004003EA" w14:paraId="7A321D8F" w14:textId="77777777" w:rsidTr="00AC4791">
        <w:tc>
          <w:tcPr>
            <w:tcW w:w="9640" w:type="dxa"/>
            <w:shd w:val="clear" w:color="auto" w:fill="7030A0"/>
          </w:tcPr>
          <w:p w14:paraId="34F01A6A" w14:textId="77777777" w:rsidR="006B3CA7" w:rsidRPr="004003EA" w:rsidRDefault="006B3CA7" w:rsidP="00AC4791">
            <w:pPr>
              <w:rPr>
                <w:rFonts w:ascii="Arial" w:hAnsi="Arial" w:cs="Arial"/>
                <w:b/>
                <w:color w:val="FFFFFF" w:themeColor="background1"/>
                <w:sz w:val="24"/>
                <w:szCs w:val="24"/>
              </w:rPr>
            </w:pPr>
            <w:r>
              <w:rPr>
                <w:rFonts w:ascii="Arial" w:hAnsi="Arial" w:cs="Arial"/>
                <w:b/>
                <w:color w:val="FFFFFF" w:themeColor="background1"/>
                <w:sz w:val="24"/>
                <w:szCs w:val="24"/>
              </w:rPr>
              <w:t>Social Responsibility</w:t>
            </w:r>
          </w:p>
        </w:tc>
      </w:tr>
    </w:tbl>
    <w:p w14:paraId="6FA4FAF8" w14:textId="77777777" w:rsidR="006B3CA7" w:rsidRDefault="006B3CA7" w:rsidP="006B3CA7">
      <w:pPr>
        <w:pStyle w:val="xmsonormal"/>
        <w:rPr>
          <w:color w:val="FF0000"/>
        </w:rPr>
      </w:pPr>
    </w:p>
    <w:p w14:paraId="273CFE65" w14:textId="77777777" w:rsidR="006B3CA7" w:rsidRDefault="006B3CA7" w:rsidP="006B3CA7">
      <w:pPr>
        <w:pStyle w:val="xmsonormal"/>
        <w:rPr>
          <w:rStyle w:val="xnormaltextrun"/>
          <w:rFonts w:ascii="Calibri" w:hAnsi="Calibri" w:cs="Calibri"/>
          <w:i/>
          <w:iCs/>
          <w:color w:val="000000"/>
          <w:sz w:val="22"/>
          <w:szCs w:val="22"/>
          <w:shd w:val="clear" w:color="auto" w:fill="FFFFFF"/>
        </w:rPr>
      </w:pPr>
      <w:r>
        <w:rPr>
          <w:rStyle w:val="xnormaltextrun"/>
          <w:rFonts w:ascii="Calibri" w:hAnsi="Calibri" w:cs="Calibri"/>
          <w:i/>
          <w:iCs/>
          <w:color w:val="000000"/>
          <w:sz w:val="22"/>
          <w:szCs w:val="22"/>
          <w:shd w:val="clear" w:color="auto" w:fill="FFFFFF"/>
        </w:rPr>
        <w:t>AMBS aims for our graduates to develop not only academic and professional skills, but also a sense of social, ethical and environmental responsibility towards the societies of which they are part. Please give details of how social responsibility is addressed in your course unit by highlighting any knowledge or skills that support students’ social and ethical understanding and conduct.</w:t>
      </w:r>
    </w:p>
    <w:p w14:paraId="69F83DBC" w14:textId="77777777" w:rsidR="006B3CA7" w:rsidRDefault="006B3CA7" w:rsidP="006B3CA7">
      <w:pPr>
        <w:pStyle w:val="xmsonormal"/>
        <w:ind w:left="567"/>
        <w:rPr>
          <w:rStyle w:val="xnormaltextrun"/>
          <w:rFonts w:ascii="Calibri" w:hAnsi="Calibri" w:cs="Calibri"/>
          <w:i/>
          <w:iCs/>
          <w:color w:val="000000"/>
          <w:sz w:val="22"/>
          <w:szCs w:val="22"/>
          <w:shd w:val="clear" w:color="auto" w:fill="FFFFFF"/>
        </w:rPr>
      </w:pPr>
    </w:p>
    <w:tbl>
      <w:tblPr>
        <w:tblW w:w="0" w:type="auto"/>
        <w:tblInd w:w="-152" w:type="dxa"/>
        <w:tblCellMar>
          <w:left w:w="0" w:type="dxa"/>
          <w:right w:w="0" w:type="dxa"/>
        </w:tblCellMar>
        <w:tblLook w:val="04A0" w:firstRow="1" w:lastRow="0" w:firstColumn="1" w:lastColumn="0" w:noHBand="0" w:noVBand="1"/>
      </w:tblPr>
      <w:tblGrid>
        <w:gridCol w:w="9640"/>
      </w:tblGrid>
      <w:tr w:rsidR="006B3CA7" w14:paraId="5E331CCA" w14:textId="77777777" w:rsidTr="006B3CA7">
        <w:tc>
          <w:tcPr>
            <w:tcW w:w="96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365355A" w14:textId="77777777" w:rsidR="006B3CA7" w:rsidRDefault="006B3CA7">
            <w:pPr>
              <w:pStyle w:val="xmsonormal"/>
              <w:spacing w:line="256" w:lineRule="auto"/>
              <w:rPr>
                <w:rStyle w:val="xnormaltextrun"/>
                <w:i/>
                <w:iCs/>
                <w:color w:val="000000"/>
                <w:shd w:val="clear" w:color="auto" w:fill="FFFFFF"/>
                <w:lang w:eastAsia="en-US"/>
              </w:rPr>
            </w:pPr>
          </w:p>
          <w:p w14:paraId="0CBCB8A8" w14:textId="77777777" w:rsidR="00012BA7" w:rsidRPr="00C56D6E" w:rsidRDefault="0046215A" w:rsidP="00C56D6E">
            <w:pPr>
              <w:spacing w:after="0" w:line="240" w:lineRule="auto"/>
              <w:rPr>
                <w:rFonts w:cstheme="minorHAnsi"/>
              </w:rPr>
            </w:pPr>
            <w:r w:rsidRPr="00C56D6E">
              <w:rPr>
                <w:rFonts w:cstheme="minorHAnsi"/>
              </w:rPr>
              <w:t xml:space="preserve">A classroom culture is being promoted that is inclusive and anti-racist, and that sets standards of behaviour for positive and respectful interactions. The lectures create a supportive learning environment for all, and a curriculum that is engaging for students from all backgrounds. Racism, discrimination and micro-aggressions are not tolerated. </w:t>
            </w:r>
          </w:p>
          <w:p w14:paraId="3F04BB5B" w14:textId="77777777" w:rsidR="006B3CA7" w:rsidRDefault="006B3CA7">
            <w:pPr>
              <w:pStyle w:val="xmsonormal"/>
              <w:spacing w:line="256" w:lineRule="auto"/>
              <w:rPr>
                <w:rStyle w:val="xnormaltextrun"/>
                <w:i/>
                <w:iCs/>
                <w:color w:val="000000"/>
                <w:shd w:val="clear" w:color="auto" w:fill="FFFFFF"/>
                <w:lang w:eastAsia="en-US"/>
              </w:rPr>
            </w:pPr>
          </w:p>
          <w:p w14:paraId="33945FFC" w14:textId="77777777" w:rsidR="006B3CA7" w:rsidRDefault="006B3CA7">
            <w:pPr>
              <w:pStyle w:val="xmsonormal"/>
              <w:spacing w:line="256" w:lineRule="auto"/>
              <w:rPr>
                <w:rStyle w:val="xnormaltextrun"/>
                <w:rFonts w:ascii="Calibri" w:hAnsi="Calibri" w:cs="Calibri"/>
                <w:i/>
                <w:iCs/>
                <w:color w:val="000000"/>
                <w:sz w:val="22"/>
                <w:szCs w:val="22"/>
                <w:shd w:val="clear" w:color="auto" w:fill="FFFFFF"/>
                <w:lang w:eastAsia="en-US"/>
              </w:rPr>
            </w:pPr>
          </w:p>
        </w:tc>
      </w:tr>
    </w:tbl>
    <w:p w14:paraId="69E44DD8" w14:textId="77777777" w:rsidR="006B3CA7" w:rsidRDefault="006B3CA7" w:rsidP="006B3CA7">
      <w:pPr>
        <w:pStyle w:val="xmsonormal"/>
        <w:ind w:left="567"/>
        <w:rPr>
          <w:rStyle w:val="xnormaltextrun"/>
          <w:rFonts w:ascii="Calibri" w:hAnsi="Calibri" w:cs="Calibri"/>
          <w:i/>
          <w:iCs/>
          <w:color w:val="000000"/>
          <w:sz w:val="22"/>
          <w:szCs w:val="22"/>
          <w:shd w:val="clear" w:color="auto" w:fill="FFFFFF"/>
        </w:rPr>
      </w:pPr>
    </w:p>
    <w:p w14:paraId="768B36D9" w14:textId="77777777" w:rsidR="006B3CA7" w:rsidRDefault="006B3CA7" w:rsidP="006B3CA7">
      <w:pPr>
        <w:pStyle w:val="xmsonormal"/>
        <w:ind w:left="567"/>
        <w:rPr>
          <w:rStyle w:val="xeop"/>
        </w:rPr>
      </w:pPr>
      <w:r>
        <w:rPr>
          <w:rStyle w:val="xeop"/>
          <w:rFonts w:ascii="Calibri" w:hAnsi="Calibri" w:cs="Calibri"/>
          <w:i/>
          <w:iCs/>
          <w:color w:val="000000"/>
          <w:sz w:val="22"/>
          <w:szCs w:val="22"/>
          <w:shd w:val="clear" w:color="auto" w:fill="FFFFFF"/>
        </w:rPr>
        <w:t>Please indicate by ticking the box(es) below, which specific aspect of SR your module is linked to:</w:t>
      </w:r>
    </w:p>
    <w:p w14:paraId="55C42BCD" w14:textId="77777777" w:rsidR="006B3CA7" w:rsidRDefault="006B3CA7" w:rsidP="006B3CA7">
      <w:pPr>
        <w:pStyle w:val="xmsonormal"/>
        <w:ind w:left="567"/>
        <w:rPr>
          <w:rStyle w:val="xeop"/>
          <w:rFonts w:ascii="Calibri" w:hAnsi="Calibri" w:cs="Calibri"/>
          <w:i/>
          <w:iCs/>
          <w:color w:val="000000"/>
          <w:sz w:val="22"/>
          <w:szCs w:val="22"/>
          <w:shd w:val="clear" w:color="auto" w:fill="FFFFFF"/>
        </w:rPr>
      </w:pPr>
    </w:p>
    <w:tbl>
      <w:tblPr>
        <w:tblW w:w="0" w:type="auto"/>
        <w:tblInd w:w="567" w:type="dxa"/>
        <w:tblCellMar>
          <w:left w:w="0" w:type="dxa"/>
          <w:right w:w="0" w:type="dxa"/>
        </w:tblCellMar>
        <w:tblLook w:val="04A0" w:firstRow="1" w:lastRow="0" w:firstColumn="1" w:lastColumn="0" w:noHBand="0" w:noVBand="1"/>
      </w:tblPr>
      <w:tblGrid>
        <w:gridCol w:w="421"/>
        <w:gridCol w:w="3966"/>
        <w:gridCol w:w="286"/>
        <w:gridCol w:w="3776"/>
      </w:tblGrid>
      <w:tr w:rsidR="006B3CA7" w14:paraId="7D859463" w14:textId="77777777" w:rsidTr="006B3CA7">
        <w:tc>
          <w:tcPr>
            <w:tcW w:w="42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1D132CF" w14:textId="77777777" w:rsidR="006B3CA7" w:rsidRDefault="0046215A">
            <w:pPr>
              <w:pStyle w:val="xmsonormal"/>
              <w:spacing w:line="256" w:lineRule="auto"/>
              <w:rPr>
                <w:rStyle w:val="xeop"/>
                <w:rFonts w:ascii="Calibri" w:hAnsi="Calibri" w:cs="Calibri"/>
                <w:i/>
                <w:iCs/>
                <w:color w:val="000000"/>
                <w:sz w:val="22"/>
                <w:szCs w:val="22"/>
                <w:shd w:val="clear" w:color="auto" w:fill="FFFFFF"/>
                <w:lang w:eastAsia="en-US"/>
              </w:rPr>
            </w:pPr>
            <w:r>
              <w:rPr>
                <w:rStyle w:val="xeop"/>
                <w:rFonts w:ascii="Calibri" w:hAnsi="Calibri" w:cs="Calibri"/>
                <w:i/>
                <w:iCs/>
                <w:color w:val="000000"/>
                <w:sz w:val="22"/>
                <w:szCs w:val="22"/>
                <w:shd w:val="clear" w:color="auto" w:fill="FFFFFF"/>
                <w:lang w:eastAsia="en-US"/>
              </w:rPr>
              <w:t>X</w:t>
            </w:r>
          </w:p>
        </w:tc>
        <w:tc>
          <w:tcPr>
            <w:tcW w:w="3966" w:type="dxa"/>
            <w:tcBorders>
              <w:top w:val="nil"/>
              <w:left w:val="nil"/>
              <w:bottom w:val="nil"/>
              <w:right w:val="single" w:sz="8" w:space="0" w:color="auto"/>
            </w:tcBorders>
            <w:tcMar>
              <w:top w:w="0" w:type="dxa"/>
              <w:left w:w="108" w:type="dxa"/>
              <w:bottom w:w="0" w:type="dxa"/>
              <w:right w:w="108" w:type="dxa"/>
            </w:tcMar>
            <w:hideMark/>
          </w:tcPr>
          <w:p w14:paraId="31971926"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r>
              <w:rPr>
                <w:rStyle w:val="xeop"/>
                <w:rFonts w:ascii="Calibri" w:hAnsi="Calibri" w:cs="Calibri"/>
                <w:color w:val="000000"/>
                <w:sz w:val="22"/>
                <w:szCs w:val="22"/>
                <w:shd w:val="clear" w:color="auto" w:fill="FFFFFF"/>
                <w:lang w:eastAsia="en-US"/>
              </w:rPr>
              <w:t>A UN SDGs*</w:t>
            </w:r>
          </w:p>
        </w:tc>
        <w:tc>
          <w:tcPr>
            <w:tcW w:w="28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CAC9A81"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c>
          <w:tcPr>
            <w:tcW w:w="3776" w:type="dxa"/>
            <w:tcMar>
              <w:top w:w="0" w:type="dxa"/>
              <w:left w:w="108" w:type="dxa"/>
              <w:bottom w:w="0" w:type="dxa"/>
              <w:right w:w="108" w:type="dxa"/>
            </w:tcMar>
            <w:hideMark/>
          </w:tcPr>
          <w:p w14:paraId="54AFF638"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r>
              <w:rPr>
                <w:rStyle w:val="xeop"/>
                <w:rFonts w:ascii="Calibri" w:hAnsi="Calibri" w:cs="Calibri"/>
                <w:color w:val="000000"/>
                <w:sz w:val="22"/>
                <w:szCs w:val="22"/>
                <w:shd w:val="clear" w:color="auto" w:fill="FFFFFF"/>
                <w:lang w:eastAsia="en-US"/>
              </w:rPr>
              <w:t>Environmental Sustainability</w:t>
            </w:r>
          </w:p>
        </w:tc>
      </w:tr>
      <w:tr w:rsidR="006B3CA7" w14:paraId="64BF82A6" w14:textId="77777777" w:rsidTr="006B3CA7">
        <w:tc>
          <w:tcPr>
            <w:tcW w:w="421" w:type="dxa"/>
            <w:tcBorders>
              <w:top w:val="nil"/>
              <w:left w:val="nil"/>
              <w:bottom w:val="single" w:sz="8" w:space="0" w:color="auto"/>
              <w:right w:val="nil"/>
            </w:tcBorders>
            <w:tcMar>
              <w:top w:w="0" w:type="dxa"/>
              <w:left w:w="108" w:type="dxa"/>
              <w:bottom w:w="0" w:type="dxa"/>
              <w:right w:w="108" w:type="dxa"/>
            </w:tcMar>
          </w:tcPr>
          <w:p w14:paraId="089A9633"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c>
          <w:tcPr>
            <w:tcW w:w="3966" w:type="dxa"/>
            <w:tcMar>
              <w:top w:w="0" w:type="dxa"/>
              <w:left w:w="108" w:type="dxa"/>
              <w:bottom w:w="0" w:type="dxa"/>
              <w:right w:w="108" w:type="dxa"/>
            </w:tcMar>
          </w:tcPr>
          <w:p w14:paraId="2D80DC4C"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p>
        </w:tc>
        <w:tc>
          <w:tcPr>
            <w:tcW w:w="286" w:type="dxa"/>
            <w:tcMar>
              <w:top w:w="0" w:type="dxa"/>
              <w:left w:w="108" w:type="dxa"/>
              <w:bottom w:w="0" w:type="dxa"/>
              <w:right w:w="108" w:type="dxa"/>
            </w:tcMar>
          </w:tcPr>
          <w:p w14:paraId="43902B2C"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c>
          <w:tcPr>
            <w:tcW w:w="3776" w:type="dxa"/>
            <w:tcMar>
              <w:top w:w="0" w:type="dxa"/>
              <w:left w:w="108" w:type="dxa"/>
              <w:bottom w:w="0" w:type="dxa"/>
              <w:right w:w="108" w:type="dxa"/>
            </w:tcMar>
          </w:tcPr>
          <w:p w14:paraId="0CD50F7A"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p>
        </w:tc>
      </w:tr>
      <w:tr w:rsidR="006B3CA7" w14:paraId="44769A12" w14:textId="77777777" w:rsidTr="006B3CA7">
        <w:tc>
          <w:tcPr>
            <w:tcW w:w="4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2041783"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c>
          <w:tcPr>
            <w:tcW w:w="3966" w:type="dxa"/>
            <w:tcMar>
              <w:top w:w="0" w:type="dxa"/>
              <w:left w:w="108" w:type="dxa"/>
              <w:bottom w:w="0" w:type="dxa"/>
              <w:right w:w="108" w:type="dxa"/>
            </w:tcMar>
            <w:hideMark/>
          </w:tcPr>
          <w:p w14:paraId="1206C413"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r>
              <w:rPr>
                <w:rStyle w:val="xeop"/>
                <w:rFonts w:ascii="Calibri" w:hAnsi="Calibri" w:cs="Calibri"/>
                <w:color w:val="000000"/>
                <w:sz w:val="22"/>
                <w:szCs w:val="22"/>
                <w:shd w:val="clear" w:color="auto" w:fill="FFFFFF"/>
                <w:lang w:eastAsia="en-US"/>
              </w:rPr>
              <w:t>Other (please specify)</w:t>
            </w:r>
          </w:p>
        </w:tc>
        <w:tc>
          <w:tcPr>
            <w:tcW w:w="286" w:type="dxa"/>
            <w:tcMar>
              <w:top w:w="0" w:type="dxa"/>
              <w:left w:w="108" w:type="dxa"/>
              <w:bottom w:w="0" w:type="dxa"/>
              <w:right w:w="108" w:type="dxa"/>
            </w:tcMar>
          </w:tcPr>
          <w:p w14:paraId="289CCB52"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c>
          <w:tcPr>
            <w:tcW w:w="3776" w:type="dxa"/>
            <w:tcMar>
              <w:top w:w="0" w:type="dxa"/>
              <w:left w:w="108" w:type="dxa"/>
              <w:bottom w:w="0" w:type="dxa"/>
              <w:right w:w="108" w:type="dxa"/>
            </w:tcMar>
          </w:tcPr>
          <w:p w14:paraId="2230C808"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p>
        </w:tc>
      </w:tr>
    </w:tbl>
    <w:p w14:paraId="1501831A" w14:textId="77777777" w:rsidR="006B3CA7" w:rsidRDefault="006B3CA7" w:rsidP="006B3CA7">
      <w:pPr>
        <w:pStyle w:val="xmsonormal"/>
        <w:ind w:left="567"/>
        <w:rPr>
          <w:rStyle w:val="xeop"/>
          <w:rFonts w:ascii="Calibri" w:hAnsi="Calibri" w:cs="Calibri"/>
          <w:i/>
          <w:iCs/>
          <w:color w:val="000000"/>
          <w:sz w:val="22"/>
          <w:szCs w:val="22"/>
          <w:shd w:val="clear" w:color="auto" w:fill="FFFFFF"/>
        </w:rPr>
      </w:pPr>
    </w:p>
    <w:tbl>
      <w:tblPr>
        <w:tblW w:w="0" w:type="auto"/>
        <w:tblInd w:w="-152" w:type="dxa"/>
        <w:tblCellMar>
          <w:left w:w="0" w:type="dxa"/>
          <w:right w:w="0" w:type="dxa"/>
        </w:tblCellMar>
        <w:tblLook w:val="04A0" w:firstRow="1" w:lastRow="0" w:firstColumn="1" w:lastColumn="0" w:noHBand="0" w:noVBand="1"/>
      </w:tblPr>
      <w:tblGrid>
        <w:gridCol w:w="9640"/>
      </w:tblGrid>
      <w:tr w:rsidR="006B3CA7" w14:paraId="40A5A810" w14:textId="77777777" w:rsidTr="006B3CA7">
        <w:tc>
          <w:tcPr>
            <w:tcW w:w="96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60F38C2"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p w14:paraId="41017325" w14:textId="77777777" w:rsidR="006B3CA7" w:rsidRPr="00870DF8" w:rsidRDefault="0046215A">
            <w:pPr>
              <w:pStyle w:val="xmsonormal"/>
              <w:spacing w:line="256" w:lineRule="auto"/>
              <w:rPr>
                <w:rStyle w:val="xeop"/>
                <w:color w:val="000000"/>
                <w:shd w:val="clear" w:color="auto" w:fill="FFFFFF"/>
                <w:lang w:eastAsia="en-US"/>
              </w:rPr>
            </w:pPr>
            <w:r w:rsidRPr="00870DF8">
              <w:rPr>
                <w:rStyle w:val="xeop"/>
                <w:color w:val="000000"/>
                <w:shd w:val="clear" w:color="auto" w:fill="FFFFFF"/>
                <w:lang w:eastAsia="en-US"/>
              </w:rPr>
              <w:t>Goals 5 and 8.</w:t>
            </w:r>
          </w:p>
          <w:p w14:paraId="6FAB3844" w14:textId="77777777" w:rsidR="006B3CA7" w:rsidRDefault="006B3CA7">
            <w:pPr>
              <w:pStyle w:val="xmsonormal"/>
              <w:spacing w:line="256" w:lineRule="auto"/>
              <w:rPr>
                <w:rStyle w:val="xeop"/>
                <w:i/>
                <w:iCs/>
                <w:color w:val="000000"/>
                <w:shd w:val="clear" w:color="auto" w:fill="FFFFFF"/>
                <w:lang w:eastAsia="en-US"/>
              </w:rPr>
            </w:pPr>
          </w:p>
          <w:p w14:paraId="169A8324"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r>
    </w:tbl>
    <w:p w14:paraId="2E2D3931" w14:textId="77777777" w:rsidR="006B3CA7" w:rsidRDefault="006B3CA7" w:rsidP="006B3CA7">
      <w:pPr>
        <w:pStyle w:val="xmsonormal"/>
        <w:rPr>
          <w:rStyle w:val="xeop"/>
          <w:rFonts w:ascii="Calibri" w:hAnsi="Calibri" w:cs="Calibri"/>
          <w:i/>
          <w:iCs/>
          <w:color w:val="000000"/>
          <w:sz w:val="22"/>
          <w:szCs w:val="22"/>
          <w:shd w:val="clear" w:color="auto" w:fill="FFFFFF"/>
        </w:rPr>
      </w:pPr>
    </w:p>
    <w:p w14:paraId="17F7DC4D" w14:textId="77777777" w:rsidR="006B3CA7" w:rsidRDefault="006B3CA7" w:rsidP="006B3CA7">
      <w:pPr>
        <w:pStyle w:val="xmsonormal"/>
      </w:pPr>
      <w:r>
        <w:rPr>
          <w:rStyle w:val="xeop"/>
          <w:rFonts w:ascii="Calibri" w:hAnsi="Calibri" w:cs="Calibri"/>
          <w:i/>
          <w:iCs/>
          <w:color w:val="000000"/>
          <w:sz w:val="22"/>
          <w:szCs w:val="22"/>
          <w:shd w:val="clear" w:color="auto" w:fill="FFFFFF"/>
        </w:rPr>
        <w:t xml:space="preserve">* If a UN SDG, please note which one by reviewing the list </w:t>
      </w:r>
      <w:hyperlink r:id="rId9" w:history="1">
        <w:r>
          <w:rPr>
            <w:rStyle w:val="Hyperlink"/>
            <w:rFonts w:ascii="Calibri" w:hAnsi="Calibri" w:cs="Calibri"/>
            <w:i/>
            <w:iCs/>
            <w:sz w:val="22"/>
            <w:szCs w:val="22"/>
            <w:shd w:val="clear" w:color="auto" w:fill="FFFFFF"/>
          </w:rPr>
          <w:t>here</w:t>
        </w:r>
      </w:hyperlink>
      <w:r>
        <w:rPr>
          <w:rStyle w:val="xeop"/>
          <w:rFonts w:ascii="Calibri" w:hAnsi="Calibri" w:cs="Calibri"/>
          <w:i/>
          <w:iCs/>
          <w:color w:val="000000"/>
          <w:sz w:val="22"/>
          <w:szCs w:val="22"/>
          <w:shd w:val="clear" w:color="auto" w:fill="FFFFFF"/>
        </w:rPr>
        <w:t xml:space="preserve"> </w:t>
      </w:r>
    </w:p>
    <w:p w14:paraId="1ACB4519" w14:textId="77777777" w:rsidR="006B3CA7" w:rsidRDefault="006B3CA7" w:rsidP="006B3CA7">
      <w:pPr>
        <w:pStyle w:val="xmsonormal"/>
      </w:pPr>
    </w:p>
    <w:p w14:paraId="0326A2BB" w14:textId="77777777" w:rsidR="006B3CA7" w:rsidRPr="006B3CA7" w:rsidRDefault="006B3CA7" w:rsidP="006B3CA7">
      <w:pPr>
        <w:pStyle w:val="xmsonormal"/>
        <w:rPr>
          <w:rStyle w:val="xeop"/>
        </w:rPr>
      </w:pPr>
      <w:r>
        <w:rPr>
          <w:rStyle w:val="xeop"/>
          <w:rFonts w:ascii="Calibri" w:hAnsi="Calibri" w:cs="Calibri"/>
          <w:i/>
          <w:iCs/>
          <w:color w:val="000000"/>
          <w:sz w:val="22"/>
          <w:szCs w:val="22"/>
          <w:shd w:val="clear" w:color="auto" w:fill="FFFFFF"/>
        </w:rPr>
        <w:t>For additional support on how embed SR into your module, please review the resources here:</w:t>
      </w:r>
    </w:p>
    <w:p w14:paraId="7C3DA0D1" w14:textId="77777777" w:rsidR="006B3CA7" w:rsidRDefault="006B3CA7" w:rsidP="006B3CA7">
      <w:pPr>
        <w:pStyle w:val="xmsonormal"/>
      </w:pPr>
      <w:hyperlink r:id="rId10" w:history="1">
        <w:r w:rsidRPr="00CB7A1D">
          <w:rPr>
            <w:rStyle w:val="Hyperlink"/>
            <w:rFonts w:ascii="Calibri" w:hAnsi="Calibri" w:cs="Calibri"/>
            <w:i/>
            <w:iCs/>
            <w:sz w:val="22"/>
            <w:szCs w:val="22"/>
          </w:rPr>
          <w:t>https://documents.manchester.ac.uk/DocuInfo.aspx?DocID=51837</w:t>
        </w:r>
      </w:hyperlink>
    </w:p>
    <w:p w14:paraId="634F7DAB" w14:textId="77777777" w:rsidR="006B3CA7" w:rsidRDefault="006B3CA7" w:rsidP="006B3CA7">
      <w:pPr>
        <w:pStyle w:val="xmsonormal"/>
        <w:rPr>
          <w:rFonts w:ascii="Calibri" w:hAnsi="Calibri" w:cs="Calibri"/>
          <w:i/>
          <w:iCs/>
          <w:sz w:val="22"/>
          <w:szCs w:val="22"/>
        </w:rPr>
      </w:pPr>
      <w:hyperlink r:id="rId11" w:history="1">
        <w:r w:rsidRPr="00CB7A1D">
          <w:rPr>
            <w:rStyle w:val="Hyperlink"/>
            <w:rFonts w:ascii="Calibri" w:hAnsi="Calibri" w:cs="Calibri"/>
            <w:i/>
            <w:iCs/>
            <w:sz w:val="22"/>
            <w:szCs w:val="22"/>
          </w:rPr>
          <w:t>https://documents.manchester.ac.uk/DocuInfo.aspx?DocID=47017</w:t>
        </w:r>
      </w:hyperlink>
    </w:p>
    <w:p w14:paraId="7B94F0BE" w14:textId="77777777" w:rsidR="009526CA" w:rsidRPr="00290A4D" w:rsidRDefault="009526CA" w:rsidP="00D42AA1">
      <w:pPr>
        <w:spacing w:after="0" w:line="240" w:lineRule="auto"/>
        <w:ind w:left="-142" w:right="-188"/>
        <w:rPr>
          <w:rFonts w:ascii="Arial" w:hAnsi="Arial" w:cs="Arial"/>
          <w:b/>
          <w:color w:val="FF0000"/>
          <w:sz w:val="24"/>
          <w:szCs w:val="24"/>
        </w:rPr>
      </w:pPr>
    </w:p>
    <w:sectPr w:rsidR="009526CA" w:rsidRPr="00290A4D" w:rsidSect="00D42AA1">
      <w:headerReference w:type="default" r:id="rId12"/>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7C9946" w14:textId="77777777" w:rsidR="0046215A" w:rsidRDefault="0046215A" w:rsidP="00A678DF">
      <w:pPr>
        <w:spacing w:after="0" w:line="240" w:lineRule="auto"/>
      </w:pPr>
      <w:r>
        <w:separator/>
      </w:r>
    </w:p>
  </w:endnote>
  <w:endnote w:type="continuationSeparator" w:id="0">
    <w:p w14:paraId="2B839F5D" w14:textId="77777777" w:rsidR="0046215A" w:rsidRDefault="0046215A" w:rsidP="00A678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7DB4E" w14:textId="77777777" w:rsidR="0046215A" w:rsidRDefault="0046215A" w:rsidP="00A678DF">
      <w:pPr>
        <w:spacing w:after="0" w:line="240" w:lineRule="auto"/>
      </w:pPr>
      <w:r>
        <w:separator/>
      </w:r>
    </w:p>
  </w:footnote>
  <w:footnote w:type="continuationSeparator" w:id="0">
    <w:p w14:paraId="56E13D46" w14:textId="77777777" w:rsidR="0046215A" w:rsidRDefault="0046215A" w:rsidP="00A678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5A876" w14:textId="77777777" w:rsidR="00A678DF" w:rsidRDefault="00A678DF" w:rsidP="00A678DF">
    <w:pPr>
      <w:pStyle w:val="Header"/>
      <w:jc w:val="center"/>
      <w:rPr>
        <w:rFonts w:ascii="Arial" w:hAnsi="Arial" w:cs="Arial"/>
        <w:b/>
      </w:rPr>
    </w:pPr>
    <w:r>
      <w:rPr>
        <w:rFonts w:ascii="Arial" w:hAnsi="Arial" w:cs="Arial"/>
        <w:b/>
      </w:rPr>
      <w:t>Alliance Manchester Business School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127A99"/>
    <w:multiLevelType w:val="hybridMultilevel"/>
    <w:tmpl w:val="0A8278F6"/>
    <w:lvl w:ilvl="0" w:tplc="08090003">
      <w:start w:val="1"/>
      <w:numFmt w:val="bullet"/>
      <w:lvlText w:val="o"/>
      <w:lvlJc w:val="left"/>
      <w:pPr>
        <w:tabs>
          <w:tab w:val="num" w:pos="900"/>
        </w:tabs>
        <w:ind w:left="900" w:hanging="360"/>
      </w:pPr>
      <w:rPr>
        <w:rFonts w:ascii="Courier New" w:hAnsi="Courier New" w:cs="Courier New"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52D1D0A"/>
    <w:multiLevelType w:val="hybridMultilevel"/>
    <w:tmpl w:val="84D2DBF8"/>
    <w:lvl w:ilvl="0" w:tplc="08090003">
      <w:start w:val="1"/>
      <w:numFmt w:val="bullet"/>
      <w:lvlText w:val="o"/>
      <w:lvlJc w:val="left"/>
      <w:pPr>
        <w:ind w:left="1260" w:hanging="360"/>
      </w:pPr>
      <w:rPr>
        <w:rFonts w:ascii="Courier New" w:hAnsi="Courier New" w:cs="Courier New"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num w:numId="1" w16cid:durableId="259876957">
    <w:abstractNumId w:val="0"/>
  </w:num>
  <w:num w:numId="2" w16cid:durableId="19765214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5B92B7C6-1553-4946-90EF-C9EE88295567}"/>
    <w:docVar w:name="dgnword-eventsink" w:val="365615440"/>
  </w:docVars>
  <w:rsids>
    <w:rsidRoot w:val="00A678DF"/>
    <w:rsid w:val="00002873"/>
    <w:rsid w:val="00003E4A"/>
    <w:rsid w:val="00012BA7"/>
    <w:rsid w:val="000203DC"/>
    <w:rsid w:val="000C56BC"/>
    <w:rsid w:val="00170F5F"/>
    <w:rsid w:val="00182A9E"/>
    <w:rsid w:val="00290A4D"/>
    <w:rsid w:val="002F7643"/>
    <w:rsid w:val="00303944"/>
    <w:rsid w:val="00321570"/>
    <w:rsid w:val="00345BBB"/>
    <w:rsid w:val="00347F27"/>
    <w:rsid w:val="00396F3E"/>
    <w:rsid w:val="003E0908"/>
    <w:rsid w:val="004003EA"/>
    <w:rsid w:val="00411312"/>
    <w:rsid w:val="004274AD"/>
    <w:rsid w:val="004606E5"/>
    <w:rsid w:val="0046215A"/>
    <w:rsid w:val="004B1E88"/>
    <w:rsid w:val="004E40BC"/>
    <w:rsid w:val="00536D49"/>
    <w:rsid w:val="0056006D"/>
    <w:rsid w:val="00591BAF"/>
    <w:rsid w:val="005E3754"/>
    <w:rsid w:val="005F4728"/>
    <w:rsid w:val="00622D16"/>
    <w:rsid w:val="0063304D"/>
    <w:rsid w:val="00691399"/>
    <w:rsid w:val="006A15A6"/>
    <w:rsid w:val="006B2ECC"/>
    <w:rsid w:val="006B3CA7"/>
    <w:rsid w:val="007420AC"/>
    <w:rsid w:val="007845BC"/>
    <w:rsid w:val="0079253C"/>
    <w:rsid w:val="00792B48"/>
    <w:rsid w:val="007E0046"/>
    <w:rsid w:val="00892816"/>
    <w:rsid w:val="008B64AE"/>
    <w:rsid w:val="009526CA"/>
    <w:rsid w:val="00953C17"/>
    <w:rsid w:val="009961C2"/>
    <w:rsid w:val="009A0B09"/>
    <w:rsid w:val="009A2688"/>
    <w:rsid w:val="00A20E6F"/>
    <w:rsid w:val="00A25907"/>
    <w:rsid w:val="00A678DF"/>
    <w:rsid w:val="00AA2E20"/>
    <w:rsid w:val="00B274A6"/>
    <w:rsid w:val="00B46E87"/>
    <w:rsid w:val="00B76C82"/>
    <w:rsid w:val="00BC3155"/>
    <w:rsid w:val="00BC4684"/>
    <w:rsid w:val="00BF508C"/>
    <w:rsid w:val="00C259D3"/>
    <w:rsid w:val="00C7344D"/>
    <w:rsid w:val="00CF3EFD"/>
    <w:rsid w:val="00D06240"/>
    <w:rsid w:val="00D42AA1"/>
    <w:rsid w:val="00D52A0A"/>
    <w:rsid w:val="00D57CBE"/>
    <w:rsid w:val="00D6628D"/>
    <w:rsid w:val="00D82EBC"/>
    <w:rsid w:val="00DB20B8"/>
    <w:rsid w:val="00E33D77"/>
    <w:rsid w:val="00E81180"/>
    <w:rsid w:val="00EB7A93"/>
    <w:rsid w:val="00EE5F83"/>
    <w:rsid w:val="00F429F4"/>
    <w:rsid w:val="00F4748B"/>
    <w:rsid w:val="00F57768"/>
    <w:rsid w:val="00F9494A"/>
    <w:rsid w:val="00FA5CDA"/>
    <w:rsid w:val="00FB0C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50051"/>
  <w15:docId w15:val="{B0443118-E4E4-4619-AC55-37B555557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78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78DF"/>
  </w:style>
  <w:style w:type="paragraph" w:styleId="Footer">
    <w:name w:val="footer"/>
    <w:basedOn w:val="Normal"/>
    <w:link w:val="FooterChar"/>
    <w:uiPriority w:val="99"/>
    <w:unhideWhenUsed/>
    <w:rsid w:val="00A678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78DF"/>
  </w:style>
  <w:style w:type="table" w:styleId="TableGrid">
    <w:name w:val="Table Grid"/>
    <w:basedOn w:val="TableNormal"/>
    <w:uiPriority w:val="59"/>
    <w:rsid w:val="004003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2F7643"/>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B3CA7"/>
    <w:rPr>
      <w:color w:val="0563C1"/>
      <w:u w:val="single"/>
    </w:rPr>
  </w:style>
  <w:style w:type="paragraph" w:customStyle="1" w:styleId="xmsonormal">
    <w:name w:val="x_msonormal"/>
    <w:basedOn w:val="Normal"/>
    <w:uiPriority w:val="99"/>
    <w:rsid w:val="006B3CA7"/>
    <w:pPr>
      <w:spacing w:after="0" w:line="240" w:lineRule="auto"/>
    </w:pPr>
    <w:rPr>
      <w:rFonts w:ascii="Times New Roman" w:hAnsi="Times New Roman" w:cs="Times New Roman"/>
      <w:sz w:val="24"/>
      <w:szCs w:val="24"/>
      <w:lang w:eastAsia="en-GB"/>
    </w:rPr>
  </w:style>
  <w:style w:type="character" w:customStyle="1" w:styleId="xnormaltextrun">
    <w:name w:val="x_normaltextrun"/>
    <w:basedOn w:val="DefaultParagraphFont"/>
    <w:rsid w:val="006B3CA7"/>
  </w:style>
  <w:style w:type="character" w:customStyle="1" w:styleId="xeop">
    <w:name w:val="x_eop"/>
    <w:basedOn w:val="DefaultParagraphFont"/>
    <w:rsid w:val="006B3CA7"/>
  </w:style>
  <w:style w:type="character" w:customStyle="1" w:styleId="UnresolvedMention1">
    <w:name w:val="Unresolved Mention1"/>
    <w:basedOn w:val="DefaultParagraphFont"/>
    <w:uiPriority w:val="99"/>
    <w:semiHidden/>
    <w:unhideWhenUsed/>
    <w:rsid w:val="006B3CA7"/>
    <w:rPr>
      <w:color w:val="605E5C"/>
      <w:shd w:val="clear" w:color="auto" w:fill="E1DFDD"/>
    </w:rPr>
  </w:style>
  <w:style w:type="paragraph" w:styleId="ListParagraph">
    <w:name w:val="List Paragraph"/>
    <w:basedOn w:val="Normal"/>
    <w:uiPriority w:val="34"/>
    <w:qFormat/>
    <w:rsid w:val="000028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400503">
      <w:bodyDiv w:val="1"/>
      <w:marLeft w:val="0"/>
      <w:marRight w:val="0"/>
      <w:marTop w:val="0"/>
      <w:marBottom w:val="0"/>
      <w:divBdr>
        <w:top w:val="none" w:sz="0" w:space="0" w:color="auto"/>
        <w:left w:val="none" w:sz="0" w:space="0" w:color="auto"/>
        <w:bottom w:val="none" w:sz="0" w:space="0" w:color="auto"/>
        <w:right w:val="none" w:sz="0" w:space="0" w:color="auto"/>
      </w:divBdr>
    </w:div>
    <w:div w:id="1734961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n.org/sustainabledevelopment/sustainable-development-goal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uments.manchester.ac.uk/DocuInfo.aspx?DocID=47017" TargetMode="External"/><Relationship Id="rId5" Type="http://schemas.openxmlformats.org/officeDocument/2006/relationships/webSettings" Target="webSettings.xml"/><Relationship Id="rId10" Type="http://schemas.openxmlformats.org/officeDocument/2006/relationships/hyperlink" Target="https://documents.manchester.ac.uk/DocuInfo.aspx?DocID=51837" TargetMode="External"/><Relationship Id="rId4" Type="http://schemas.openxmlformats.org/officeDocument/2006/relationships/settings" Target="settings.xml"/><Relationship Id="rId9" Type="http://schemas.openxmlformats.org/officeDocument/2006/relationships/hyperlink" Target="https://www.un.org/sustainabledevelopment/sustainable-development-goal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EEE616-AFFB-4052-B7D1-22FE56638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2654</Words>
  <Characters>15824</Characters>
  <Application>Microsoft Office Word</Application>
  <DocSecurity>4</DocSecurity>
  <Lines>565</Lines>
  <Paragraphs>335</Paragraphs>
  <ScaleCrop>false</ScaleCrop>
  <HeadingPairs>
    <vt:vector size="2" baseType="variant">
      <vt:variant>
        <vt:lpstr>Title</vt:lpstr>
      </vt:variant>
      <vt:variant>
        <vt:i4>1</vt:i4>
      </vt:variant>
    </vt:vector>
  </HeadingPairs>
  <TitlesOfParts>
    <vt:vector size="1" baseType="lpstr">
      <vt:lpstr/>
    </vt:vector>
  </TitlesOfParts>
  <Company>University of Manchester</Company>
  <LinksUpToDate>false</LinksUpToDate>
  <CharactersWithSpaces>18143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Madeleine Ryan</dc:creator>
  <cp:lastModifiedBy>Lynne Barlow-cheetham</cp:lastModifiedBy>
  <cp:revision>2</cp:revision>
  <dcterms:created xsi:type="dcterms:W3CDTF">2026-07-17T13:46:00Z</dcterms:created>
  <dcterms:modified xsi:type="dcterms:W3CDTF">2026-07-17T13:46:00Z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5bb4d1d5-b868-4d71-ac75-f49bc2dc1f80</vt:lpwstr>
  </property>
</Properties>
</file>