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08" w:rsidRPr="00410E01" w:rsidRDefault="000B6F7A" w:rsidP="000B6F7A">
      <w:pPr>
        <w:jc w:val="center"/>
        <w:rPr>
          <w:b/>
        </w:rPr>
      </w:pPr>
      <w:r w:rsidRPr="00410E01">
        <w:rPr>
          <w:b/>
        </w:rPr>
        <w:t>Terms and Conditions</w:t>
      </w:r>
      <w:r w:rsidR="00C87DC5" w:rsidRPr="00410E01">
        <w:rPr>
          <w:b/>
        </w:rPr>
        <w:t xml:space="preserve"> for </w:t>
      </w:r>
      <w:r w:rsidR="00C204E6">
        <w:rPr>
          <w:b/>
        </w:rPr>
        <w:t xml:space="preserve">the </w:t>
      </w:r>
      <w:r w:rsidR="00C204E6" w:rsidRPr="00410E01">
        <w:rPr>
          <w:b/>
        </w:rPr>
        <w:t xml:space="preserve">Initial Teacher Training </w:t>
      </w:r>
      <w:r w:rsidR="002F1CDD">
        <w:rPr>
          <w:b/>
        </w:rPr>
        <w:t>Awards</w:t>
      </w:r>
      <w:r w:rsidR="00C204E6" w:rsidRPr="00410E01">
        <w:rPr>
          <w:b/>
        </w:rPr>
        <w:t xml:space="preserve"> (including scholarships) </w:t>
      </w:r>
      <w:r w:rsidR="00C204E6">
        <w:rPr>
          <w:b/>
        </w:rPr>
        <w:t>2023</w:t>
      </w:r>
    </w:p>
    <w:p w:rsidR="000B6F7A" w:rsidRDefault="00FB499B" w:rsidP="000B6F7A">
      <w:r>
        <w:t xml:space="preserve"> </w:t>
      </w:r>
      <w:r w:rsidR="00CE1D83">
        <w:t xml:space="preserve"> </w:t>
      </w:r>
    </w:p>
    <w:p w:rsidR="000B6F7A" w:rsidRDefault="000B6F7A" w:rsidP="000B6F7A">
      <w:r>
        <w:t xml:space="preserve">Training </w:t>
      </w:r>
      <w:r w:rsidR="002F1CDD">
        <w:t xml:space="preserve">awards </w:t>
      </w:r>
      <w:r>
        <w:t xml:space="preserve">are intended to provide a financial incentive for high quality graduates to enter and also complete the ITT. The training bursary level awarded is dependent on the subject in which a trainee wishes to teach and the grade of their highest academic qualifications. </w:t>
      </w:r>
    </w:p>
    <w:p w:rsidR="000B6F7A" w:rsidRDefault="000B6F7A" w:rsidP="000B6F7A">
      <w:r>
        <w:t>By signing and returning this form</w:t>
      </w:r>
      <w:r w:rsidR="00AD2710">
        <w:t>,</w:t>
      </w:r>
      <w:r>
        <w:t xml:space="preserve"> I confirm that I meet the eligibility criteria specified by the Department for Education set out in its ITT bursaries funding manual (accessible via the link below). In particular, I confirm that: </w:t>
      </w:r>
    </w:p>
    <w:p w:rsidR="00F50AA7" w:rsidRDefault="00F50AA7" w:rsidP="000B6F7A"/>
    <w:p w:rsidR="000B6F7A" w:rsidRDefault="000B6F7A" w:rsidP="000B6F7A">
      <w:pPr>
        <w:pStyle w:val="ListParagraph"/>
        <w:numPr>
          <w:ilvl w:val="0"/>
          <w:numId w:val="1"/>
        </w:numPr>
      </w:pPr>
      <w:r>
        <w:t xml:space="preserve">I am an ‘eligible’ student for the provision of UK student support (as detailed in ITT bursaries funding manual) </w:t>
      </w:r>
    </w:p>
    <w:p w:rsidR="000B6F7A" w:rsidRDefault="000B6F7A" w:rsidP="000B6F7A">
      <w:pPr>
        <w:pStyle w:val="ListParagraph"/>
        <w:numPr>
          <w:ilvl w:val="0"/>
          <w:numId w:val="1"/>
        </w:numPr>
      </w:pPr>
      <w:r>
        <w:t>I hold a UK first degree with a classification of at least second class honours (or equivalent)</w:t>
      </w:r>
    </w:p>
    <w:p w:rsidR="000B6F7A" w:rsidRDefault="000B6F7A" w:rsidP="000B6F7A">
      <w:pPr>
        <w:pStyle w:val="ListParagraph"/>
        <w:numPr>
          <w:ilvl w:val="0"/>
          <w:numId w:val="1"/>
        </w:numPr>
      </w:pPr>
      <w:r>
        <w:t xml:space="preserve">I do not already hold QTS and am not already eligible to receive QTS </w:t>
      </w:r>
    </w:p>
    <w:p w:rsidR="00A317F6" w:rsidRDefault="000B6F7A" w:rsidP="000B6F7A">
      <w:pPr>
        <w:pStyle w:val="ListParagraph"/>
        <w:numPr>
          <w:ilvl w:val="0"/>
          <w:numId w:val="1"/>
        </w:numPr>
      </w:pPr>
      <w:r>
        <w:t xml:space="preserve">I will not be undertaking paid teaching work when receiving the bursary </w:t>
      </w:r>
    </w:p>
    <w:p w:rsidR="00A317F6" w:rsidRDefault="000B6F7A" w:rsidP="000B6F7A">
      <w:pPr>
        <w:pStyle w:val="ListParagraph"/>
        <w:numPr>
          <w:ilvl w:val="0"/>
          <w:numId w:val="1"/>
        </w:numPr>
      </w:pPr>
      <w:r>
        <w:t>I am not simultaneously taking another ITT course, training scheme or programme leading to QTS</w:t>
      </w:r>
      <w:r w:rsidR="009E7399">
        <w:t xml:space="preserve">, or/and </w:t>
      </w:r>
      <w:r w:rsidR="004C166F">
        <w:t xml:space="preserve">have not received a </w:t>
      </w:r>
      <w:r w:rsidR="004C166F" w:rsidRPr="004C166F">
        <w:t>full bursary entitlement during a previous ITT programme</w:t>
      </w:r>
      <w:r w:rsidR="004C166F">
        <w:t xml:space="preserve">. </w:t>
      </w:r>
    </w:p>
    <w:p w:rsidR="00F50AA7" w:rsidRDefault="00F50AA7" w:rsidP="00A317F6"/>
    <w:p w:rsidR="00A317F6" w:rsidRDefault="00F50AA7" w:rsidP="00A317F6">
      <w:r>
        <w:t>I</w:t>
      </w:r>
      <w:r w:rsidR="000B6F7A">
        <w:t xml:space="preserve"> understand that if I am found to be ineligible for payment</w:t>
      </w:r>
      <w:r w:rsidR="00025C29">
        <w:t>,</w:t>
      </w:r>
      <w:r w:rsidR="000B6F7A">
        <w:t xml:space="preserve"> the University will review the payments made and I may be required to repay all or part of the bursary amount. </w:t>
      </w:r>
    </w:p>
    <w:p w:rsidR="000B6F7A" w:rsidRDefault="000B6F7A" w:rsidP="00A317F6">
      <w:r>
        <w:t xml:space="preserve">I agree and understand that in order to receive, and </w:t>
      </w:r>
      <w:bookmarkStart w:id="0" w:name="_GoBack"/>
      <w:bookmarkEnd w:id="0"/>
      <w:r>
        <w:t>continue to receive, the training bursary</w:t>
      </w:r>
      <w:r w:rsidR="00025C29">
        <w:t>,</w:t>
      </w:r>
      <w:r>
        <w:t xml:space="preserve"> I: </w:t>
      </w:r>
    </w:p>
    <w:p w:rsidR="00F50AA7" w:rsidRDefault="00F50AA7" w:rsidP="00A317F6"/>
    <w:p w:rsidR="000B6F7A" w:rsidRDefault="00F50AA7" w:rsidP="000B6F7A">
      <w:pPr>
        <w:pStyle w:val="ListParagraph"/>
        <w:numPr>
          <w:ilvl w:val="0"/>
          <w:numId w:val="2"/>
        </w:numPr>
      </w:pPr>
      <w:r>
        <w:t>m</w:t>
      </w:r>
      <w:r w:rsidR="000B6F7A">
        <w:t xml:space="preserve">ust promptly inform the Student Services Centre (0161 275 5000) of any changes to my bank account and address details </w:t>
      </w:r>
    </w:p>
    <w:p w:rsidR="000B6F7A" w:rsidRDefault="00F50AA7" w:rsidP="000B6F7A">
      <w:pPr>
        <w:pStyle w:val="ListParagraph"/>
        <w:numPr>
          <w:ilvl w:val="0"/>
          <w:numId w:val="2"/>
        </w:numPr>
      </w:pPr>
      <w:r>
        <w:t>m</w:t>
      </w:r>
      <w:r w:rsidR="000B6F7A">
        <w:t xml:space="preserve">ust promptly inform the PGCE </w:t>
      </w:r>
      <w:r w:rsidR="00C26CFA">
        <w:t>Teaching, Learning and Student Experience</w:t>
      </w:r>
      <w:r w:rsidR="000B6F7A">
        <w:t xml:space="preserve"> Office of my intention to withdraw or interrupt my studies on the PGCE course </w:t>
      </w:r>
    </w:p>
    <w:p w:rsidR="000B6F7A" w:rsidRDefault="00F50AA7" w:rsidP="000B6F7A">
      <w:pPr>
        <w:pStyle w:val="ListParagraph"/>
        <w:numPr>
          <w:ilvl w:val="0"/>
          <w:numId w:val="2"/>
        </w:numPr>
      </w:pPr>
      <w:r>
        <w:t>am</w:t>
      </w:r>
      <w:r w:rsidR="000B6F7A">
        <w:t xml:space="preserve"> expected to seek a teaching post in England upon successful completion of my PGCE course and by signing these terms and conditions </w:t>
      </w:r>
    </w:p>
    <w:p w:rsidR="00BE1B78" w:rsidRDefault="00BE1B78" w:rsidP="00BE1B78"/>
    <w:p w:rsidR="007F42AB" w:rsidRPr="000B6F7A" w:rsidRDefault="000B6F7A" w:rsidP="000B6F7A">
      <w:pPr>
        <w:rPr>
          <w:b/>
        </w:rPr>
      </w:pPr>
      <w:r w:rsidRPr="000B6F7A">
        <w:rPr>
          <w:b/>
        </w:rPr>
        <w:t>I declare my understanding to this effect</w:t>
      </w:r>
      <w:r w:rsidR="00A22516">
        <w:rPr>
          <w:b/>
        </w:rPr>
        <w:t>.</w:t>
      </w:r>
      <w:r w:rsidRPr="000B6F7A">
        <w:rPr>
          <w:b/>
        </w:rPr>
        <w:t xml:space="preserve"> Bursary payments will only be made to those eligible trainees who are fully registered (including financial registration) and their ongoing entitlement is subject to them remaining registered. </w:t>
      </w:r>
    </w:p>
    <w:p w:rsidR="00761A23" w:rsidRDefault="000B6F7A" w:rsidP="000B6F7A">
      <w:r>
        <w:lastRenderedPageBreak/>
        <w:t>The first instalment of the bursary will be paid by BACS transfer on or around 1st October. This payment will cover the period of 1-31 October. Payment dates will be av</w:t>
      </w:r>
      <w:r w:rsidR="00761A23">
        <w:t>ailable to you in Septe</w:t>
      </w:r>
      <w:r w:rsidR="008F33CA">
        <w:t>mber 202</w:t>
      </w:r>
      <w:r w:rsidR="007D1246">
        <w:t>3</w:t>
      </w:r>
      <w:r>
        <w:t xml:space="preserve">. </w:t>
      </w:r>
    </w:p>
    <w:p w:rsidR="00761A23" w:rsidRDefault="000B6F7A" w:rsidP="000B6F7A">
      <w:r>
        <w:t xml:space="preserve">Eligible trainees who withdraw or interrupt from a course (or otherwise cease participating in a course) are entitled to be paid the training bursary for each month, up to and including the month in which they withdraw/interrupt/cease their participation. For example, if a trainee withdraws on 15 November, then they will be eligible for 2 instalments of their bursary (1 October and 1 November). If any trainee is paid an extra instalment, it is understood that the trainee will repay this money promptly. Please contact </w:t>
      </w:r>
      <w:hyperlink r:id="rId8" w:history="1">
        <w:r w:rsidR="00891611" w:rsidRPr="00E15E45">
          <w:rPr>
            <w:rStyle w:val="Hyperlink"/>
          </w:rPr>
          <w:t>teachereducation@manchester.ac.uk</w:t>
        </w:r>
      </w:hyperlink>
      <w:r w:rsidR="00891611">
        <w:t xml:space="preserve"> </w:t>
      </w:r>
      <w:r>
        <w:t xml:space="preserve"> for further information. </w:t>
      </w:r>
    </w:p>
    <w:p w:rsidR="00891611" w:rsidRPr="00891611" w:rsidRDefault="00891611" w:rsidP="00891611">
      <w:r w:rsidRPr="00891611">
        <w:t xml:space="preserve">If the trainee has received their full bursary entitlement during a previous ITT programme, this may impact their eligibility to receive bursary funding while completing a new programme in the 2023 to 2024 academic year. </w:t>
      </w:r>
      <w:r>
        <w:t xml:space="preserve">Please contact </w:t>
      </w:r>
      <w:r w:rsidR="00694B62">
        <w:t>t</w:t>
      </w:r>
      <w:r w:rsidRPr="00891611">
        <w:t>he funding team at </w:t>
      </w:r>
      <w:hyperlink r:id="rId9" w:history="1">
        <w:r w:rsidRPr="00891611">
          <w:rPr>
            <w:rStyle w:val="Hyperlink"/>
          </w:rPr>
          <w:t>ITT.Funding@education.gov.uk</w:t>
        </w:r>
      </w:hyperlink>
      <w:r w:rsidRPr="00891611">
        <w:t> for further guidance.</w:t>
      </w:r>
    </w:p>
    <w:p w:rsidR="0007418B" w:rsidRDefault="000B6F7A" w:rsidP="0007418B">
      <w:r>
        <w:t>Full details about the bursary can be found</w:t>
      </w:r>
      <w:r w:rsidR="00C204E6">
        <w:t xml:space="preserve"> on </w:t>
      </w:r>
      <w:hyperlink r:id="rId10" w:anchor="Eligibility-for-training-bursaries" w:history="1">
        <w:r w:rsidR="0007418B">
          <w:rPr>
            <w:rStyle w:val="Hyperlink"/>
          </w:rPr>
          <w:t>Initial teacher training bursaries funding manual: 2023 to 2024 academic year - GOV.UK (www.gov.uk)</w:t>
        </w:r>
      </w:hyperlink>
    </w:p>
    <w:p w:rsidR="00761A23" w:rsidRDefault="00761A23" w:rsidP="000B6F7A"/>
    <w:p w:rsidR="00761A23" w:rsidRPr="00761A23" w:rsidRDefault="000B6F7A" w:rsidP="000B6F7A">
      <w:pPr>
        <w:rPr>
          <w:b/>
        </w:rPr>
      </w:pPr>
      <w:r w:rsidRPr="00761A23">
        <w:rPr>
          <w:b/>
        </w:rPr>
        <w:t xml:space="preserve">Declaration </w:t>
      </w:r>
    </w:p>
    <w:p w:rsidR="00761A23" w:rsidRDefault="000B6F7A" w:rsidP="000B6F7A">
      <w:r>
        <w:t xml:space="preserve">By </w:t>
      </w:r>
      <w:r w:rsidR="00070E5A">
        <w:t>signing below</w:t>
      </w:r>
      <w:r w:rsidR="00631A23">
        <w:t xml:space="preserve"> and returning this form</w:t>
      </w:r>
      <w:r>
        <w:t>, you are acknowledging your acceptance of the terms and conditions outlined in the ‘Initial Teacher Training Bursari</w:t>
      </w:r>
      <w:r w:rsidR="00C44824">
        <w:t>es (including scholarships) 2023</w:t>
      </w:r>
      <w:r>
        <w:t xml:space="preserve">’ as described above and that you fully understand your commitments. </w:t>
      </w:r>
    </w:p>
    <w:p w:rsidR="00761A23" w:rsidRDefault="00761A23" w:rsidP="000B6F7A"/>
    <w:p w:rsidR="00761A23" w:rsidRDefault="00761A23" w:rsidP="000B6F7A"/>
    <w:p w:rsidR="00070E5A" w:rsidRPr="002311DA" w:rsidRDefault="00070E5A" w:rsidP="00070E5A">
      <w:pPr>
        <w:pStyle w:val="Default"/>
        <w:rPr>
          <w:szCs w:val="22"/>
        </w:rPr>
      </w:pPr>
      <w:r>
        <w:rPr>
          <w:szCs w:val="22"/>
        </w:rPr>
        <w:t>_________________________________               _________________________________</w:t>
      </w:r>
    </w:p>
    <w:p w:rsidR="00070E5A" w:rsidRDefault="00070E5A" w:rsidP="00070E5A">
      <w:r w:rsidRPr="002311DA">
        <w:t xml:space="preserve">Signed                                                   </w:t>
      </w:r>
      <w:r>
        <w:t xml:space="preserve">                    </w:t>
      </w:r>
      <w:r w:rsidRPr="002311DA">
        <w:t xml:space="preserve"> </w:t>
      </w:r>
      <w:r w:rsidR="00DC57B4">
        <w:t xml:space="preserve">       </w:t>
      </w:r>
      <w:r w:rsidRPr="002311DA">
        <w:t xml:space="preserve">    Date</w:t>
      </w:r>
    </w:p>
    <w:p w:rsidR="00761A23" w:rsidRDefault="00761A23" w:rsidP="000B6F7A"/>
    <w:p w:rsidR="00761A23" w:rsidRDefault="00761A23" w:rsidP="000B6F7A"/>
    <w:p w:rsidR="00761A23" w:rsidRDefault="00761A23" w:rsidP="000B6F7A"/>
    <w:p w:rsidR="000B6F7A" w:rsidRPr="00070E5A" w:rsidRDefault="000B6F7A" w:rsidP="000B6F7A">
      <w:pPr>
        <w:rPr>
          <w:b/>
        </w:rPr>
      </w:pPr>
      <w:r w:rsidRPr="00070E5A">
        <w:rPr>
          <w:b/>
        </w:rPr>
        <w:t xml:space="preserve">You will be required to accept </w:t>
      </w:r>
      <w:r w:rsidR="00A317F6">
        <w:rPr>
          <w:b/>
        </w:rPr>
        <w:t xml:space="preserve">and return </w:t>
      </w:r>
      <w:r w:rsidRPr="00070E5A">
        <w:rPr>
          <w:b/>
        </w:rPr>
        <w:t xml:space="preserve">these terms and conditions </w:t>
      </w:r>
      <w:r w:rsidR="00073E45">
        <w:rPr>
          <w:b/>
        </w:rPr>
        <w:t xml:space="preserve">to </w:t>
      </w:r>
      <w:hyperlink r:id="rId11" w:history="1">
        <w:r w:rsidR="00073E45" w:rsidRPr="00777465">
          <w:rPr>
            <w:rStyle w:val="Hyperlink"/>
            <w:b/>
          </w:rPr>
          <w:t>pgce@manchester.ac.uk</w:t>
        </w:r>
      </w:hyperlink>
      <w:r w:rsidR="00073E45">
        <w:rPr>
          <w:b/>
        </w:rPr>
        <w:t xml:space="preserve"> </w:t>
      </w:r>
      <w:r w:rsidR="008F33CA">
        <w:rPr>
          <w:b/>
        </w:rPr>
        <w:t>no later than 1st Se</w:t>
      </w:r>
      <w:r w:rsidR="00C44824">
        <w:rPr>
          <w:b/>
        </w:rPr>
        <w:t>ptember 2023</w:t>
      </w:r>
      <w:r w:rsidRPr="00070E5A">
        <w:rPr>
          <w:b/>
        </w:rPr>
        <w:t>.</w:t>
      </w:r>
    </w:p>
    <w:p w:rsidR="000B6F7A" w:rsidRDefault="000B6F7A" w:rsidP="000B6F7A"/>
    <w:p w:rsidR="00761A23" w:rsidRDefault="00761A23" w:rsidP="000B6F7A"/>
    <w:p w:rsidR="000B6F7A" w:rsidRPr="000B6F7A" w:rsidRDefault="000B6F7A" w:rsidP="000B6F7A"/>
    <w:sectPr w:rsidR="000B6F7A" w:rsidRPr="000B6F7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23" w:rsidRDefault="00761A23" w:rsidP="00761A23">
      <w:pPr>
        <w:spacing w:after="0" w:line="240" w:lineRule="auto"/>
      </w:pPr>
      <w:r>
        <w:separator/>
      </w:r>
    </w:p>
  </w:endnote>
  <w:endnote w:type="continuationSeparator" w:id="0">
    <w:p w:rsidR="00761A23" w:rsidRDefault="00761A23" w:rsidP="0076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2484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61A23" w:rsidRDefault="00761A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C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C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1A23" w:rsidRDefault="0076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23" w:rsidRDefault="00761A23" w:rsidP="00761A23">
      <w:pPr>
        <w:spacing w:after="0" w:line="240" w:lineRule="auto"/>
      </w:pPr>
      <w:r>
        <w:separator/>
      </w:r>
    </w:p>
  </w:footnote>
  <w:footnote w:type="continuationSeparator" w:id="0">
    <w:p w:rsidR="00761A23" w:rsidRDefault="00761A23" w:rsidP="0076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46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 w:rsidRPr="00BC306D">
      <w:rPr>
        <w:rFonts w:ascii="TheSans B7" w:hAnsi="TheSans B7"/>
        <w:sz w:val="18"/>
        <w:szCs w:val="18"/>
      </w:rPr>
      <w:ptab w:relativeTo="margin" w:alignment="right" w:leader="none"/>
    </w:r>
    <w:r w:rsidRPr="00BC306D">
      <w:rPr>
        <w:rFonts w:ascii="TheSans B7" w:hAnsi="TheSans B7"/>
        <w:noProof/>
        <w:sz w:val="18"/>
        <w:szCs w:val="18"/>
        <w:lang w:eastAsia="en-GB"/>
      </w:rPr>
      <w:drawing>
        <wp:anchor distT="0" distB="0" distL="114300" distR="114300" simplePos="0" relativeHeight="251659264" behindDoc="1" locked="0" layoutInCell="1" allowOverlap="1" wp14:anchorId="4BBC295E" wp14:editId="0C8BDA89">
          <wp:simplePos x="0" y="0"/>
          <wp:positionH relativeFrom="column">
            <wp:posOffset>-19050</wp:posOffset>
          </wp:positionH>
          <wp:positionV relativeFrom="paragraph">
            <wp:posOffset>0</wp:posOffset>
          </wp:positionV>
          <wp:extent cx="1655445" cy="704850"/>
          <wp:effectExtent l="19050" t="0" r="1905" b="0"/>
          <wp:wrapTight wrapText="bothSides">
            <wp:wrapPolygon edited="0">
              <wp:start x="-249" y="0"/>
              <wp:lineTo x="-249" y="21016"/>
              <wp:lineTo x="21625" y="21016"/>
              <wp:lineTo x="21625" y="0"/>
              <wp:lineTo x="-249" y="0"/>
            </wp:wrapPolygon>
          </wp:wrapTight>
          <wp:docPr id="7" name="Picture 3" descr="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B_col_white_backgrou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306D">
      <w:rPr>
        <w:rFonts w:ascii="TheSans B7" w:hAnsi="TheSans B7"/>
        <w:noProof/>
        <w:sz w:val="18"/>
        <w:szCs w:val="18"/>
      </w:rPr>
      <w:t xml:space="preserve">School of Environment, </w:t>
    </w:r>
  </w:p>
  <w:p w:rsidR="00936A46" w:rsidRPr="00BC306D" w:rsidRDefault="00B43ED5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>
      <w:rPr>
        <w:rFonts w:ascii="TheSans B7" w:hAnsi="TheSans B7"/>
        <w:noProof/>
        <w:sz w:val="18"/>
        <w:szCs w:val="18"/>
      </w:rPr>
      <w:t>Education and Development</w:t>
    </w:r>
  </w:p>
  <w:p w:rsidR="00936A46" w:rsidRPr="00BC306D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 w:rsidRPr="00BC306D">
      <w:rPr>
        <w:rFonts w:ascii="TheSans B7" w:hAnsi="TheSans B7"/>
        <w:noProof/>
        <w:sz w:val="18"/>
        <w:szCs w:val="18"/>
      </w:rPr>
      <w:t>The University of Manchester</w:t>
    </w:r>
  </w:p>
  <w:p w:rsidR="00936A46" w:rsidRPr="00BC306D" w:rsidRDefault="00936A46" w:rsidP="00936A46">
    <w:pPr>
      <w:pStyle w:val="Header"/>
      <w:jc w:val="right"/>
      <w:rPr>
        <w:rFonts w:ascii="TheSans B7" w:hAnsi="TheSans B7"/>
        <w:sz w:val="18"/>
        <w:szCs w:val="18"/>
      </w:rPr>
    </w:pPr>
    <w:r w:rsidRPr="00BC306D">
      <w:rPr>
        <w:rFonts w:ascii="TheSans B7" w:hAnsi="TheSans B7"/>
        <w:noProof/>
        <w:sz w:val="18"/>
        <w:szCs w:val="18"/>
      </w:rPr>
      <w:t>Oxford Road Manchester</w:t>
    </w:r>
  </w:p>
  <w:p w:rsidR="00936A46" w:rsidRPr="00BC306D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 w:rsidRPr="00BC306D">
      <w:rPr>
        <w:rFonts w:ascii="TheSans B7" w:hAnsi="TheSans B7"/>
        <w:sz w:val="18"/>
        <w:szCs w:val="18"/>
      </w:rPr>
      <w:t xml:space="preserve"> </w:t>
    </w:r>
    <w:r w:rsidRPr="00BC306D">
      <w:rPr>
        <w:rFonts w:ascii="TheSans B7" w:hAnsi="TheSans B7"/>
        <w:noProof/>
        <w:sz w:val="18"/>
        <w:szCs w:val="18"/>
      </w:rPr>
      <w:t>M13 9PL</w:t>
    </w:r>
  </w:p>
  <w:p w:rsidR="00936A46" w:rsidRPr="00BC306D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 w:rsidRPr="00BC306D">
      <w:rPr>
        <w:rFonts w:ascii="TheSans B7" w:hAnsi="TheSans B7"/>
        <w:noProof/>
        <w:sz w:val="18"/>
        <w:szCs w:val="18"/>
      </w:rPr>
      <w:t xml:space="preserve"> United Kingdom</w:t>
    </w:r>
  </w:p>
  <w:p w:rsidR="00936A46" w:rsidRPr="00BC306D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</w:p>
  <w:p w:rsidR="00B43ED5" w:rsidRPr="00B43ED5" w:rsidRDefault="00410E01" w:rsidP="00B43ED5">
    <w:pPr>
      <w:pStyle w:val="Header"/>
      <w:ind w:left="7200"/>
      <w:jc w:val="center"/>
      <w:rPr>
        <w:rFonts w:ascii="TheSans B7" w:hAnsi="TheSans B7"/>
        <w:sz w:val="18"/>
        <w:szCs w:val="18"/>
      </w:rPr>
    </w:pPr>
    <w:r>
      <w:rPr>
        <w:rFonts w:ascii="TheSans B7" w:hAnsi="TheSans B7"/>
        <w:sz w:val="18"/>
        <w:szCs w:val="18"/>
      </w:rPr>
      <w:t>ITT</w:t>
    </w:r>
    <w:r w:rsidR="00B43ED5">
      <w:rPr>
        <w:rFonts w:ascii="TheSans B7" w:hAnsi="TheSans B7"/>
        <w:sz w:val="18"/>
        <w:szCs w:val="18"/>
      </w:rPr>
      <w:t xml:space="preserve"> Admissions </w:t>
    </w:r>
    <w:r w:rsidR="00B43ED5" w:rsidRPr="00B43ED5">
      <w:rPr>
        <w:rFonts w:ascii="TheSans B7" w:hAnsi="TheSans B7"/>
        <w:sz w:val="18"/>
        <w:szCs w:val="18"/>
      </w:rPr>
      <w:t>Team</w:t>
    </w:r>
  </w:p>
  <w:p w:rsidR="00936A46" w:rsidRDefault="002F1CDD" w:rsidP="00B43ED5">
    <w:pPr>
      <w:pStyle w:val="Header"/>
      <w:ind w:left="7200"/>
      <w:jc w:val="center"/>
      <w:rPr>
        <w:rFonts w:ascii="TheSans B7" w:hAnsi="TheSans B7"/>
        <w:sz w:val="18"/>
        <w:szCs w:val="18"/>
      </w:rPr>
    </w:pPr>
    <w:hyperlink r:id="rId2" w:history="1">
      <w:r w:rsidR="00B43ED5" w:rsidRPr="00666A36">
        <w:rPr>
          <w:rStyle w:val="Hyperlink"/>
          <w:rFonts w:ascii="TheSans B7" w:hAnsi="TheSans B7"/>
          <w:sz w:val="18"/>
          <w:szCs w:val="18"/>
        </w:rPr>
        <w:t>pgce@manchester.ac.uk</w:t>
      </w:r>
    </w:hyperlink>
    <w:r w:rsidR="00B43ED5">
      <w:rPr>
        <w:rFonts w:ascii="TheSans B7" w:hAnsi="TheSans B7"/>
        <w:sz w:val="18"/>
        <w:szCs w:val="18"/>
      </w:rPr>
      <w:t xml:space="preserve"> </w:t>
    </w:r>
  </w:p>
  <w:p w:rsidR="00B43ED5" w:rsidRPr="00BC306D" w:rsidRDefault="00B43ED5" w:rsidP="00B43ED5">
    <w:pPr>
      <w:pStyle w:val="Header"/>
      <w:jc w:val="center"/>
      <w:rPr>
        <w:rFonts w:ascii="TheSans B7" w:hAnsi="TheSans B7"/>
        <w:noProof/>
        <w:sz w:val="18"/>
        <w:szCs w:val="18"/>
      </w:rPr>
    </w:pPr>
  </w:p>
  <w:p w:rsidR="00B43ED5" w:rsidRPr="00B43ED5" w:rsidRDefault="00B43ED5" w:rsidP="00B43ED5">
    <w:pPr>
      <w:pStyle w:val="Header"/>
      <w:ind w:left="5760"/>
      <w:jc w:val="center"/>
      <w:rPr>
        <w:rFonts w:ascii="TheSans B7" w:hAnsi="TheSans B7"/>
        <w:sz w:val="18"/>
        <w:szCs w:val="18"/>
      </w:rPr>
    </w:pPr>
  </w:p>
  <w:p w:rsidR="00936A46" w:rsidRPr="00B43ED5" w:rsidRDefault="00936A46">
    <w:pPr>
      <w:pStyle w:val="Header"/>
      <w:rPr>
        <w:sz w:val="18"/>
        <w:szCs w:val="18"/>
      </w:rPr>
    </w:pPr>
  </w:p>
  <w:p w:rsidR="00936A46" w:rsidRDefault="00936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89D"/>
    <w:multiLevelType w:val="hybridMultilevel"/>
    <w:tmpl w:val="F38AB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4237"/>
    <w:multiLevelType w:val="hybridMultilevel"/>
    <w:tmpl w:val="CEAE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A"/>
    <w:rsid w:val="00025C29"/>
    <w:rsid w:val="00070E5A"/>
    <w:rsid w:val="00073E45"/>
    <w:rsid w:val="0007418B"/>
    <w:rsid w:val="000B6F7A"/>
    <w:rsid w:val="00260D71"/>
    <w:rsid w:val="002D41AF"/>
    <w:rsid w:val="002F1CDD"/>
    <w:rsid w:val="00363E08"/>
    <w:rsid w:val="003E6B0A"/>
    <w:rsid w:val="00410E01"/>
    <w:rsid w:val="00457748"/>
    <w:rsid w:val="004C166F"/>
    <w:rsid w:val="005B264F"/>
    <w:rsid w:val="00631A23"/>
    <w:rsid w:val="00694B62"/>
    <w:rsid w:val="00761A23"/>
    <w:rsid w:val="007B48E8"/>
    <w:rsid w:val="007D1246"/>
    <w:rsid w:val="007F42AB"/>
    <w:rsid w:val="00891611"/>
    <w:rsid w:val="008E13A4"/>
    <w:rsid w:val="008F33CA"/>
    <w:rsid w:val="00922F5C"/>
    <w:rsid w:val="00936A46"/>
    <w:rsid w:val="009E7399"/>
    <w:rsid w:val="00A22516"/>
    <w:rsid w:val="00A317F6"/>
    <w:rsid w:val="00AD2710"/>
    <w:rsid w:val="00B43ED5"/>
    <w:rsid w:val="00B71A78"/>
    <w:rsid w:val="00BE1B78"/>
    <w:rsid w:val="00C204E6"/>
    <w:rsid w:val="00C26CFA"/>
    <w:rsid w:val="00C44824"/>
    <w:rsid w:val="00C87DC5"/>
    <w:rsid w:val="00CE1D83"/>
    <w:rsid w:val="00DC57B4"/>
    <w:rsid w:val="00F50AA7"/>
    <w:rsid w:val="00F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B02F76"/>
  <w15:chartTrackingRefBased/>
  <w15:docId w15:val="{351294D8-434F-435E-AA4F-51A54EA5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23"/>
  </w:style>
  <w:style w:type="paragraph" w:styleId="Footer">
    <w:name w:val="footer"/>
    <w:basedOn w:val="Normal"/>
    <w:link w:val="FooterChar"/>
    <w:uiPriority w:val="99"/>
    <w:unhideWhenUsed/>
    <w:rsid w:val="0076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23"/>
  </w:style>
  <w:style w:type="paragraph" w:customStyle="1" w:styleId="Default">
    <w:name w:val="Default"/>
    <w:rsid w:val="00070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27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ereducation@manchester.ac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ce@manchest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initial-teacher-training-itt-bursary-funding-manual/initial-teacher-training-bursaries-funding-manual-2023-to-2024-academic-ye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T.Funding@education.gov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ce@manchester.ac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8DDE-D494-4B7D-BF1F-2BF71165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Ayeesha Roberts</dc:creator>
  <cp:keywords/>
  <dc:description/>
  <cp:lastModifiedBy>Matthew Hughes</cp:lastModifiedBy>
  <cp:revision>39</cp:revision>
  <cp:lastPrinted>2022-05-25T14:15:00Z</cp:lastPrinted>
  <dcterms:created xsi:type="dcterms:W3CDTF">2021-05-13T14:24:00Z</dcterms:created>
  <dcterms:modified xsi:type="dcterms:W3CDTF">2023-05-05T14:09:00Z</dcterms:modified>
</cp:coreProperties>
</file>