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3EA2" w14:textId="714D5B17" w:rsidR="00F13BF2" w:rsidRPr="00F13BF2" w:rsidRDefault="00F13BF2" w:rsidP="00F13BF2">
      <w:pPr>
        <w:rPr>
          <w:b/>
          <w:bCs/>
        </w:rPr>
      </w:pPr>
      <w:r w:rsidRPr="00F13BF2">
        <w:rPr>
          <w:b/>
          <w:bCs/>
        </w:rPr>
        <w:t xml:space="preserve">Criteria for lighthouse </w:t>
      </w:r>
      <w:r w:rsidR="000530A8">
        <w:rPr>
          <w:b/>
          <w:bCs/>
        </w:rPr>
        <w:t>study</w:t>
      </w:r>
      <w:r w:rsidRPr="00F13BF2">
        <w:rPr>
          <w:b/>
          <w:bCs/>
        </w:rPr>
        <w:t xml:space="preserve"> selection</w:t>
      </w:r>
    </w:p>
    <w:p w14:paraId="2AEE0E98" w14:textId="4B483573" w:rsidR="00F13BF2" w:rsidRDefault="00F13BF2" w:rsidP="00F13BF2"/>
    <w:p w14:paraId="23FDBF4A" w14:textId="77777777" w:rsidR="00293CDD" w:rsidRPr="00255717" w:rsidRDefault="00293CDD" w:rsidP="00293CDD">
      <w:pPr>
        <w:rPr>
          <w:i/>
          <w:iCs/>
        </w:rPr>
      </w:pPr>
      <w:r w:rsidRPr="00255717">
        <w:rPr>
          <w:i/>
          <w:iCs/>
        </w:rPr>
        <w:t>Niels Peek &amp; Will Dixon</w:t>
      </w:r>
    </w:p>
    <w:p w14:paraId="58A04556" w14:textId="542FEA0D" w:rsidR="00293CDD" w:rsidRPr="00255717" w:rsidRDefault="00293CDD" w:rsidP="00293CDD">
      <w:pPr>
        <w:rPr>
          <w:i/>
          <w:iCs/>
        </w:rPr>
      </w:pPr>
      <w:r w:rsidRPr="00255717">
        <w:rPr>
          <w:i/>
          <w:iCs/>
        </w:rPr>
        <w:t>Version 1.</w:t>
      </w:r>
      <w:r w:rsidR="000530A8">
        <w:rPr>
          <w:i/>
          <w:iCs/>
        </w:rPr>
        <w:t>3</w:t>
      </w:r>
      <w:r w:rsidR="007967BC">
        <w:rPr>
          <w:i/>
          <w:iCs/>
        </w:rPr>
        <w:t xml:space="preserve">, </w:t>
      </w:r>
      <w:r w:rsidR="000530A8">
        <w:rPr>
          <w:i/>
          <w:iCs/>
        </w:rPr>
        <w:t>7</w:t>
      </w:r>
      <w:r w:rsidR="000530A8" w:rsidRPr="000530A8">
        <w:rPr>
          <w:i/>
          <w:iCs/>
          <w:vertAlign w:val="superscript"/>
        </w:rPr>
        <w:t>th</w:t>
      </w:r>
      <w:r w:rsidR="000530A8">
        <w:rPr>
          <w:i/>
          <w:iCs/>
        </w:rPr>
        <w:t xml:space="preserve"> February 2023</w:t>
      </w:r>
    </w:p>
    <w:p w14:paraId="326DA5CB" w14:textId="3C54AF5D" w:rsidR="00255717" w:rsidRPr="00255717" w:rsidRDefault="00293CDD" w:rsidP="00F13BF2">
      <w:pPr>
        <w:rPr>
          <w:i/>
          <w:iCs/>
        </w:rPr>
      </w:pPr>
      <w:r>
        <w:rPr>
          <w:i/>
          <w:iCs/>
        </w:rPr>
        <w:t>GM</w:t>
      </w:r>
      <w:r w:rsidR="00255717" w:rsidRPr="00255717">
        <w:rPr>
          <w:i/>
          <w:iCs/>
        </w:rPr>
        <w:t xml:space="preserve"> </w:t>
      </w:r>
      <w:r w:rsidR="000530A8">
        <w:rPr>
          <w:i/>
          <w:iCs/>
        </w:rPr>
        <w:t>SD</w:t>
      </w:r>
      <w:r w:rsidR="00255717" w:rsidRPr="00255717">
        <w:rPr>
          <w:i/>
          <w:iCs/>
        </w:rPr>
        <w:t>E Programme</w:t>
      </w:r>
      <w:r>
        <w:rPr>
          <w:i/>
          <w:iCs/>
        </w:rPr>
        <w:t xml:space="preserve">, </w:t>
      </w:r>
      <w:r w:rsidR="00255717" w:rsidRPr="00255717">
        <w:rPr>
          <w:i/>
          <w:iCs/>
        </w:rPr>
        <w:t>W</w:t>
      </w:r>
      <w:r>
        <w:rPr>
          <w:i/>
          <w:iCs/>
        </w:rPr>
        <w:t xml:space="preserve">ork Stream </w:t>
      </w:r>
      <w:r w:rsidR="00255717" w:rsidRPr="00255717">
        <w:rPr>
          <w:i/>
          <w:iCs/>
        </w:rPr>
        <w:t>2</w:t>
      </w:r>
    </w:p>
    <w:p w14:paraId="7DAE991E" w14:textId="77777777" w:rsidR="004F0635" w:rsidRDefault="004F0635" w:rsidP="00F13BF2"/>
    <w:p w14:paraId="25D6E24B" w14:textId="67E31B6E" w:rsidR="00F13BF2" w:rsidRDefault="00255717" w:rsidP="00F13BF2">
      <w:r w:rsidRPr="00255717">
        <w:rPr>
          <w:b/>
          <w:bCs/>
        </w:rPr>
        <w:t>Background</w:t>
      </w:r>
      <w:r>
        <w:t xml:space="preserve">: We aim to deliver a number of high </w:t>
      </w:r>
      <w:proofErr w:type="gramStart"/>
      <w:r>
        <w:t>priority</w:t>
      </w:r>
      <w:proofErr w:type="gramEnd"/>
      <w:r>
        <w:t xml:space="preserve">, system-led research </w:t>
      </w:r>
      <w:r w:rsidR="000530A8">
        <w:t>studies</w:t>
      </w:r>
      <w:r>
        <w:t xml:space="preserve"> (</w:t>
      </w:r>
      <w:r w:rsidR="00293CDD">
        <w:t>“</w:t>
      </w:r>
      <w:r>
        <w:t xml:space="preserve">lighthouse </w:t>
      </w:r>
      <w:r w:rsidR="000530A8">
        <w:t>studies</w:t>
      </w:r>
      <w:r w:rsidR="00293CDD">
        <w:t>”</w:t>
      </w:r>
      <w:r>
        <w:t xml:space="preserve">) to demonstrate the benefits of the </w:t>
      </w:r>
      <w:r w:rsidR="00293CDD">
        <w:t>GM</w:t>
      </w:r>
      <w:r>
        <w:t xml:space="preserve"> </w:t>
      </w:r>
      <w:r w:rsidR="00202E9A">
        <w:t>Secure Data Environment (GM SDE)</w:t>
      </w:r>
      <w:r>
        <w:t xml:space="preserve">. These </w:t>
      </w:r>
      <w:r w:rsidR="000530A8">
        <w:t>lighthouse studies</w:t>
      </w:r>
      <w:r>
        <w:t xml:space="preserve"> will be selected</w:t>
      </w:r>
      <w:r w:rsidR="004F0635">
        <w:t xml:space="preserve"> on agreed criteria</w:t>
      </w:r>
      <w:r w:rsidR="00ED5E8F">
        <w:t>, which are described in this document</w:t>
      </w:r>
      <w:r w:rsidR="004F0635">
        <w:t>.</w:t>
      </w:r>
    </w:p>
    <w:p w14:paraId="7A0E1D80" w14:textId="5FA04D12" w:rsidR="00C9285F" w:rsidRDefault="00C9285F" w:rsidP="007A574A">
      <w:pPr>
        <w:spacing w:before="120"/>
      </w:pPr>
      <w:r>
        <w:t xml:space="preserve">According to the </w:t>
      </w:r>
      <w:r w:rsidRPr="00C9285F">
        <w:rPr>
          <w:i/>
          <w:iCs/>
        </w:rPr>
        <w:t>Secure Data Environments for Research and Development Expression of Interest Guide</w:t>
      </w:r>
      <w:r>
        <w:t xml:space="preserve"> published by NHS England in September 2022, SDEs for R&amp;D should provide the infrastructure and analytical tooling to support the following types of research use cases:</w:t>
      </w:r>
    </w:p>
    <w:p w14:paraId="0A8EA6C6" w14:textId="43E885B7" w:rsidR="00C9285F" w:rsidRDefault="00C9285F" w:rsidP="00FF0692">
      <w:pPr>
        <w:pStyle w:val="ListParagraph"/>
        <w:numPr>
          <w:ilvl w:val="0"/>
          <w:numId w:val="5"/>
        </w:numPr>
      </w:pPr>
      <w:r>
        <w:t>AI/algorithm development (testing, training, and validation)</w:t>
      </w:r>
    </w:p>
    <w:p w14:paraId="4204CAEB" w14:textId="77777777" w:rsidR="00C9285F" w:rsidRDefault="00C9285F" w:rsidP="00FF0692">
      <w:pPr>
        <w:pStyle w:val="ListParagraph"/>
        <w:numPr>
          <w:ilvl w:val="0"/>
          <w:numId w:val="5"/>
        </w:numPr>
      </w:pPr>
      <w:r>
        <w:t>Clinical trial activities (feasibility, recruitment, efficacy through short- and long-term trial follow up)</w:t>
      </w:r>
    </w:p>
    <w:p w14:paraId="1DA0A35E" w14:textId="4E7A39B6" w:rsidR="00C9285F" w:rsidRDefault="00C9285F" w:rsidP="00FF0692">
      <w:pPr>
        <w:pStyle w:val="ListParagraph"/>
        <w:numPr>
          <w:ilvl w:val="0"/>
          <w:numId w:val="5"/>
        </w:numPr>
      </w:pPr>
      <w:r>
        <w:t>Real world studies (safety, effectiveness, cost effectiveness)</w:t>
      </w:r>
    </w:p>
    <w:p w14:paraId="36A811C9" w14:textId="43543337" w:rsidR="00C9285F" w:rsidRDefault="00C9285F" w:rsidP="00FF0692">
      <w:pPr>
        <w:pStyle w:val="ListParagraph"/>
        <w:numPr>
          <w:ilvl w:val="0"/>
          <w:numId w:val="5"/>
        </w:numPr>
      </w:pPr>
      <w:r>
        <w:t>Translational research (academic discovery and implementation of discovery into practice)</w:t>
      </w:r>
    </w:p>
    <w:p w14:paraId="68BF0E2E" w14:textId="4354DB07" w:rsidR="00C9285F" w:rsidRDefault="00C9285F" w:rsidP="00FF0692">
      <w:pPr>
        <w:pStyle w:val="ListParagraph"/>
        <w:numPr>
          <w:ilvl w:val="0"/>
          <w:numId w:val="5"/>
        </w:numPr>
      </w:pPr>
      <w:r>
        <w:t>Epidemiological studies (large cohorts for population health research)</w:t>
      </w:r>
    </w:p>
    <w:p w14:paraId="344EA068" w14:textId="53A315C4" w:rsidR="00C9285F" w:rsidRDefault="00C9285F" w:rsidP="00FF0692">
      <w:pPr>
        <w:pStyle w:val="ListParagraph"/>
        <w:numPr>
          <w:ilvl w:val="0"/>
          <w:numId w:val="5"/>
        </w:numPr>
      </w:pPr>
      <w:r>
        <w:t>Health systems research (evaluation of systems or processes, including operational and applied research)</w:t>
      </w:r>
    </w:p>
    <w:p w14:paraId="273C8190" w14:textId="77777777" w:rsidR="00C9285F" w:rsidRDefault="00C9285F" w:rsidP="00F13BF2"/>
    <w:p w14:paraId="2EA1D137" w14:textId="0EA0465F" w:rsidR="00C9285F" w:rsidRDefault="004F0635" w:rsidP="00F13BF2">
      <w:r w:rsidRPr="004F0635">
        <w:rPr>
          <w:b/>
          <w:bCs/>
        </w:rPr>
        <w:t>Approach</w:t>
      </w:r>
      <w:r>
        <w:t xml:space="preserve">: </w:t>
      </w:r>
      <w:r w:rsidR="00F13BF2">
        <w:t xml:space="preserve">We </w:t>
      </w:r>
      <w:r w:rsidR="00394528">
        <w:t>expect that each of</w:t>
      </w:r>
      <w:r w:rsidR="00C9285F">
        <w:t xml:space="preserve"> the</w:t>
      </w:r>
      <w:r w:rsidR="00394528">
        <w:t>se</w:t>
      </w:r>
      <w:r w:rsidR="00C9285F">
        <w:t xml:space="preserve"> six research use cases (henceforth called </w:t>
      </w:r>
      <w:r w:rsidR="00C9285F" w:rsidRPr="00C9285F">
        <w:rPr>
          <w:i/>
          <w:iCs/>
        </w:rPr>
        <w:t>study types</w:t>
      </w:r>
      <w:r w:rsidR="00C9285F">
        <w:t xml:space="preserve">) </w:t>
      </w:r>
      <w:r w:rsidR="00394528">
        <w:t>will come with its own set of requirements – and therefore it is important to demonstrate capability for each of them. There will also be overlap in the requirement</w:t>
      </w:r>
      <w:r w:rsidR="001B6756">
        <w:t>s</w:t>
      </w:r>
      <w:r w:rsidR="00394528">
        <w:t xml:space="preserve"> associated with different study types. For instance, each study type will require the availability of a secure research platform with state-of-the-art analytical tooling (</w:t>
      </w:r>
      <w:proofErr w:type="gramStart"/>
      <w:r w:rsidR="00394528">
        <w:t>e.g.</w:t>
      </w:r>
      <w:proofErr w:type="gramEnd"/>
      <w:r w:rsidR="00394528">
        <w:t xml:space="preserve"> R, Stata, Python).</w:t>
      </w:r>
    </w:p>
    <w:p w14:paraId="069BBFBD" w14:textId="69B598AF" w:rsidR="00202E9A" w:rsidRDefault="00202E9A" w:rsidP="007A574A">
      <w:pPr>
        <w:spacing w:before="120"/>
      </w:pPr>
      <w:r>
        <w:t xml:space="preserve">We recognise that, regardless of study type, there exist several </w:t>
      </w:r>
      <w:r w:rsidRPr="00FF0692">
        <w:rPr>
          <w:i/>
          <w:iCs/>
        </w:rPr>
        <w:t>additional requirements</w:t>
      </w:r>
      <w:r>
        <w:t xml:space="preserve"> that studies may have:</w:t>
      </w:r>
    </w:p>
    <w:p w14:paraId="3B28B7CE" w14:textId="7E9D708B" w:rsidR="00AE3353" w:rsidRDefault="00AE3353" w:rsidP="00FF0692">
      <w:pPr>
        <w:pStyle w:val="ListParagraph"/>
        <w:numPr>
          <w:ilvl w:val="0"/>
          <w:numId w:val="6"/>
        </w:numPr>
      </w:pPr>
      <w:r w:rsidRPr="00AE3353">
        <w:rPr>
          <w:i/>
          <w:iCs/>
        </w:rPr>
        <w:t>Cohort linkage</w:t>
      </w:r>
      <w:r>
        <w:br/>
      </w:r>
      <w:r w:rsidR="00202E9A">
        <w:t xml:space="preserve">In order to conduct the study, a cohort dataset that is external to the GM SDE needs </w:t>
      </w:r>
      <w:r w:rsidR="00E13E80">
        <w:t>to be linked to data that are routinely available in the GM SDE</w:t>
      </w:r>
    </w:p>
    <w:p w14:paraId="1D6CDA6A" w14:textId="52B0C10C" w:rsidR="00293CDD" w:rsidRDefault="00293CDD" w:rsidP="00FF0692">
      <w:pPr>
        <w:pStyle w:val="ListParagraph"/>
        <w:numPr>
          <w:ilvl w:val="0"/>
          <w:numId w:val="6"/>
        </w:numPr>
      </w:pPr>
      <w:r w:rsidRPr="00AE3353">
        <w:rPr>
          <w:i/>
          <w:iCs/>
        </w:rPr>
        <w:t>Multi-modal data studies</w:t>
      </w:r>
      <w:r w:rsidR="006F6860">
        <w:br/>
      </w:r>
      <w:r w:rsidR="00E13E80">
        <w:t xml:space="preserve">In order to conduct the study, </w:t>
      </w:r>
      <w:r w:rsidR="006F6860">
        <w:t xml:space="preserve">longitudinal EHRs </w:t>
      </w:r>
      <w:r w:rsidR="00E13E80">
        <w:t xml:space="preserve">need to be linked </w:t>
      </w:r>
      <w:r w:rsidR="00AE3353">
        <w:t>other data modalities such images, signals, text, and omics data</w:t>
      </w:r>
    </w:p>
    <w:p w14:paraId="0EBF47D2" w14:textId="192A6D11" w:rsidR="00F65D02" w:rsidRDefault="00F14ED1" w:rsidP="00FF0692">
      <w:pPr>
        <w:pStyle w:val="ListParagraph"/>
        <w:numPr>
          <w:ilvl w:val="0"/>
          <w:numId w:val="6"/>
        </w:numPr>
      </w:pPr>
      <w:r w:rsidRPr="00F14ED1">
        <w:rPr>
          <w:i/>
          <w:iCs/>
        </w:rPr>
        <w:t>Projects with increased sensitivity</w:t>
      </w:r>
      <w:r w:rsidR="001D4FE1">
        <w:br/>
      </w:r>
      <w:r w:rsidR="00FF0692">
        <w:t>Due to increased levels of sensitivity (</w:t>
      </w:r>
      <w:proofErr w:type="gramStart"/>
      <w:r w:rsidR="00FF0692">
        <w:t>e.g.</w:t>
      </w:r>
      <w:proofErr w:type="gramEnd"/>
      <w:r w:rsidR="00FF0692">
        <w:t xml:space="preserve"> involvement of commercial partners) it is imperative to use </w:t>
      </w:r>
      <w:r w:rsidR="001D4FE1">
        <w:t>privacy-enhancing techniques</w:t>
      </w:r>
      <w:r>
        <w:t xml:space="preserve"> </w:t>
      </w:r>
    </w:p>
    <w:p w14:paraId="080CAC9D" w14:textId="730391F4" w:rsidR="00FF0692" w:rsidRPr="007A574A" w:rsidRDefault="007967BC" w:rsidP="00FF0692">
      <w:pPr>
        <w:pStyle w:val="ListParagraph"/>
        <w:numPr>
          <w:ilvl w:val="0"/>
          <w:numId w:val="6"/>
        </w:numPr>
      </w:pPr>
      <w:r w:rsidRPr="007967BC">
        <w:rPr>
          <w:i/>
          <w:iCs/>
        </w:rPr>
        <w:t>Federated data analysis</w:t>
      </w:r>
      <w:r>
        <w:br/>
      </w:r>
      <w:r w:rsidR="00FF0692">
        <w:t>The study needs to be conducted</w:t>
      </w:r>
      <w:r w:rsidRPr="007967BC">
        <w:t xml:space="preserve"> across the footprint of </w:t>
      </w:r>
      <w:r>
        <w:t xml:space="preserve">GM, C&amp;M, and </w:t>
      </w:r>
      <w:r w:rsidRPr="007967BC">
        <w:t>L&amp;SC</w:t>
      </w:r>
      <w:r>
        <w:t xml:space="preserve"> utilising federated data analyis methods</w:t>
      </w:r>
    </w:p>
    <w:p w14:paraId="51CD47CC" w14:textId="13AB3B1D" w:rsidR="00F13BF2" w:rsidRDefault="007A574A" w:rsidP="007A574A">
      <w:pPr>
        <w:spacing w:before="120"/>
      </w:pPr>
      <w:r w:rsidRPr="007A574A">
        <w:t>In addition to covering the above listed study types</w:t>
      </w:r>
      <w:r w:rsidR="00F92E39">
        <w:t xml:space="preserve"> A-F</w:t>
      </w:r>
      <w:r w:rsidRPr="007A574A">
        <w:t>, we aim to demonstrate capability of the GM SDE for</w:t>
      </w:r>
      <w:r>
        <w:rPr>
          <w:i/>
          <w:iCs/>
        </w:rPr>
        <w:t xml:space="preserve"> d</w:t>
      </w:r>
      <w:r w:rsidR="00F65D02" w:rsidRPr="00FF0692">
        <w:rPr>
          <w:i/>
          <w:iCs/>
        </w:rPr>
        <w:t>ata science training</w:t>
      </w:r>
      <w:r>
        <w:t>, i.e., e</w:t>
      </w:r>
      <w:r w:rsidR="001D4FE1">
        <w:t xml:space="preserve">xposing data science students to the complexity </w:t>
      </w:r>
      <w:r w:rsidR="001D4FE1">
        <w:lastRenderedPageBreak/>
        <w:t>of longitudinal EHRs for development</w:t>
      </w:r>
      <w:r w:rsidR="00F14ED1">
        <w:t xml:space="preserve"> of their analytical skills</w:t>
      </w:r>
      <w:r>
        <w:t xml:space="preserve">, and making them familiar with the technical infrastructure and data governance processes of a secure data environments. </w:t>
      </w:r>
    </w:p>
    <w:p w14:paraId="580EEDBE" w14:textId="77777777" w:rsidR="007967BC" w:rsidRDefault="007967BC" w:rsidP="00F13BF2"/>
    <w:p w14:paraId="4B86F274" w14:textId="170F722A" w:rsidR="004F0635" w:rsidRDefault="007A574A" w:rsidP="00F13BF2">
      <w:pPr>
        <w:rPr>
          <w:b/>
          <w:bCs/>
        </w:rPr>
      </w:pPr>
      <w:r>
        <w:rPr>
          <w:b/>
          <w:bCs/>
        </w:rPr>
        <w:t>Selection</w:t>
      </w:r>
      <w:r w:rsidR="004F0635" w:rsidRPr="004F0635">
        <w:rPr>
          <w:b/>
          <w:bCs/>
        </w:rPr>
        <w:t xml:space="preserve"> criteria:</w:t>
      </w:r>
    </w:p>
    <w:p w14:paraId="58D37A96" w14:textId="26BC3C9E" w:rsidR="007A574A" w:rsidRPr="007A574A" w:rsidRDefault="00CD7558" w:rsidP="007A574A">
      <w:pPr>
        <w:spacing w:before="120"/>
      </w:pPr>
      <w:r>
        <w:t>S</w:t>
      </w:r>
      <w:r w:rsidR="007A574A">
        <w:t>election criteria</w:t>
      </w:r>
      <w:r>
        <w:t xml:space="preserve"> a-b</w:t>
      </w:r>
      <w:r w:rsidR="007A574A">
        <w:t xml:space="preserve"> are aimed at covering the six study types and the four types of additional requirements</w:t>
      </w:r>
      <w:r>
        <w:t xml:space="preserve">. </w:t>
      </w:r>
      <w:r w:rsidR="007A574A">
        <w:t xml:space="preserve"> </w:t>
      </w:r>
      <w:r>
        <w:t>Selection criteria c-f</w:t>
      </w:r>
      <w:r w:rsidR="007A574A">
        <w:t xml:space="preserve"> focus at enhancing feasibilty of the selected LUCs and on minimising risks that they would not deliver.</w:t>
      </w:r>
    </w:p>
    <w:p w14:paraId="5D1D8D42" w14:textId="4F2FC146" w:rsidR="00F13BF2" w:rsidRPr="00F13BF2" w:rsidRDefault="00F13BF2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F13BF2">
        <w:t>Each</w:t>
      </w:r>
      <w:r w:rsidR="006F6860">
        <w:t xml:space="preserve"> selected</w:t>
      </w:r>
      <w:r w:rsidRPr="00F13BF2">
        <w:t xml:space="preserve"> </w:t>
      </w:r>
      <w:r w:rsidR="000530A8">
        <w:t>lighthouse study</w:t>
      </w:r>
      <w:r w:rsidRPr="00F13BF2">
        <w:t xml:space="preserve"> is linked to one</w:t>
      </w:r>
      <w:r w:rsidR="006F6860">
        <w:t xml:space="preserve"> of the</w:t>
      </w:r>
      <w:r w:rsidRPr="00F13BF2">
        <w:t xml:space="preserve"> study type</w:t>
      </w:r>
      <w:r w:rsidR="006F6860">
        <w:t>s</w:t>
      </w:r>
      <w:r w:rsidR="00DC5ACE">
        <w:t xml:space="preserve"> A-F</w:t>
      </w:r>
      <w:r w:rsidRPr="00F13BF2">
        <w:t xml:space="preserve"> </w:t>
      </w:r>
      <w:r w:rsidR="006F6860">
        <w:t>listed above</w:t>
      </w:r>
      <w:r w:rsidR="00DC5ACE">
        <w:t xml:space="preserve">, or to data science training. </w:t>
      </w:r>
      <w:r w:rsidR="000530A8">
        <w:t>Lighthouse studies</w:t>
      </w:r>
      <w:r w:rsidR="00DC5ACE">
        <w:t xml:space="preserve"> may have one or more of the additional requirements i-iv.</w:t>
      </w:r>
    </w:p>
    <w:p w14:paraId="51C10D85" w14:textId="6E55FFBB" w:rsidR="00F13BF2" w:rsidRPr="00F13BF2" w:rsidRDefault="00DC5ACE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>
        <w:t>T</w:t>
      </w:r>
      <w:r w:rsidR="00F13BF2" w:rsidRPr="00F13BF2">
        <w:t xml:space="preserve">he </w:t>
      </w:r>
      <w:r w:rsidR="006F6860">
        <w:t xml:space="preserve">selected </w:t>
      </w:r>
      <w:r w:rsidR="00F13BF2" w:rsidRPr="00F13BF2">
        <w:t xml:space="preserve">set of </w:t>
      </w:r>
      <w:r w:rsidR="000530A8">
        <w:t>lighthouse studies</w:t>
      </w:r>
      <w:r>
        <w:t xml:space="preserve"> covers all six study types A-F and all four additional requirements i-iv. T</w:t>
      </w:r>
      <w:r w:rsidRPr="00F13BF2">
        <w:t xml:space="preserve">he </w:t>
      </w:r>
      <w:r>
        <w:t xml:space="preserve">selected </w:t>
      </w:r>
      <w:r w:rsidRPr="00F13BF2">
        <w:t xml:space="preserve">set of </w:t>
      </w:r>
      <w:r w:rsidR="000530A8">
        <w:t xml:space="preserve">lighthouse studies </w:t>
      </w:r>
      <w:r>
        <w:t>therefore</w:t>
      </w:r>
      <w:r w:rsidR="00F13BF2" w:rsidRPr="00F13BF2">
        <w:t xml:space="preserve"> </w:t>
      </w:r>
      <w:r w:rsidR="006F6860">
        <w:t>yields</w:t>
      </w:r>
      <w:r w:rsidR="00F13BF2" w:rsidRPr="00F13BF2">
        <w:t xml:space="preserve"> a comprehensive overview of </w:t>
      </w:r>
      <w:r w:rsidR="006F6860">
        <w:t>required</w:t>
      </w:r>
      <w:r w:rsidR="00F13BF2" w:rsidRPr="00F13BF2">
        <w:t xml:space="preserve"> </w:t>
      </w:r>
      <w:r w:rsidR="00F13BF2">
        <w:t>SDE</w:t>
      </w:r>
      <w:r w:rsidR="00F13BF2" w:rsidRPr="00F13BF2">
        <w:t xml:space="preserve"> functionalities</w:t>
      </w:r>
      <w:r>
        <w:t>.</w:t>
      </w:r>
    </w:p>
    <w:p w14:paraId="76307A69" w14:textId="7E13A7CE" w:rsidR="00F13BF2" w:rsidRPr="00F13BF2" w:rsidRDefault="00F13BF2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F13BF2">
        <w:t xml:space="preserve">Each </w:t>
      </w:r>
      <w:r w:rsidR="000530A8">
        <w:t>lighthouse stud</w:t>
      </w:r>
      <w:r w:rsidR="000530A8">
        <w:t xml:space="preserve">y </w:t>
      </w:r>
      <w:r w:rsidRPr="00F13BF2">
        <w:t>is linked to an existing project with</w:t>
      </w:r>
      <w:r w:rsidR="00AC7558">
        <w:t xml:space="preserve"> existing</w:t>
      </w:r>
      <w:r w:rsidRPr="00F13BF2">
        <w:t xml:space="preserve"> resources</w:t>
      </w:r>
      <w:r w:rsidR="00AC7558">
        <w:t>, a study team, and a skilled senior researcher that acts as principal investigator</w:t>
      </w:r>
    </w:p>
    <w:p w14:paraId="3CD4F8D8" w14:textId="7D954CA2" w:rsidR="00F13BF2" w:rsidRPr="00F13BF2" w:rsidRDefault="00AC7558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>
        <w:t>The</w:t>
      </w:r>
      <w:r w:rsidR="00F13BF2" w:rsidRPr="00F13BF2">
        <w:t xml:space="preserve"> principal investigator and research team have the willingness and capacity to define, implement, and test the </w:t>
      </w:r>
      <w:r w:rsidR="000530A8">
        <w:t>lighthouse stud</w:t>
      </w:r>
      <w:r w:rsidR="000530A8">
        <w:t>y</w:t>
      </w:r>
    </w:p>
    <w:p w14:paraId="515B431F" w14:textId="15E516B2" w:rsidR="00F13BF2" w:rsidRPr="00F13BF2" w:rsidRDefault="00F13BF2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F13BF2">
        <w:t xml:space="preserve">For each </w:t>
      </w:r>
      <w:r w:rsidR="000530A8">
        <w:t>lighthouse stud</w:t>
      </w:r>
      <w:r w:rsidR="000530A8">
        <w:t>y</w:t>
      </w:r>
      <w:r w:rsidR="000530A8">
        <w:t xml:space="preserve"> </w:t>
      </w:r>
      <w:r w:rsidRPr="00F13BF2">
        <w:t>there exist well-defined data specifications</w:t>
      </w:r>
      <w:r w:rsidR="00AC7558">
        <w:t xml:space="preserve"> and a data analysis plan</w:t>
      </w:r>
    </w:p>
    <w:p w14:paraId="6DBA4421" w14:textId="77703D55" w:rsidR="00683084" w:rsidRDefault="00F13BF2" w:rsidP="004F0635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F13BF2">
        <w:t xml:space="preserve">For each </w:t>
      </w:r>
      <w:r w:rsidR="000530A8">
        <w:t>lighthouse stud</w:t>
      </w:r>
      <w:r w:rsidR="000530A8">
        <w:t>y</w:t>
      </w:r>
      <w:r w:rsidR="000530A8">
        <w:t xml:space="preserve"> </w:t>
      </w:r>
      <w:r w:rsidRPr="00F13BF2">
        <w:t>there exists a legal basis for processing the data</w:t>
      </w:r>
    </w:p>
    <w:p w14:paraId="61C11A12" w14:textId="37EC557B" w:rsidR="00FE3DEE" w:rsidRDefault="00FE3DEE" w:rsidP="00FE3DEE">
      <w:pPr>
        <w:spacing w:before="120"/>
      </w:pPr>
    </w:p>
    <w:p w14:paraId="0098325E" w14:textId="69F46427" w:rsidR="00FE3DEE" w:rsidRDefault="00FE3DEE" w:rsidP="00FE3DEE">
      <w:r w:rsidRPr="00FE3DEE">
        <w:rPr>
          <w:b/>
          <w:bCs/>
        </w:rPr>
        <w:t>Next steps</w:t>
      </w:r>
      <w:r>
        <w:t xml:space="preserve">: </w:t>
      </w:r>
      <w:r w:rsidR="00CD7558">
        <w:t>W</w:t>
      </w:r>
      <w:r>
        <w:t xml:space="preserve">e will identify potential </w:t>
      </w:r>
      <w:r w:rsidR="000530A8">
        <w:t xml:space="preserve">lighthouse studies </w:t>
      </w:r>
      <w:r>
        <w:t>for each study type, liaise with the study teams and principal investigators, and assess them against these criteria.</w:t>
      </w:r>
    </w:p>
    <w:sectPr w:rsidR="00FE3DEE" w:rsidSect="00996091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D59E" w14:textId="77777777" w:rsidR="00AB2CD5" w:rsidRDefault="00AB2CD5" w:rsidP="00F14ED1">
      <w:r>
        <w:separator/>
      </w:r>
    </w:p>
  </w:endnote>
  <w:endnote w:type="continuationSeparator" w:id="0">
    <w:p w14:paraId="26F9F223" w14:textId="77777777" w:rsidR="00AB2CD5" w:rsidRDefault="00AB2CD5" w:rsidP="00F1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1998408"/>
      <w:docPartObj>
        <w:docPartGallery w:val="Page Numbers (Bottom of Page)"/>
        <w:docPartUnique/>
      </w:docPartObj>
    </w:sdtPr>
    <w:sdtContent>
      <w:p w14:paraId="10AB4CC5" w14:textId="012AC504" w:rsidR="00F14ED1" w:rsidRDefault="00F14ED1" w:rsidP="00506D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EA3977" w14:textId="77777777" w:rsidR="00F14ED1" w:rsidRDefault="00F14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2204811"/>
      <w:docPartObj>
        <w:docPartGallery w:val="Page Numbers (Bottom of Page)"/>
        <w:docPartUnique/>
      </w:docPartObj>
    </w:sdtPr>
    <w:sdtContent>
      <w:p w14:paraId="6278D8C0" w14:textId="2A94A3F1" w:rsidR="00F14ED1" w:rsidRDefault="00F14ED1" w:rsidP="00506D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D1BE28" w14:textId="77777777" w:rsidR="00F14ED1" w:rsidRDefault="00F1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5C6C" w14:textId="77777777" w:rsidR="00AB2CD5" w:rsidRDefault="00AB2CD5" w:rsidP="00F14ED1">
      <w:r>
        <w:separator/>
      </w:r>
    </w:p>
  </w:footnote>
  <w:footnote w:type="continuationSeparator" w:id="0">
    <w:p w14:paraId="27F26EE2" w14:textId="77777777" w:rsidR="00AB2CD5" w:rsidRDefault="00AB2CD5" w:rsidP="00F1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F0B"/>
    <w:multiLevelType w:val="hybridMultilevel"/>
    <w:tmpl w:val="1A00E006"/>
    <w:lvl w:ilvl="0" w:tplc="8372217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3D35"/>
    <w:multiLevelType w:val="hybridMultilevel"/>
    <w:tmpl w:val="8FAC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3C5"/>
    <w:multiLevelType w:val="hybridMultilevel"/>
    <w:tmpl w:val="95D22F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E2B9A"/>
    <w:multiLevelType w:val="hybridMultilevel"/>
    <w:tmpl w:val="942E2DA4"/>
    <w:lvl w:ilvl="0" w:tplc="4CE2C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85446"/>
    <w:multiLevelType w:val="hybridMultilevel"/>
    <w:tmpl w:val="B792D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705FA"/>
    <w:multiLevelType w:val="hybridMultilevel"/>
    <w:tmpl w:val="E72E58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3743">
    <w:abstractNumId w:val="5"/>
  </w:num>
  <w:num w:numId="2" w16cid:durableId="56365697">
    <w:abstractNumId w:val="4"/>
  </w:num>
  <w:num w:numId="3" w16cid:durableId="1923366193">
    <w:abstractNumId w:val="1"/>
  </w:num>
  <w:num w:numId="4" w16cid:durableId="286353435">
    <w:abstractNumId w:val="3"/>
  </w:num>
  <w:num w:numId="5" w16cid:durableId="471335428">
    <w:abstractNumId w:val="2"/>
  </w:num>
  <w:num w:numId="6" w16cid:durableId="197167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F2"/>
    <w:rsid w:val="0000066D"/>
    <w:rsid w:val="00023ED9"/>
    <w:rsid w:val="00025A86"/>
    <w:rsid w:val="00026BC4"/>
    <w:rsid w:val="00027D8B"/>
    <w:rsid w:val="00031747"/>
    <w:rsid w:val="00033AC5"/>
    <w:rsid w:val="00041F4F"/>
    <w:rsid w:val="0004460B"/>
    <w:rsid w:val="0005254E"/>
    <w:rsid w:val="000529A1"/>
    <w:rsid w:val="000530A8"/>
    <w:rsid w:val="00054B87"/>
    <w:rsid w:val="000551D1"/>
    <w:rsid w:val="00056FDB"/>
    <w:rsid w:val="00062BE1"/>
    <w:rsid w:val="00071C03"/>
    <w:rsid w:val="00071D47"/>
    <w:rsid w:val="000778AE"/>
    <w:rsid w:val="00080127"/>
    <w:rsid w:val="000803DF"/>
    <w:rsid w:val="00081870"/>
    <w:rsid w:val="00081E62"/>
    <w:rsid w:val="000825C3"/>
    <w:rsid w:val="0008479D"/>
    <w:rsid w:val="00091495"/>
    <w:rsid w:val="000957EF"/>
    <w:rsid w:val="000A1C41"/>
    <w:rsid w:val="000B2CF4"/>
    <w:rsid w:val="000B6F3F"/>
    <w:rsid w:val="000C1BCC"/>
    <w:rsid w:val="000C2053"/>
    <w:rsid w:val="000D786F"/>
    <w:rsid w:val="000E7ABD"/>
    <w:rsid w:val="000F6BE1"/>
    <w:rsid w:val="00105E32"/>
    <w:rsid w:val="00106E11"/>
    <w:rsid w:val="001070B6"/>
    <w:rsid w:val="00110056"/>
    <w:rsid w:val="001108A2"/>
    <w:rsid w:val="0011179C"/>
    <w:rsid w:val="00113B5E"/>
    <w:rsid w:val="0011638E"/>
    <w:rsid w:val="00120FC0"/>
    <w:rsid w:val="00123FC5"/>
    <w:rsid w:val="001266F3"/>
    <w:rsid w:val="001271B8"/>
    <w:rsid w:val="001414E7"/>
    <w:rsid w:val="001434A7"/>
    <w:rsid w:val="001445C0"/>
    <w:rsid w:val="00150D9B"/>
    <w:rsid w:val="00151A18"/>
    <w:rsid w:val="00162836"/>
    <w:rsid w:val="00175440"/>
    <w:rsid w:val="001815EB"/>
    <w:rsid w:val="001823C6"/>
    <w:rsid w:val="00182467"/>
    <w:rsid w:val="00184D38"/>
    <w:rsid w:val="001908F6"/>
    <w:rsid w:val="00193493"/>
    <w:rsid w:val="00193D78"/>
    <w:rsid w:val="00195261"/>
    <w:rsid w:val="001958B3"/>
    <w:rsid w:val="001A7D8B"/>
    <w:rsid w:val="001B6756"/>
    <w:rsid w:val="001B7B5F"/>
    <w:rsid w:val="001C1D86"/>
    <w:rsid w:val="001C7FC4"/>
    <w:rsid w:val="001D492D"/>
    <w:rsid w:val="001D4FE1"/>
    <w:rsid w:val="001E07C9"/>
    <w:rsid w:val="001E3F55"/>
    <w:rsid w:val="001E5254"/>
    <w:rsid w:val="001F1180"/>
    <w:rsid w:val="001F3980"/>
    <w:rsid w:val="001F4B18"/>
    <w:rsid w:val="001F6087"/>
    <w:rsid w:val="001F6780"/>
    <w:rsid w:val="00202E9A"/>
    <w:rsid w:val="0020781E"/>
    <w:rsid w:val="002134D2"/>
    <w:rsid w:val="00215B9F"/>
    <w:rsid w:val="00216CC0"/>
    <w:rsid w:val="00220A6B"/>
    <w:rsid w:val="00222885"/>
    <w:rsid w:val="00222C79"/>
    <w:rsid w:val="002314B0"/>
    <w:rsid w:val="002329DC"/>
    <w:rsid w:val="0023391E"/>
    <w:rsid w:val="002355B0"/>
    <w:rsid w:val="00235F92"/>
    <w:rsid w:val="00236476"/>
    <w:rsid w:val="002433F9"/>
    <w:rsid w:val="00246609"/>
    <w:rsid w:val="002535E8"/>
    <w:rsid w:val="00253803"/>
    <w:rsid w:val="00254128"/>
    <w:rsid w:val="00255717"/>
    <w:rsid w:val="00261A03"/>
    <w:rsid w:val="00266A5C"/>
    <w:rsid w:val="00266F6E"/>
    <w:rsid w:val="00267B38"/>
    <w:rsid w:val="002718EF"/>
    <w:rsid w:val="00275939"/>
    <w:rsid w:val="0028254C"/>
    <w:rsid w:val="00283247"/>
    <w:rsid w:val="00293CDD"/>
    <w:rsid w:val="002A4D61"/>
    <w:rsid w:val="002A4F75"/>
    <w:rsid w:val="002A7770"/>
    <w:rsid w:val="002B7E4E"/>
    <w:rsid w:val="002C4B68"/>
    <w:rsid w:val="002C528C"/>
    <w:rsid w:val="002C788F"/>
    <w:rsid w:val="002D11ED"/>
    <w:rsid w:val="002D3F3C"/>
    <w:rsid w:val="002D536B"/>
    <w:rsid w:val="002E19A9"/>
    <w:rsid w:val="002E1A7C"/>
    <w:rsid w:val="002E27A5"/>
    <w:rsid w:val="002E5E96"/>
    <w:rsid w:val="002E6DF9"/>
    <w:rsid w:val="002E760C"/>
    <w:rsid w:val="002F3E4C"/>
    <w:rsid w:val="002F56CD"/>
    <w:rsid w:val="00300016"/>
    <w:rsid w:val="003006FE"/>
    <w:rsid w:val="00301835"/>
    <w:rsid w:val="003078D7"/>
    <w:rsid w:val="003134BB"/>
    <w:rsid w:val="0031546B"/>
    <w:rsid w:val="0031761D"/>
    <w:rsid w:val="003236B6"/>
    <w:rsid w:val="00326B2D"/>
    <w:rsid w:val="003343A2"/>
    <w:rsid w:val="0034260B"/>
    <w:rsid w:val="00344A98"/>
    <w:rsid w:val="003459E4"/>
    <w:rsid w:val="003469B9"/>
    <w:rsid w:val="00350A70"/>
    <w:rsid w:val="00351484"/>
    <w:rsid w:val="0035623C"/>
    <w:rsid w:val="003621E4"/>
    <w:rsid w:val="0036336A"/>
    <w:rsid w:val="003663DB"/>
    <w:rsid w:val="003708E3"/>
    <w:rsid w:val="00370BE6"/>
    <w:rsid w:val="003749A3"/>
    <w:rsid w:val="00375CD3"/>
    <w:rsid w:val="003810BA"/>
    <w:rsid w:val="00381FFF"/>
    <w:rsid w:val="00390037"/>
    <w:rsid w:val="00394528"/>
    <w:rsid w:val="0039795C"/>
    <w:rsid w:val="003A1DE7"/>
    <w:rsid w:val="003A6084"/>
    <w:rsid w:val="003A718B"/>
    <w:rsid w:val="003C4234"/>
    <w:rsid w:val="003D10C1"/>
    <w:rsid w:val="003D2FE5"/>
    <w:rsid w:val="003D38FE"/>
    <w:rsid w:val="003D4D32"/>
    <w:rsid w:val="003E0E13"/>
    <w:rsid w:val="003E58AC"/>
    <w:rsid w:val="003F6090"/>
    <w:rsid w:val="003F65EE"/>
    <w:rsid w:val="00406FE1"/>
    <w:rsid w:val="004112E1"/>
    <w:rsid w:val="00424DD3"/>
    <w:rsid w:val="00431E21"/>
    <w:rsid w:val="00431F26"/>
    <w:rsid w:val="004337E3"/>
    <w:rsid w:val="00440731"/>
    <w:rsid w:val="0044123D"/>
    <w:rsid w:val="004466D6"/>
    <w:rsid w:val="00457339"/>
    <w:rsid w:val="00461CA9"/>
    <w:rsid w:val="00462938"/>
    <w:rsid w:val="00463A2E"/>
    <w:rsid w:val="00472B75"/>
    <w:rsid w:val="00473A4E"/>
    <w:rsid w:val="00477F04"/>
    <w:rsid w:val="0048023A"/>
    <w:rsid w:val="0049473F"/>
    <w:rsid w:val="004A2A63"/>
    <w:rsid w:val="004B35CF"/>
    <w:rsid w:val="004B52A2"/>
    <w:rsid w:val="004C0D22"/>
    <w:rsid w:val="004C1679"/>
    <w:rsid w:val="004C25ED"/>
    <w:rsid w:val="004D1255"/>
    <w:rsid w:val="004E6481"/>
    <w:rsid w:val="004E7784"/>
    <w:rsid w:val="004F0635"/>
    <w:rsid w:val="005064A8"/>
    <w:rsid w:val="00511AB9"/>
    <w:rsid w:val="00522988"/>
    <w:rsid w:val="00523ECA"/>
    <w:rsid w:val="00526CD9"/>
    <w:rsid w:val="00532BB8"/>
    <w:rsid w:val="00550801"/>
    <w:rsid w:val="00564B79"/>
    <w:rsid w:val="00570EC2"/>
    <w:rsid w:val="00572FF6"/>
    <w:rsid w:val="005730A0"/>
    <w:rsid w:val="005735AE"/>
    <w:rsid w:val="00573EA8"/>
    <w:rsid w:val="00574B8C"/>
    <w:rsid w:val="005840D9"/>
    <w:rsid w:val="005931CA"/>
    <w:rsid w:val="00597FC6"/>
    <w:rsid w:val="005A01BD"/>
    <w:rsid w:val="005A1D51"/>
    <w:rsid w:val="005A1F2A"/>
    <w:rsid w:val="005C2CE3"/>
    <w:rsid w:val="005C5EA6"/>
    <w:rsid w:val="005C623D"/>
    <w:rsid w:val="005C7BB1"/>
    <w:rsid w:val="005D0EBF"/>
    <w:rsid w:val="005D153C"/>
    <w:rsid w:val="00600433"/>
    <w:rsid w:val="00614135"/>
    <w:rsid w:val="00615B57"/>
    <w:rsid w:val="00617E99"/>
    <w:rsid w:val="0063338E"/>
    <w:rsid w:val="00642408"/>
    <w:rsid w:val="0065271E"/>
    <w:rsid w:val="00683084"/>
    <w:rsid w:val="00683D88"/>
    <w:rsid w:val="00695146"/>
    <w:rsid w:val="0069600B"/>
    <w:rsid w:val="00697265"/>
    <w:rsid w:val="006A526D"/>
    <w:rsid w:val="006B2F35"/>
    <w:rsid w:val="006B3225"/>
    <w:rsid w:val="006B5720"/>
    <w:rsid w:val="006B5924"/>
    <w:rsid w:val="006C07AD"/>
    <w:rsid w:val="006C255F"/>
    <w:rsid w:val="006D19C7"/>
    <w:rsid w:val="006D329C"/>
    <w:rsid w:val="006D3315"/>
    <w:rsid w:val="006E2BD6"/>
    <w:rsid w:val="006E5E1D"/>
    <w:rsid w:val="006E75C0"/>
    <w:rsid w:val="006F6768"/>
    <w:rsid w:val="006F6860"/>
    <w:rsid w:val="00703CC9"/>
    <w:rsid w:val="007052EC"/>
    <w:rsid w:val="00707AE9"/>
    <w:rsid w:val="00714CA3"/>
    <w:rsid w:val="00730ADF"/>
    <w:rsid w:val="00732E15"/>
    <w:rsid w:val="007353F5"/>
    <w:rsid w:val="00736B8A"/>
    <w:rsid w:val="00736CD8"/>
    <w:rsid w:val="00740A83"/>
    <w:rsid w:val="00753D16"/>
    <w:rsid w:val="00757AE3"/>
    <w:rsid w:val="00761FB1"/>
    <w:rsid w:val="00762698"/>
    <w:rsid w:val="0076432D"/>
    <w:rsid w:val="00766C93"/>
    <w:rsid w:val="00774572"/>
    <w:rsid w:val="0077640F"/>
    <w:rsid w:val="00781A65"/>
    <w:rsid w:val="0078354C"/>
    <w:rsid w:val="0078572D"/>
    <w:rsid w:val="00791703"/>
    <w:rsid w:val="00795B07"/>
    <w:rsid w:val="007967BC"/>
    <w:rsid w:val="007968B2"/>
    <w:rsid w:val="007A1771"/>
    <w:rsid w:val="007A4822"/>
    <w:rsid w:val="007A574A"/>
    <w:rsid w:val="007A6687"/>
    <w:rsid w:val="007C6B98"/>
    <w:rsid w:val="007D306B"/>
    <w:rsid w:val="007D3C7A"/>
    <w:rsid w:val="007D562E"/>
    <w:rsid w:val="007D7A40"/>
    <w:rsid w:val="008150C5"/>
    <w:rsid w:val="00816C17"/>
    <w:rsid w:val="00820F7E"/>
    <w:rsid w:val="00823CF7"/>
    <w:rsid w:val="00825DDB"/>
    <w:rsid w:val="00833F19"/>
    <w:rsid w:val="00840B6A"/>
    <w:rsid w:val="00850980"/>
    <w:rsid w:val="00851A38"/>
    <w:rsid w:val="00856BA8"/>
    <w:rsid w:val="008621B1"/>
    <w:rsid w:val="008676E3"/>
    <w:rsid w:val="00875A9E"/>
    <w:rsid w:val="00882568"/>
    <w:rsid w:val="008835A5"/>
    <w:rsid w:val="00887C86"/>
    <w:rsid w:val="0089583B"/>
    <w:rsid w:val="008A01C7"/>
    <w:rsid w:val="008A24F1"/>
    <w:rsid w:val="008A332A"/>
    <w:rsid w:val="008A57A1"/>
    <w:rsid w:val="008B0041"/>
    <w:rsid w:val="008B0D49"/>
    <w:rsid w:val="008B1A21"/>
    <w:rsid w:val="008B1B63"/>
    <w:rsid w:val="008B3D77"/>
    <w:rsid w:val="008B7FC1"/>
    <w:rsid w:val="008C1CEB"/>
    <w:rsid w:val="008D145A"/>
    <w:rsid w:val="008D7644"/>
    <w:rsid w:val="008E6869"/>
    <w:rsid w:val="008F1042"/>
    <w:rsid w:val="008F145A"/>
    <w:rsid w:val="008F7031"/>
    <w:rsid w:val="00900231"/>
    <w:rsid w:val="009048D3"/>
    <w:rsid w:val="00910201"/>
    <w:rsid w:val="00911167"/>
    <w:rsid w:val="0091158D"/>
    <w:rsid w:val="009124AB"/>
    <w:rsid w:val="00916594"/>
    <w:rsid w:val="00916E20"/>
    <w:rsid w:val="00920739"/>
    <w:rsid w:val="00926A5E"/>
    <w:rsid w:val="00930259"/>
    <w:rsid w:val="00953471"/>
    <w:rsid w:val="00970001"/>
    <w:rsid w:val="00974099"/>
    <w:rsid w:val="009741FE"/>
    <w:rsid w:val="00981C5B"/>
    <w:rsid w:val="00982A5C"/>
    <w:rsid w:val="00996091"/>
    <w:rsid w:val="009A4093"/>
    <w:rsid w:val="009A413D"/>
    <w:rsid w:val="009B4128"/>
    <w:rsid w:val="009B79AF"/>
    <w:rsid w:val="009D6BAE"/>
    <w:rsid w:val="009E1062"/>
    <w:rsid w:val="009E1A70"/>
    <w:rsid w:val="009E22A6"/>
    <w:rsid w:val="00A00115"/>
    <w:rsid w:val="00A01F32"/>
    <w:rsid w:val="00A03B17"/>
    <w:rsid w:val="00A115CD"/>
    <w:rsid w:val="00A121DF"/>
    <w:rsid w:val="00A165A2"/>
    <w:rsid w:val="00A23EEC"/>
    <w:rsid w:val="00A24956"/>
    <w:rsid w:val="00A27545"/>
    <w:rsid w:val="00A410C3"/>
    <w:rsid w:val="00A42A21"/>
    <w:rsid w:val="00A443A3"/>
    <w:rsid w:val="00A50775"/>
    <w:rsid w:val="00A5635B"/>
    <w:rsid w:val="00A64A22"/>
    <w:rsid w:val="00A73544"/>
    <w:rsid w:val="00A73F28"/>
    <w:rsid w:val="00A753FD"/>
    <w:rsid w:val="00A764F9"/>
    <w:rsid w:val="00A82F98"/>
    <w:rsid w:val="00A83E9F"/>
    <w:rsid w:val="00A852D1"/>
    <w:rsid w:val="00A87208"/>
    <w:rsid w:val="00A915B0"/>
    <w:rsid w:val="00A91A55"/>
    <w:rsid w:val="00A92C07"/>
    <w:rsid w:val="00A93750"/>
    <w:rsid w:val="00A9404A"/>
    <w:rsid w:val="00AA262D"/>
    <w:rsid w:val="00AA4CE4"/>
    <w:rsid w:val="00AA6492"/>
    <w:rsid w:val="00AA7461"/>
    <w:rsid w:val="00AB2CD5"/>
    <w:rsid w:val="00AB306A"/>
    <w:rsid w:val="00AB39BA"/>
    <w:rsid w:val="00AB5F08"/>
    <w:rsid w:val="00AC28D5"/>
    <w:rsid w:val="00AC2FC7"/>
    <w:rsid w:val="00AC397A"/>
    <w:rsid w:val="00AC3DCD"/>
    <w:rsid w:val="00AC7558"/>
    <w:rsid w:val="00AD4665"/>
    <w:rsid w:val="00AD5423"/>
    <w:rsid w:val="00AD6060"/>
    <w:rsid w:val="00AE0B94"/>
    <w:rsid w:val="00AE2B3D"/>
    <w:rsid w:val="00AE3353"/>
    <w:rsid w:val="00AE3398"/>
    <w:rsid w:val="00AE3A49"/>
    <w:rsid w:val="00AE6529"/>
    <w:rsid w:val="00AE73D0"/>
    <w:rsid w:val="00B03EF1"/>
    <w:rsid w:val="00B07575"/>
    <w:rsid w:val="00B11F63"/>
    <w:rsid w:val="00B13D82"/>
    <w:rsid w:val="00B1447D"/>
    <w:rsid w:val="00B14509"/>
    <w:rsid w:val="00B16F16"/>
    <w:rsid w:val="00B22B3A"/>
    <w:rsid w:val="00B26188"/>
    <w:rsid w:val="00B26E6F"/>
    <w:rsid w:val="00B27622"/>
    <w:rsid w:val="00B32252"/>
    <w:rsid w:val="00B35775"/>
    <w:rsid w:val="00B423BF"/>
    <w:rsid w:val="00B426AD"/>
    <w:rsid w:val="00B50E23"/>
    <w:rsid w:val="00B52AA7"/>
    <w:rsid w:val="00B56C3E"/>
    <w:rsid w:val="00B56ED3"/>
    <w:rsid w:val="00B65811"/>
    <w:rsid w:val="00B65EF1"/>
    <w:rsid w:val="00B6611D"/>
    <w:rsid w:val="00B75B9C"/>
    <w:rsid w:val="00B906FF"/>
    <w:rsid w:val="00B92A79"/>
    <w:rsid w:val="00BA0EE3"/>
    <w:rsid w:val="00BA349F"/>
    <w:rsid w:val="00BA398A"/>
    <w:rsid w:val="00BA7510"/>
    <w:rsid w:val="00BB755F"/>
    <w:rsid w:val="00BC0ECB"/>
    <w:rsid w:val="00BC363A"/>
    <w:rsid w:val="00BC503E"/>
    <w:rsid w:val="00BC6855"/>
    <w:rsid w:val="00BD7D6D"/>
    <w:rsid w:val="00BE069F"/>
    <w:rsid w:val="00BF77CB"/>
    <w:rsid w:val="00C009A7"/>
    <w:rsid w:val="00C024AC"/>
    <w:rsid w:val="00C046D4"/>
    <w:rsid w:val="00C10BF3"/>
    <w:rsid w:val="00C15A7D"/>
    <w:rsid w:val="00C21144"/>
    <w:rsid w:val="00C249FD"/>
    <w:rsid w:val="00C40C55"/>
    <w:rsid w:val="00C527C1"/>
    <w:rsid w:val="00C539DA"/>
    <w:rsid w:val="00C71AA0"/>
    <w:rsid w:val="00C76BC7"/>
    <w:rsid w:val="00C85A84"/>
    <w:rsid w:val="00C9285F"/>
    <w:rsid w:val="00CA0678"/>
    <w:rsid w:val="00CA261A"/>
    <w:rsid w:val="00CA2E0C"/>
    <w:rsid w:val="00CA2E89"/>
    <w:rsid w:val="00CA43ED"/>
    <w:rsid w:val="00CB3E62"/>
    <w:rsid w:val="00CB4899"/>
    <w:rsid w:val="00CC7507"/>
    <w:rsid w:val="00CD0B24"/>
    <w:rsid w:val="00CD213D"/>
    <w:rsid w:val="00CD7558"/>
    <w:rsid w:val="00CD7E7E"/>
    <w:rsid w:val="00CE211E"/>
    <w:rsid w:val="00CE30D9"/>
    <w:rsid w:val="00CE3F45"/>
    <w:rsid w:val="00CF135A"/>
    <w:rsid w:val="00CF48F8"/>
    <w:rsid w:val="00CF6A16"/>
    <w:rsid w:val="00CF6B7F"/>
    <w:rsid w:val="00D0192B"/>
    <w:rsid w:val="00D02BA0"/>
    <w:rsid w:val="00D11D58"/>
    <w:rsid w:val="00D22FAB"/>
    <w:rsid w:val="00D25FC3"/>
    <w:rsid w:val="00D27B7D"/>
    <w:rsid w:val="00D31CBF"/>
    <w:rsid w:val="00D33276"/>
    <w:rsid w:val="00D35DDF"/>
    <w:rsid w:val="00D37B51"/>
    <w:rsid w:val="00D47530"/>
    <w:rsid w:val="00D671BD"/>
    <w:rsid w:val="00D6735B"/>
    <w:rsid w:val="00D87231"/>
    <w:rsid w:val="00DA128F"/>
    <w:rsid w:val="00DB045D"/>
    <w:rsid w:val="00DB3E16"/>
    <w:rsid w:val="00DB7E8A"/>
    <w:rsid w:val="00DC03D3"/>
    <w:rsid w:val="00DC3FBA"/>
    <w:rsid w:val="00DC491F"/>
    <w:rsid w:val="00DC5ACE"/>
    <w:rsid w:val="00DC6164"/>
    <w:rsid w:val="00DC634B"/>
    <w:rsid w:val="00DC63C5"/>
    <w:rsid w:val="00DE4BD3"/>
    <w:rsid w:val="00DE66F6"/>
    <w:rsid w:val="00DF423F"/>
    <w:rsid w:val="00DF7A8B"/>
    <w:rsid w:val="00E03C89"/>
    <w:rsid w:val="00E03E52"/>
    <w:rsid w:val="00E04601"/>
    <w:rsid w:val="00E13321"/>
    <w:rsid w:val="00E13E80"/>
    <w:rsid w:val="00E1795B"/>
    <w:rsid w:val="00E2219E"/>
    <w:rsid w:val="00E244A0"/>
    <w:rsid w:val="00E27BF2"/>
    <w:rsid w:val="00E47F02"/>
    <w:rsid w:val="00E70450"/>
    <w:rsid w:val="00E712FF"/>
    <w:rsid w:val="00E82DCC"/>
    <w:rsid w:val="00E947FD"/>
    <w:rsid w:val="00EA5D86"/>
    <w:rsid w:val="00EC44B7"/>
    <w:rsid w:val="00ED5E8F"/>
    <w:rsid w:val="00ED6D59"/>
    <w:rsid w:val="00EE0B46"/>
    <w:rsid w:val="00EE3297"/>
    <w:rsid w:val="00EE5BE2"/>
    <w:rsid w:val="00EF01B0"/>
    <w:rsid w:val="00EF01CD"/>
    <w:rsid w:val="00EF4E7C"/>
    <w:rsid w:val="00F00700"/>
    <w:rsid w:val="00F05222"/>
    <w:rsid w:val="00F05F7D"/>
    <w:rsid w:val="00F06767"/>
    <w:rsid w:val="00F12BB2"/>
    <w:rsid w:val="00F13BF2"/>
    <w:rsid w:val="00F14ED1"/>
    <w:rsid w:val="00F15C7C"/>
    <w:rsid w:val="00F22E3A"/>
    <w:rsid w:val="00F33A3F"/>
    <w:rsid w:val="00F33A7F"/>
    <w:rsid w:val="00F52731"/>
    <w:rsid w:val="00F57717"/>
    <w:rsid w:val="00F62C1E"/>
    <w:rsid w:val="00F65D02"/>
    <w:rsid w:val="00F6743B"/>
    <w:rsid w:val="00F73F4A"/>
    <w:rsid w:val="00F76D7A"/>
    <w:rsid w:val="00F86D4F"/>
    <w:rsid w:val="00F87317"/>
    <w:rsid w:val="00F92E39"/>
    <w:rsid w:val="00FA163F"/>
    <w:rsid w:val="00FA2DFC"/>
    <w:rsid w:val="00FA5174"/>
    <w:rsid w:val="00FA5FF0"/>
    <w:rsid w:val="00FB1F70"/>
    <w:rsid w:val="00FB323D"/>
    <w:rsid w:val="00FB4607"/>
    <w:rsid w:val="00FB563C"/>
    <w:rsid w:val="00FC6BFF"/>
    <w:rsid w:val="00FD1A34"/>
    <w:rsid w:val="00FD32AD"/>
    <w:rsid w:val="00FD41AD"/>
    <w:rsid w:val="00FD47FE"/>
    <w:rsid w:val="00FD58D4"/>
    <w:rsid w:val="00FD5A15"/>
    <w:rsid w:val="00FD6F54"/>
    <w:rsid w:val="00FE3DEE"/>
    <w:rsid w:val="00FE5229"/>
    <w:rsid w:val="00FE5C91"/>
    <w:rsid w:val="00FF0692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8B3AF"/>
  <w14:defaultImageDpi w14:val="32767"/>
  <w15:chartTrackingRefBased/>
  <w15:docId w15:val="{F0E7C0D0-A365-AE47-BBF1-FD66D8A7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4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ED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4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ED1"/>
  </w:style>
  <w:style w:type="character" w:styleId="PageNumber">
    <w:name w:val="page number"/>
    <w:basedOn w:val="DefaultParagraphFont"/>
    <w:uiPriority w:val="99"/>
    <w:semiHidden/>
    <w:unhideWhenUsed/>
    <w:rsid w:val="00F1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Peek</dc:creator>
  <cp:keywords/>
  <dc:description/>
  <cp:lastModifiedBy>Niels Peek</cp:lastModifiedBy>
  <cp:revision>3</cp:revision>
  <dcterms:created xsi:type="dcterms:W3CDTF">2023-02-07T07:23:00Z</dcterms:created>
  <dcterms:modified xsi:type="dcterms:W3CDTF">2023-02-07T07:25:00Z</dcterms:modified>
</cp:coreProperties>
</file>