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FAA3" w14:textId="7372A230" w:rsidR="00745F31" w:rsidRDefault="0098022E">
      <w:r w:rsidRPr="00666D30">
        <w:rPr>
          <w:b/>
          <w:noProof/>
          <w:lang w:eastAsia="en-GB"/>
        </w:rPr>
        <w:drawing>
          <wp:inline distT="0" distB="0" distL="0" distR="0" wp14:anchorId="0FC4F012" wp14:editId="113A93EC">
            <wp:extent cx="1663700" cy="711200"/>
            <wp:effectExtent l="0" t="0" r="0" b="0"/>
            <wp:docPr id="1" name="Picture 5" descr="TAB_col_white_backgrou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5" descr="TAB_col_white_background.ep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9ABF91C" w14:textId="3EB6553F" w:rsidR="007D7C64" w:rsidRPr="007D7C64" w:rsidRDefault="0098022E">
      <w:pPr>
        <w:rPr>
          <w:b/>
          <w:bCs/>
        </w:rPr>
      </w:pPr>
      <w:r>
        <w:rPr>
          <w:b/>
          <w:bCs/>
        </w:rPr>
        <w:t xml:space="preserve">Faculty of Humanities - </w:t>
      </w:r>
      <w:r w:rsidR="007D7C64" w:rsidRPr="007D7C64">
        <w:rPr>
          <w:b/>
          <w:bCs/>
        </w:rPr>
        <w:t>Attendance and Participation Marks</w:t>
      </w:r>
      <w:r w:rsidR="002F749E">
        <w:rPr>
          <w:b/>
          <w:bCs/>
        </w:rPr>
        <w:t xml:space="preserve"> Policy</w:t>
      </w:r>
    </w:p>
    <w:p w14:paraId="6A60091F" w14:textId="77777777" w:rsidR="001C6611" w:rsidRDefault="001C6611" w:rsidP="004723CC"/>
    <w:p w14:paraId="05AF19D8" w14:textId="2D988594" w:rsidR="001C6611" w:rsidRPr="00354891" w:rsidRDefault="0098022E" w:rsidP="0098022E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1C6611" w:rsidRPr="00354891">
        <w:rPr>
          <w:b/>
          <w:bCs/>
        </w:rPr>
        <w:t>Context</w:t>
      </w:r>
    </w:p>
    <w:p w14:paraId="5B20C4A0" w14:textId="6816031E" w:rsidR="008C04CA" w:rsidRDefault="00745F31" w:rsidP="004723CC">
      <w:pPr>
        <w:rPr>
          <w:rFonts w:cstheme="minorHAnsi"/>
        </w:rPr>
      </w:pPr>
      <w:r>
        <w:t>T</w:t>
      </w:r>
      <w:r w:rsidRPr="008E7C34">
        <w:t xml:space="preserve">he </w:t>
      </w:r>
      <w:r w:rsidR="007D3CB0">
        <w:t>University</w:t>
      </w:r>
      <w:r w:rsidRPr="008E7C34">
        <w:t xml:space="preserve"> </w:t>
      </w:r>
      <w:r w:rsidRPr="00F97075">
        <w:t xml:space="preserve">Disability </w:t>
      </w:r>
      <w:r w:rsidR="007D3CB0" w:rsidRPr="00F97075">
        <w:t xml:space="preserve">Advisory </w:t>
      </w:r>
      <w:r w:rsidRPr="00F97075">
        <w:t xml:space="preserve">Service has raised concerns about the use of marks for attendance and participation.  </w:t>
      </w:r>
      <w:r w:rsidR="00980CDC" w:rsidRPr="00F97075">
        <w:t>The</w:t>
      </w:r>
      <w:r w:rsidR="00F97075" w:rsidRPr="00F97075">
        <w:rPr>
          <w:rFonts w:cstheme="minorHAnsi"/>
          <w:shd w:val="clear" w:color="auto" w:fill="FFFFFF"/>
        </w:rPr>
        <w:t xml:space="preserve"> anticipatory reasonable adjustment duty in the Equality Act 2010 requires providers of services to continually identify any possible disability-related disadvantage, and to take reasonable steps to avoid or remove it – failure to do so constituting unlawful discrimination</w:t>
      </w:r>
      <w:r w:rsidR="00F97075">
        <w:t xml:space="preserve">. </w:t>
      </w:r>
      <w:r w:rsidR="000364A2">
        <w:t>So, a</w:t>
      </w:r>
      <w:r w:rsidR="004723CC">
        <w:t xml:space="preserve">lthough students with a learning support plan or with valid reasons for not attending </w:t>
      </w:r>
      <w:r w:rsidR="00A875D7">
        <w:t xml:space="preserve">or not participating might </w:t>
      </w:r>
      <w:r w:rsidR="004723CC">
        <w:t xml:space="preserve">not be penalised, </w:t>
      </w:r>
      <w:r w:rsidR="002F36D2">
        <w:rPr>
          <w:rFonts w:cstheme="minorHAnsi"/>
        </w:rPr>
        <w:t xml:space="preserve">this individualised approach is not inclusive and anticipatory, as the University can reasonably be expected to know that disabled students requiring these adjustments will be in active study. </w:t>
      </w:r>
    </w:p>
    <w:p w14:paraId="480D71F5" w14:textId="48896607" w:rsidR="004723CC" w:rsidRDefault="00AC4A45" w:rsidP="004723CC">
      <w:r>
        <w:t>In addition</w:t>
      </w:r>
      <w:r w:rsidR="004723CC">
        <w:t xml:space="preserve">, there are students who may not be able to attend for reasons other than disability related ones, such as caring responsibilities, and </w:t>
      </w:r>
      <w:r>
        <w:t xml:space="preserve">these students do not have access to </w:t>
      </w:r>
      <w:r w:rsidR="004723CC">
        <w:t xml:space="preserve">a support plan </w:t>
      </w:r>
      <w:r w:rsidR="00C377F1">
        <w:t>but are</w:t>
      </w:r>
      <w:r w:rsidR="004723CC">
        <w:t xml:space="preserve"> also at risk of being unfairly penalised if they cannot attend and participate.   </w:t>
      </w:r>
    </w:p>
    <w:p w14:paraId="1B4CCAFF" w14:textId="687F15C6" w:rsidR="00745F31" w:rsidRDefault="004F261B" w:rsidP="00745F31">
      <w:r>
        <w:t xml:space="preserve">The University’s Disability Advisory Services have requested some practices be discontinued and others reviewed.  </w:t>
      </w:r>
      <w:r w:rsidR="00745F31">
        <w:t xml:space="preserve">In response, the Faculty of Humanities </w:t>
      </w:r>
      <w:r w:rsidR="00147E17">
        <w:t>requires</w:t>
      </w:r>
      <w:r w:rsidR="00745F31">
        <w:t xml:space="preserve"> adjustments to course unit assessment practices where marks are given for attendance or for participation.  </w:t>
      </w:r>
    </w:p>
    <w:p w14:paraId="19382367" w14:textId="4458E546" w:rsidR="00954C73" w:rsidRDefault="00954C73" w:rsidP="00954C73">
      <w:r>
        <w:t>These adjustments apply to all (including online, on-campus, validated) programmes and all forms of teaching (small group teaching/lectures etc) unless approval has been given for an exception</w:t>
      </w:r>
      <w:r w:rsidR="0098022E">
        <w:t xml:space="preserve"> (see section 4)</w:t>
      </w:r>
      <w:r>
        <w:t>.</w:t>
      </w:r>
    </w:p>
    <w:p w14:paraId="52FF2119" w14:textId="77777777" w:rsidR="004F261B" w:rsidRDefault="004F261B">
      <w:pPr>
        <w:rPr>
          <w:b/>
          <w:bCs/>
        </w:rPr>
      </w:pPr>
    </w:p>
    <w:p w14:paraId="62A47B9A" w14:textId="4041C3DC" w:rsidR="00745F31" w:rsidRPr="00745F31" w:rsidRDefault="0098022E">
      <w:pPr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="00745F31" w:rsidRPr="00745F31">
        <w:rPr>
          <w:b/>
          <w:bCs/>
        </w:rPr>
        <w:t>Marks for attendance</w:t>
      </w:r>
    </w:p>
    <w:p w14:paraId="76B94C52" w14:textId="2EE5AA5A" w:rsidR="0059134B" w:rsidRDefault="006E282C">
      <w:r>
        <w:t>General expectations for attendance and e</w:t>
      </w:r>
      <w:r w:rsidR="00125273">
        <w:t xml:space="preserve">xpectations for attendance </w:t>
      </w:r>
      <w:r w:rsidR="0059134B">
        <w:t xml:space="preserve">at specific sessions </w:t>
      </w:r>
      <w:r w:rsidR="00354891">
        <w:t>must</w:t>
      </w:r>
      <w:r w:rsidR="00125273">
        <w:t xml:space="preserve"> be made clear to students in advance a</w:t>
      </w:r>
      <w:r w:rsidR="0059134B">
        <w:t>s outlined in the University’s</w:t>
      </w:r>
      <w:r w:rsidR="00A65D90">
        <w:t xml:space="preserve"> </w:t>
      </w:r>
      <w:hyperlink r:id="rId12" w:history="1">
        <w:r w:rsidR="00A65D90" w:rsidRPr="005B18DA">
          <w:rPr>
            <w:rStyle w:val="Hyperlink"/>
          </w:rPr>
          <w:t>Policy on Reco</w:t>
        </w:r>
        <w:r w:rsidR="00C05A65" w:rsidRPr="005B18DA">
          <w:rPr>
            <w:rStyle w:val="Hyperlink"/>
          </w:rPr>
          <w:t>rding and Monitoring Attendance and Engagement</w:t>
        </w:r>
      </w:hyperlink>
      <w:r w:rsidR="00B55661">
        <w:t xml:space="preserve">, </w:t>
      </w:r>
      <w:hyperlink r:id="rId13" w:history="1">
        <w:r w:rsidR="00B55661" w:rsidRPr="005B34E5">
          <w:rPr>
            <w:rStyle w:val="Hyperlink"/>
          </w:rPr>
          <w:t>Guidelines for monitoring student attendance and engagement</w:t>
        </w:r>
      </w:hyperlink>
      <w:r w:rsidR="00B55661">
        <w:t xml:space="preserve"> </w:t>
      </w:r>
      <w:r w:rsidR="00C05A65">
        <w:t xml:space="preserve">and </w:t>
      </w:r>
      <w:hyperlink r:id="rId14" w:history="1">
        <w:r w:rsidR="00C05A65" w:rsidRPr="0080481E">
          <w:rPr>
            <w:rStyle w:val="Hyperlink"/>
          </w:rPr>
          <w:t>Regulation XX</w:t>
        </w:r>
      </w:hyperlink>
      <w:r w:rsidR="0059134B">
        <w:t>.</w:t>
      </w:r>
      <w:r w:rsidR="00D4296E" w:rsidRPr="00D4296E">
        <w:t xml:space="preserve"> </w:t>
      </w:r>
      <w:r w:rsidR="00D4296E">
        <w:t xml:space="preserve">Where attendance at specific sessions is compulsory </w:t>
      </w:r>
      <w:r w:rsidR="00D4296E">
        <w:rPr>
          <w:rFonts w:cstheme="minorHAnsi"/>
        </w:rPr>
        <w:t xml:space="preserve">because mandatory attendance is a robust </w:t>
      </w:r>
      <w:hyperlink r:id="rId15" w:anchor=":~:text=A%20competence%20standard%20is%20used%20by,2010%20defines%20a%20competence%20standard%20as%3A&amp;text=A%20competence%20standard%20is,a%20competence%20standard%20as%3A&amp;text=standard%20is%20used%20by,2010%20defines%20a%20competence" w:history="1">
        <w:r w:rsidR="00D4296E" w:rsidRPr="0044629E">
          <w:rPr>
            <w:rStyle w:val="Hyperlink"/>
            <w:rFonts w:cstheme="minorHAnsi"/>
          </w:rPr>
          <w:t>competence standard</w:t>
        </w:r>
      </w:hyperlink>
      <w:r w:rsidR="00D4296E">
        <w:rPr>
          <w:rFonts w:cstheme="minorHAnsi"/>
        </w:rPr>
        <w:t>, then this should be made clear to students.</w:t>
      </w:r>
    </w:p>
    <w:p w14:paraId="00CF47AC" w14:textId="173E9B5F" w:rsidR="00BA4D52" w:rsidRDefault="007D7C64">
      <w:r>
        <w:t xml:space="preserve">Students must </w:t>
      </w:r>
      <w:r w:rsidRPr="00354891">
        <w:rPr>
          <w:u w:val="single"/>
        </w:rPr>
        <w:t>not</w:t>
      </w:r>
      <w:r>
        <w:t xml:space="preserve"> be awarded marks for attendance alone.  </w:t>
      </w:r>
    </w:p>
    <w:p w14:paraId="6BC4A00C" w14:textId="77777777" w:rsidR="00B55661" w:rsidRDefault="00B55661">
      <w:pPr>
        <w:rPr>
          <w:rFonts w:cstheme="minorHAnsi"/>
        </w:rPr>
      </w:pPr>
    </w:p>
    <w:p w14:paraId="77EFC087" w14:textId="4B83F00E" w:rsidR="007D7C64" w:rsidRPr="00354891" w:rsidRDefault="0098022E" w:rsidP="0098022E">
      <w:pPr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7D7C64" w:rsidRPr="00354891">
        <w:rPr>
          <w:b/>
          <w:bCs/>
        </w:rPr>
        <w:t>Participation</w:t>
      </w:r>
    </w:p>
    <w:p w14:paraId="3710C638" w14:textId="5D850F84" w:rsidR="00745F31" w:rsidRDefault="00ED5092" w:rsidP="00745F31">
      <w:r>
        <w:t xml:space="preserve">There are many benefits to classroom participation: it engages students, offers them feedback, helps clarify what they </w:t>
      </w:r>
      <w:r w:rsidR="00A83B95">
        <w:t>understand and what needs further explanation, it encourages active learning etc</w:t>
      </w:r>
      <w:r>
        <w:t>.  Course units should be designed to encourage participation.  However, a</w:t>
      </w:r>
      <w:r w:rsidR="00745F31">
        <w:t xml:space="preserve">warding marks for ad-hoc contributions to teaching sessions (e.g. </w:t>
      </w:r>
      <w:r w:rsidR="00DF2240">
        <w:t xml:space="preserve">spontaneous </w:t>
      </w:r>
      <w:r w:rsidR="00745F31">
        <w:t xml:space="preserve">oral contributions </w:t>
      </w:r>
      <w:r w:rsidR="00F33526">
        <w:t>in</w:t>
      </w:r>
      <w:r w:rsidR="00745F31">
        <w:t xml:space="preserve"> seminars</w:t>
      </w:r>
      <w:r>
        <w:t>/lectures</w:t>
      </w:r>
      <w:r w:rsidR="00745F31">
        <w:t>) is not inclusive for students who have a disability</w:t>
      </w:r>
      <w:r w:rsidR="00A83B95" w:rsidRPr="00A83B95">
        <w:t xml:space="preserve"> </w:t>
      </w:r>
      <w:r w:rsidR="00A83B95">
        <w:t xml:space="preserve">that prevents them from participating in such </w:t>
      </w:r>
      <w:r w:rsidR="00A83B95">
        <w:lastRenderedPageBreak/>
        <w:t>discussions, who are less articulate, for whom English is a second language etc</w:t>
      </w:r>
      <w:r w:rsidR="00745F31">
        <w:t xml:space="preserve">.  </w:t>
      </w:r>
      <w:r w:rsidR="00A225BF">
        <w:t xml:space="preserve">Students must </w:t>
      </w:r>
      <w:r w:rsidR="00A225BF" w:rsidRPr="00354891">
        <w:rPr>
          <w:u w:val="single"/>
        </w:rPr>
        <w:t xml:space="preserve">not </w:t>
      </w:r>
      <w:r w:rsidR="00A225BF">
        <w:t>be awarded marks for ad</w:t>
      </w:r>
      <w:r w:rsidR="001A24AB">
        <w:t>-hoc participation in teaching sessions.</w:t>
      </w:r>
    </w:p>
    <w:p w14:paraId="6207923E" w14:textId="3487946C" w:rsidR="00745F31" w:rsidRDefault="00745F31" w:rsidP="001C6611">
      <w:r>
        <w:t xml:space="preserve">Marks </w:t>
      </w:r>
      <w:r w:rsidR="001A24AB">
        <w:t xml:space="preserve">for participation </w:t>
      </w:r>
      <w:r w:rsidR="00F33526">
        <w:t>can</w:t>
      </w:r>
      <w:r w:rsidR="001A24AB">
        <w:t xml:space="preserve"> only</w:t>
      </w:r>
      <w:r>
        <w:t xml:space="preserve"> be awarded on the following basis:</w:t>
      </w:r>
    </w:p>
    <w:p w14:paraId="6E1FD9CC" w14:textId="355E5D37" w:rsidR="001C6611" w:rsidRDefault="001C6611" w:rsidP="001C6611">
      <w:pPr>
        <w:pStyle w:val="ListParagraph"/>
        <w:numPr>
          <w:ilvl w:val="0"/>
          <w:numId w:val="2"/>
        </w:numPr>
      </w:pPr>
      <w:r>
        <w:t xml:space="preserve">There must be a record of the assessment that can be reviewed by a course unit moderator (for example, </w:t>
      </w:r>
      <w:r w:rsidR="002058B0">
        <w:t xml:space="preserve">written </w:t>
      </w:r>
      <w:r>
        <w:t>participation in a discussion board</w:t>
      </w:r>
      <w:r w:rsidR="00FC61E4">
        <w:t>, an oral presentation</w:t>
      </w:r>
      <w:r>
        <w:t xml:space="preserve">).  </w:t>
      </w:r>
    </w:p>
    <w:p w14:paraId="58F9A9CA" w14:textId="6034E153" w:rsidR="00745F31" w:rsidRDefault="00745F31" w:rsidP="00745F31">
      <w:pPr>
        <w:pStyle w:val="ListParagraph"/>
        <w:numPr>
          <w:ilvl w:val="0"/>
          <w:numId w:val="2"/>
        </w:numPr>
      </w:pPr>
      <w:r>
        <w:t>C</w:t>
      </w:r>
      <w:r w:rsidR="007D7C64">
        <w:t xml:space="preserve">ourse unit </w:t>
      </w:r>
      <w:r w:rsidR="00FC61E4">
        <w:t>director</w:t>
      </w:r>
      <w:r w:rsidR="007D7C64">
        <w:t xml:space="preserve">s must make the marking criteria available to students in advance.  </w:t>
      </w:r>
    </w:p>
    <w:p w14:paraId="1BFF3954" w14:textId="7F90E649" w:rsidR="00ED5092" w:rsidRDefault="00ED5092" w:rsidP="00745F31">
      <w:pPr>
        <w:pStyle w:val="ListParagraph"/>
        <w:numPr>
          <w:ilvl w:val="0"/>
          <w:numId w:val="2"/>
        </w:numPr>
      </w:pPr>
      <w:r>
        <w:t xml:space="preserve">Clear, timely feedback should be made available to students </w:t>
      </w:r>
    </w:p>
    <w:p w14:paraId="3581C461" w14:textId="66C24B0B" w:rsidR="004654BA" w:rsidRPr="004654BA" w:rsidRDefault="007D7C64" w:rsidP="00520E42">
      <w:pPr>
        <w:pStyle w:val="ListParagraph"/>
        <w:numPr>
          <w:ilvl w:val="0"/>
          <w:numId w:val="2"/>
        </w:numPr>
        <w:rPr>
          <w:b/>
          <w:bCs/>
        </w:rPr>
      </w:pPr>
      <w:r>
        <w:t>Any mark for participation must be granular</w:t>
      </w:r>
      <w:r w:rsidR="00E925AE">
        <w:t xml:space="preserve">.  Where the participation mark is a significant </w:t>
      </w:r>
      <w:r w:rsidR="00B759ED">
        <w:t xml:space="preserve">component of the final assessment, it should be marked using our normal </w:t>
      </w:r>
      <w:hyperlink r:id="rId16" w:history="1">
        <w:r w:rsidR="00B759ED" w:rsidRPr="002F749E">
          <w:rPr>
            <w:rStyle w:val="Hyperlink"/>
          </w:rPr>
          <w:t>step-scale marking scheme.</w:t>
        </w:r>
      </w:hyperlink>
      <w:r w:rsidR="00B759ED">
        <w:t xml:space="preserve">  Where the participation mark is for a small component (less that 20%), then the mark awarded must at least </w:t>
      </w:r>
      <w:r w:rsidR="004B19A5">
        <w:t xml:space="preserve">reflect </w:t>
      </w:r>
      <w:r w:rsidR="005741D1">
        <w:t>the mid-point of the step marking scheme (</w:t>
      </w:r>
      <w:r w:rsidR="00FE175D">
        <w:t>45%/55%/75%</w:t>
      </w:r>
      <w:r w:rsidR="005951C6">
        <w:t xml:space="preserve"> etc or equivalent</w:t>
      </w:r>
      <w:r>
        <w:t xml:space="preserve">). </w:t>
      </w:r>
    </w:p>
    <w:p w14:paraId="1A8BE53A" w14:textId="78D36E64" w:rsidR="003C7E5C" w:rsidRPr="003C7E5C" w:rsidRDefault="004654BA" w:rsidP="00520E42">
      <w:pPr>
        <w:pStyle w:val="ListParagraph"/>
        <w:numPr>
          <w:ilvl w:val="0"/>
          <w:numId w:val="2"/>
        </w:numPr>
        <w:rPr>
          <w:b/>
          <w:bCs/>
        </w:rPr>
      </w:pPr>
      <w:r>
        <w:t>Reasonable Adjustments mu</w:t>
      </w:r>
      <w:r w:rsidR="003C7E5C">
        <w:t>st be made for students w</w:t>
      </w:r>
      <w:r w:rsidR="009F5A55">
        <w:t xml:space="preserve">ith </w:t>
      </w:r>
      <w:r w:rsidR="003C7E5C">
        <w:t>disabilities</w:t>
      </w:r>
      <w:r w:rsidR="00F33EFF" w:rsidRPr="00F33EFF">
        <w:rPr>
          <w:rFonts w:cstheme="minorHAnsi"/>
        </w:rPr>
        <w:t xml:space="preserve"> </w:t>
      </w:r>
      <w:r w:rsidR="00F33EFF">
        <w:rPr>
          <w:rFonts w:cstheme="minorHAnsi"/>
        </w:rPr>
        <w:t xml:space="preserve">unless </w:t>
      </w:r>
      <w:r w:rsidR="00DA184D">
        <w:rPr>
          <w:rFonts w:cstheme="minorHAnsi"/>
        </w:rPr>
        <w:t xml:space="preserve">the specific form of </w:t>
      </w:r>
      <w:r w:rsidR="00F33EFF">
        <w:rPr>
          <w:rFonts w:cstheme="minorHAnsi"/>
        </w:rPr>
        <w:t>participation is robust competence standard</w:t>
      </w:r>
      <w:r w:rsidR="002F749E">
        <w:rPr>
          <w:rFonts w:cstheme="minorHAnsi"/>
        </w:rPr>
        <w:t>,</w:t>
      </w:r>
      <w:r w:rsidR="007A4BD7">
        <w:rPr>
          <w:rFonts w:cstheme="minorHAnsi"/>
        </w:rPr>
        <w:t xml:space="preserve"> and it is not possible to make </w:t>
      </w:r>
      <w:r w:rsidR="00530812">
        <w:rPr>
          <w:rFonts w:cstheme="minorHAnsi"/>
        </w:rPr>
        <w:t>an</w:t>
      </w:r>
      <w:r w:rsidR="007A4BD7">
        <w:rPr>
          <w:rFonts w:cstheme="minorHAnsi"/>
        </w:rPr>
        <w:t xml:space="preserve"> adjustment</w:t>
      </w:r>
      <w:r w:rsidR="00530812">
        <w:rPr>
          <w:rFonts w:cstheme="minorHAnsi"/>
        </w:rPr>
        <w:t xml:space="preserve"> to the form of assessment</w:t>
      </w:r>
      <w:r w:rsidR="003C7E5C">
        <w:t>.</w:t>
      </w:r>
      <w:r w:rsidR="00DA184D">
        <w:t xml:space="preserve">  </w:t>
      </w:r>
    </w:p>
    <w:p w14:paraId="2EC3C8D5" w14:textId="77777777" w:rsidR="006273AC" w:rsidRDefault="006273AC" w:rsidP="00215034">
      <w:pPr>
        <w:rPr>
          <w:b/>
          <w:bCs/>
        </w:rPr>
      </w:pPr>
    </w:p>
    <w:p w14:paraId="0FADB728" w14:textId="788856B9" w:rsidR="00520E42" w:rsidRPr="003C7E5C" w:rsidRDefault="0098022E" w:rsidP="00215034">
      <w:pPr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520E42" w:rsidRPr="003C7E5C">
        <w:rPr>
          <w:b/>
          <w:bCs/>
        </w:rPr>
        <w:t>Exceptions</w:t>
      </w:r>
    </w:p>
    <w:p w14:paraId="33497F4C" w14:textId="74BD22FC" w:rsidR="00E01014" w:rsidRDefault="00E01014">
      <w:r>
        <w:t xml:space="preserve">There are expected to be very few exceptions to this policy.  </w:t>
      </w:r>
      <w:r w:rsidR="00535737">
        <w:t xml:space="preserve">Any exceptions to these requirements </w:t>
      </w:r>
      <w:r w:rsidR="00E030F7">
        <w:t>(i</w:t>
      </w:r>
      <w:r w:rsidR="002F749E">
        <w:t>.</w:t>
      </w:r>
      <w:r w:rsidR="00E030F7">
        <w:t>e</w:t>
      </w:r>
      <w:r w:rsidR="002F749E">
        <w:t>.</w:t>
      </w:r>
      <w:r w:rsidR="00E030F7">
        <w:t xml:space="preserve"> where </w:t>
      </w:r>
      <w:r w:rsidR="00970789">
        <w:t xml:space="preserve">a programme team want to award marks for attendance or for ad-hoc </w:t>
      </w:r>
      <w:r w:rsidR="00C62ADE">
        <w:t xml:space="preserve">oral contributions) </w:t>
      </w:r>
      <w:r w:rsidR="00535737">
        <w:t xml:space="preserve">must be approved by the </w:t>
      </w:r>
      <w:r w:rsidR="00745F31">
        <w:t>Vice Dean for Teaching, Learning and Students</w:t>
      </w:r>
      <w:r w:rsidR="00ED5092">
        <w:t xml:space="preserve"> via </w:t>
      </w:r>
      <w:r w:rsidR="0098022E">
        <w:t>the Students Service, Support and Development Manager (</w:t>
      </w:r>
      <w:hyperlink r:id="rId17" w:history="1">
        <w:r w:rsidR="00ED5092" w:rsidRPr="0098022E">
          <w:rPr>
            <w:rStyle w:val="Hyperlink"/>
          </w:rPr>
          <w:t>Lisa Mcaleese</w:t>
        </w:r>
      </w:hyperlink>
      <w:r w:rsidR="0098022E">
        <w:t>)</w:t>
      </w:r>
      <w:r w:rsidR="002F749E">
        <w:t>, on the dispensation proforma.</w:t>
      </w:r>
    </w:p>
    <w:p w14:paraId="20A67764" w14:textId="23E5006C" w:rsidR="00535737" w:rsidRDefault="00C8065A">
      <w:r>
        <w:t xml:space="preserve">In </w:t>
      </w:r>
      <w:r w:rsidR="00F12D64">
        <w:t>presenting these cases, p</w:t>
      </w:r>
      <w:r w:rsidR="00FE0B40">
        <w:t xml:space="preserve">rogramme teams would have to demonstrate that </w:t>
      </w:r>
      <w:r w:rsidR="00F12D64">
        <w:t xml:space="preserve">marks were </w:t>
      </w:r>
      <w:r w:rsidR="003363BE">
        <w:t>being</w:t>
      </w:r>
      <w:r w:rsidR="00F12D64">
        <w:t xml:space="preserve"> awarded for </w:t>
      </w:r>
      <w:r w:rsidR="003363BE">
        <w:t xml:space="preserve">elements that were robust competence standards of the programme.  </w:t>
      </w:r>
      <w:r w:rsidR="00535737">
        <w:t>Exceptions might include languages where an ability to converse in a specific language is a competen</w:t>
      </w:r>
      <w:r w:rsidR="00530812">
        <w:t xml:space="preserve">t standard </w:t>
      </w:r>
      <w:r w:rsidR="00535737">
        <w:t>of a programme</w:t>
      </w:r>
      <w:r w:rsidR="00745F31">
        <w:t xml:space="preserve">, and it is the language ability that is being assessed rather than the </w:t>
      </w:r>
      <w:r w:rsidR="00E01014">
        <w:t>frequency or style</w:t>
      </w:r>
      <w:r w:rsidR="00745F31">
        <w:t xml:space="preserve"> of the contribution. </w:t>
      </w:r>
      <w:r w:rsidR="00936F45">
        <w:t>O</w:t>
      </w:r>
      <w:r w:rsidR="00535737">
        <w:t>ral contributions in English to seminars in languages</w:t>
      </w:r>
      <w:r w:rsidR="00936F45">
        <w:t xml:space="preserve"> would not be accepted as an exception to the policy</w:t>
      </w:r>
      <w:r w:rsidR="00535737">
        <w:t>.</w:t>
      </w:r>
      <w:r w:rsidR="00E01014">
        <w:t xml:space="preserve">  </w:t>
      </w:r>
    </w:p>
    <w:p w14:paraId="234DF465" w14:textId="264D49D8" w:rsidR="007557C3" w:rsidRDefault="007557C3">
      <w:r>
        <w:t>Even in cases where exceptions are allowed, programme teams will be expected to make reasonable adjustments to the mode of assessment where this is possible.</w:t>
      </w:r>
    </w:p>
    <w:p w14:paraId="18618141" w14:textId="77777777" w:rsidR="006273AC" w:rsidRDefault="006273AC">
      <w:pPr>
        <w:rPr>
          <w:b/>
          <w:bCs/>
        </w:rPr>
      </w:pPr>
    </w:p>
    <w:p w14:paraId="449499EB" w14:textId="7B88B9CD" w:rsidR="00745F31" w:rsidRPr="00745F31" w:rsidRDefault="0044629E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="00745F31" w:rsidRPr="00745F31">
        <w:rPr>
          <w:b/>
          <w:bCs/>
        </w:rPr>
        <w:t>Implementation</w:t>
      </w:r>
    </w:p>
    <w:p w14:paraId="201A31C7" w14:textId="32512861" w:rsidR="00745F31" w:rsidRDefault="002058B0">
      <w:r>
        <w:t>C</w:t>
      </w:r>
      <w:r w:rsidR="00745F31">
        <w:t>ourse unit assessment</w:t>
      </w:r>
      <w:r>
        <w:t xml:space="preserve">s that </w:t>
      </w:r>
      <w:r w:rsidR="00A83B95">
        <w:t xml:space="preserve">currently </w:t>
      </w:r>
      <w:r>
        <w:t>include marks for attendance and participation</w:t>
      </w:r>
      <w:r w:rsidR="00745F31">
        <w:t xml:space="preserve"> </w:t>
      </w:r>
      <w:r>
        <w:t>must</w:t>
      </w:r>
      <w:r w:rsidR="00745F31">
        <w:t xml:space="preserve"> be </w:t>
      </w:r>
      <w:r w:rsidR="00A83B95">
        <w:t xml:space="preserve">amended in light of the above </w:t>
      </w:r>
      <w:r w:rsidR="00745F31">
        <w:t xml:space="preserve">for the </w:t>
      </w:r>
      <w:r w:rsidR="00745F31" w:rsidRPr="00354891">
        <w:rPr>
          <w:u w:val="single"/>
        </w:rPr>
        <w:t>2023/24 academic year</w:t>
      </w:r>
      <w:r w:rsidR="00745F31">
        <w:t xml:space="preserve">.  </w:t>
      </w:r>
      <w:r>
        <w:t xml:space="preserve">Where programmes do not follow the standard academic year, changes must be implemented for the next </w:t>
      </w:r>
      <w:r w:rsidR="00A83B95">
        <w:t xml:space="preserve">new </w:t>
      </w:r>
      <w:r>
        <w:t>intake of students.</w:t>
      </w:r>
      <w:r w:rsidR="0044629E">
        <w:t xml:space="preserve"> All amendments must be reported to the Faculty (via your Faculty Teaching and Learning Officer - TLO); you should speak to your Faculty TLO in advance about the timing, reporting requirements etc.</w:t>
      </w:r>
    </w:p>
    <w:p w14:paraId="2786A0F7" w14:textId="72D9FA7F" w:rsidR="008B0F5B" w:rsidRDefault="008B0F5B"/>
    <w:p w14:paraId="0E89B837" w14:textId="77777777" w:rsidR="00354891" w:rsidRDefault="00354891">
      <w:pPr>
        <w:rPr>
          <w:rFonts w:cs="FranklinGothic-Book"/>
          <w:b/>
        </w:rPr>
      </w:pPr>
      <w:r>
        <w:rPr>
          <w:rFonts w:cs="FranklinGothic-Book"/>
          <w:b/>
        </w:rPr>
        <w:br w:type="page"/>
      </w:r>
    </w:p>
    <w:p w14:paraId="262CABB0" w14:textId="3BC4F8CE" w:rsidR="0044629E" w:rsidRPr="009666B1" w:rsidRDefault="0044629E" w:rsidP="0044629E">
      <w:pPr>
        <w:spacing w:after="0" w:line="240" w:lineRule="auto"/>
        <w:rPr>
          <w:rFonts w:cs="FranklinGothic-Book"/>
          <w:b/>
        </w:rPr>
      </w:pPr>
      <w:r w:rsidRPr="009666B1">
        <w:rPr>
          <w:rFonts w:cs="FranklinGothic-Book"/>
          <w:b/>
        </w:rPr>
        <w:lastRenderedPageBreak/>
        <w:t>Document control box</w:t>
      </w:r>
    </w:p>
    <w:p w14:paraId="1AC33E68" w14:textId="77777777" w:rsidR="0044629E" w:rsidRDefault="0044629E" w:rsidP="0044629E">
      <w:pPr>
        <w:spacing w:after="0" w:line="240" w:lineRule="auto"/>
        <w:rPr>
          <w:rFonts w:cs="FranklinGothic-Boo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755"/>
      </w:tblGrid>
      <w:tr w:rsidR="0044629E" w:rsidRPr="000D7877" w14:paraId="7070281C" w14:textId="77777777" w:rsidTr="009666B1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C97D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 xml:space="preserve">Policy / Procedure Title: </w:t>
            </w:r>
          </w:p>
        </w:tc>
        <w:tc>
          <w:tcPr>
            <w:tcW w:w="5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929C" w14:textId="4A20B983" w:rsidR="0044629E" w:rsidRPr="00B203A5" w:rsidRDefault="0044629E" w:rsidP="009666B1">
            <w:pPr>
              <w:rPr>
                <w:b/>
              </w:rPr>
            </w:pPr>
            <w:r w:rsidRPr="0044629E">
              <w:rPr>
                <w:b/>
              </w:rPr>
              <w:t>Attendance and Participation Marks Policy</w:t>
            </w:r>
          </w:p>
        </w:tc>
      </w:tr>
      <w:tr w:rsidR="0044629E" w:rsidRPr="000D7877" w14:paraId="77E60D2E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B847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>Date Approved: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4A3E" w14:textId="4486D7DF" w:rsidR="0044629E" w:rsidRPr="000D7877" w:rsidRDefault="0044629E" w:rsidP="009666B1">
            <w:pPr>
              <w:spacing w:after="0"/>
            </w:pPr>
            <w:r>
              <w:t>19 December 2022</w:t>
            </w:r>
            <w:r w:rsidR="00426945">
              <w:t xml:space="preserve"> &amp; 8 February 2023</w:t>
            </w:r>
          </w:p>
        </w:tc>
      </w:tr>
      <w:tr w:rsidR="0044629E" w:rsidRPr="000D7877" w14:paraId="05FB3986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83D6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 xml:space="preserve">Approving Body: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98C3" w14:textId="46157726" w:rsidR="0044629E" w:rsidRPr="000D7877" w:rsidRDefault="0044629E" w:rsidP="009666B1">
            <w:pPr>
              <w:spacing w:after="0"/>
            </w:pPr>
            <w:r>
              <w:t>Humanities TLSE Leadership Team</w:t>
            </w:r>
            <w:r w:rsidR="00426945">
              <w:t xml:space="preserve"> &amp; HTLC</w:t>
            </w:r>
          </w:p>
        </w:tc>
      </w:tr>
      <w:tr w:rsidR="0044629E" w:rsidRPr="000D7877" w14:paraId="0893E292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8480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 xml:space="preserve">Version: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EC88" w14:textId="321058F2" w:rsidR="0044629E" w:rsidRPr="000D7877" w:rsidRDefault="0044629E" w:rsidP="009666B1">
            <w:pPr>
              <w:spacing w:after="0"/>
            </w:pPr>
            <w:r>
              <w:t>V1</w:t>
            </w:r>
          </w:p>
        </w:tc>
      </w:tr>
      <w:tr w:rsidR="0044629E" w:rsidRPr="000D7877" w14:paraId="48E0CFDE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A141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 xml:space="preserve">Supersedes: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0685" w14:textId="5780C60F" w:rsidR="0044629E" w:rsidRPr="000D7877" w:rsidRDefault="0044629E" w:rsidP="009666B1">
            <w:pPr>
              <w:spacing w:after="0"/>
            </w:pPr>
            <w:r>
              <w:t>N/A</w:t>
            </w:r>
          </w:p>
        </w:tc>
      </w:tr>
      <w:tr w:rsidR="0044629E" w:rsidRPr="000D7877" w14:paraId="308532EB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5049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 xml:space="preserve">Previous Review Dates: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FC26" w14:textId="64647344" w:rsidR="0044629E" w:rsidRPr="000D7877" w:rsidRDefault="0044629E" w:rsidP="009666B1">
            <w:pPr>
              <w:spacing w:after="0"/>
            </w:pPr>
            <w:r>
              <w:t>N/A</w:t>
            </w:r>
          </w:p>
        </w:tc>
      </w:tr>
      <w:tr w:rsidR="0044629E" w:rsidRPr="000D7877" w14:paraId="1B070D86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379E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>Next Review Date</w:t>
            </w:r>
            <w:r>
              <w:rPr>
                <w:b/>
              </w:rPr>
              <w:t>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5E7F" w14:textId="46C802BC" w:rsidR="0044629E" w:rsidRPr="000D7877" w:rsidRDefault="00F86DB0" w:rsidP="009666B1">
            <w:pPr>
              <w:spacing w:after="0"/>
            </w:pPr>
            <w:r>
              <w:t>September 2023</w:t>
            </w:r>
          </w:p>
        </w:tc>
      </w:tr>
      <w:tr w:rsidR="0044629E" w:rsidRPr="000D7877" w14:paraId="02BE2BC3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9562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>Related Statutes, Ordinances, General Regulations: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2BD5" w14:textId="77777777" w:rsidR="0044629E" w:rsidRDefault="00426945" w:rsidP="0044629E">
            <w:hyperlink r:id="rId18" w:history="1">
              <w:r w:rsidR="0044629E" w:rsidRPr="0080481E">
                <w:rPr>
                  <w:rStyle w:val="Hyperlink"/>
                </w:rPr>
                <w:t>Regulation X</w:t>
              </w:r>
              <w:r w:rsidR="0044629E">
                <w:rPr>
                  <w:rStyle w:val="Hyperlink"/>
                </w:rPr>
                <w:t>X- Monitoring Attendance and Wellbeing of Students</w:t>
              </w:r>
            </w:hyperlink>
          </w:p>
          <w:p w14:paraId="76D5CA48" w14:textId="77777777" w:rsidR="0044629E" w:rsidRPr="000D7877" w:rsidRDefault="0044629E" w:rsidP="009666B1">
            <w:pPr>
              <w:spacing w:after="0"/>
            </w:pPr>
          </w:p>
        </w:tc>
      </w:tr>
      <w:tr w:rsidR="0044629E" w:rsidRPr="000D7877" w14:paraId="2A43F8AC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9834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>Related Policies / Procedures / Guidance</w:t>
            </w:r>
            <w:r>
              <w:rPr>
                <w:b/>
              </w:rPr>
              <w:t>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1A5A" w14:textId="77777777" w:rsidR="00F86DB0" w:rsidRDefault="00426945" w:rsidP="00F86DB0">
            <w:hyperlink r:id="rId19" w:history="1">
              <w:r w:rsidR="00F86DB0" w:rsidRPr="005B18DA">
                <w:rPr>
                  <w:rStyle w:val="Hyperlink"/>
                </w:rPr>
                <w:t>Policy on Recording and Monitoring Attendance and Engagement</w:t>
              </w:r>
            </w:hyperlink>
            <w:r w:rsidR="00F86DB0">
              <w:t xml:space="preserve"> </w:t>
            </w:r>
          </w:p>
          <w:p w14:paraId="14711577" w14:textId="36D8A906" w:rsidR="0044629E" w:rsidRDefault="00426945" w:rsidP="0044629E">
            <w:pPr>
              <w:rPr>
                <w:rStyle w:val="Hyperlink"/>
              </w:rPr>
            </w:pPr>
            <w:hyperlink r:id="rId20" w:history="1">
              <w:r w:rsidR="0044629E" w:rsidRPr="005B34E5">
                <w:rPr>
                  <w:rStyle w:val="Hyperlink"/>
                </w:rPr>
                <w:t>Guidelines for monitoring student attendance and engagement</w:t>
              </w:r>
            </w:hyperlink>
          </w:p>
          <w:p w14:paraId="5658DDDB" w14:textId="6C5F8056" w:rsidR="0044629E" w:rsidRPr="000D7877" w:rsidRDefault="00426945" w:rsidP="009666B1">
            <w:hyperlink r:id="rId21" w:history="1">
              <w:r w:rsidR="00354891">
                <w:rPr>
                  <w:rStyle w:val="Hyperlink"/>
                </w:rPr>
                <w:t>S</w:t>
              </w:r>
              <w:r w:rsidR="00F86DB0" w:rsidRPr="002F749E">
                <w:rPr>
                  <w:rStyle w:val="Hyperlink"/>
                </w:rPr>
                <w:t>tep-scale marking scheme.</w:t>
              </w:r>
            </w:hyperlink>
          </w:p>
        </w:tc>
      </w:tr>
      <w:tr w:rsidR="0044629E" w:rsidRPr="000D7877" w14:paraId="34808D27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975C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>Code of Practice: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52BB" w14:textId="1275D767" w:rsidR="0044629E" w:rsidRPr="000D7877" w:rsidRDefault="00F86DB0" w:rsidP="009666B1">
            <w:pPr>
              <w:spacing w:after="0"/>
            </w:pPr>
            <w:r>
              <w:t>N/A</w:t>
            </w:r>
          </w:p>
        </w:tc>
      </w:tr>
      <w:tr w:rsidR="0044629E" w:rsidRPr="000D7877" w14:paraId="2BA58F03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D401" w14:textId="77777777" w:rsidR="0044629E" w:rsidRPr="000D7877" w:rsidRDefault="0044629E" w:rsidP="009666B1">
            <w:pPr>
              <w:spacing w:after="0"/>
              <w:rPr>
                <w:b/>
              </w:rPr>
            </w:pPr>
            <w:r>
              <w:rPr>
                <w:b/>
              </w:rPr>
              <w:t xml:space="preserve">Document </w:t>
            </w:r>
            <w:r w:rsidRPr="000D7877">
              <w:rPr>
                <w:b/>
              </w:rPr>
              <w:t xml:space="preserve">Owner: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051B" w14:textId="0CF0F406" w:rsidR="0044629E" w:rsidRPr="000D7877" w:rsidRDefault="00F86DB0" w:rsidP="009666B1">
            <w:pPr>
              <w:spacing w:after="0"/>
            </w:pPr>
            <w:r>
              <w:t>Professor Fiona Smyth, Vice Dean for Teaching, Learning and Students</w:t>
            </w:r>
          </w:p>
        </w:tc>
      </w:tr>
      <w:tr w:rsidR="0044629E" w:rsidRPr="000D7877" w14:paraId="293BC195" w14:textId="77777777" w:rsidTr="009666B1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3465" w14:textId="77777777" w:rsidR="0044629E" w:rsidRPr="000D7877" w:rsidRDefault="0044629E" w:rsidP="009666B1">
            <w:pPr>
              <w:spacing w:after="0"/>
              <w:rPr>
                <w:b/>
              </w:rPr>
            </w:pPr>
            <w:r w:rsidRPr="000D7877">
              <w:rPr>
                <w:b/>
              </w:rPr>
              <w:t xml:space="preserve">Lead Contact: 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B30D" w14:textId="72D9756A" w:rsidR="0044629E" w:rsidRPr="000D7877" w:rsidRDefault="00F86DB0" w:rsidP="009666B1">
            <w:pPr>
              <w:spacing w:after="0"/>
            </w:pPr>
            <w:r>
              <w:t>Lisa McAleese, Student Service, Support &amp; Development Manager</w:t>
            </w:r>
          </w:p>
        </w:tc>
      </w:tr>
    </w:tbl>
    <w:p w14:paraId="03942AB6" w14:textId="77777777" w:rsidR="0044629E" w:rsidRDefault="0044629E"/>
    <w:sectPr w:rsidR="0044629E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BBD5" w14:textId="77777777" w:rsidR="002F749E" w:rsidRDefault="002F749E" w:rsidP="002F749E">
      <w:pPr>
        <w:spacing w:after="0" w:line="240" w:lineRule="auto"/>
      </w:pPr>
      <w:r>
        <w:separator/>
      </w:r>
    </w:p>
  </w:endnote>
  <w:endnote w:type="continuationSeparator" w:id="0">
    <w:p w14:paraId="1A3448F0" w14:textId="77777777" w:rsidR="002F749E" w:rsidRDefault="002F749E" w:rsidP="002F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Gothic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619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5B9EB" w14:textId="02B0FDCD" w:rsidR="00F86DB0" w:rsidRDefault="00F86DB0" w:rsidP="00354891">
        <w:pPr>
          <w:pStyle w:val="Footer"/>
          <w:jc w:val="center"/>
        </w:pPr>
        <w:r>
          <w:t>V1 19/12/22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E833B" w14:textId="77777777" w:rsidR="00F86DB0" w:rsidRDefault="00F86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520C" w14:textId="77777777" w:rsidR="002F749E" w:rsidRDefault="002F749E" w:rsidP="002F749E">
      <w:pPr>
        <w:spacing w:after="0" w:line="240" w:lineRule="auto"/>
      </w:pPr>
      <w:r>
        <w:separator/>
      </w:r>
    </w:p>
  </w:footnote>
  <w:footnote w:type="continuationSeparator" w:id="0">
    <w:p w14:paraId="092E97AA" w14:textId="77777777" w:rsidR="002F749E" w:rsidRDefault="002F749E" w:rsidP="002F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00B0E"/>
    <w:multiLevelType w:val="hybridMultilevel"/>
    <w:tmpl w:val="3D24E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86CFE"/>
    <w:multiLevelType w:val="hybridMultilevel"/>
    <w:tmpl w:val="32A4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E38D4"/>
    <w:multiLevelType w:val="hybridMultilevel"/>
    <w:tmpl w:val="CF42C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29540">
    <w:abstractNumId w:val="2"/>
  </w:num>
  <w:num w:numId="2" w16cid:durableId="581305025">
    <w:abstractNumId w:val="1"/>
  </w:num>
  <w:num w:numId="3" w16cid:durableId="43386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64"/>
    <w:rsid w:val="000364A2"/>
    <w:rsid w:val="00087EF1"/>
    <w:rsid w:val="000D127E"/>
    <w:rsid w:val="00125273"/>
    <w:rsid w:val="00147E17"/>
    <w:rsid w:val="001A24AB"/>
    <w:rsid w:val="001A5C3D"/>
    <w:rsid w:val="001C6611"/>
    <w:rsid w:val="001D0426"/>
    <w:rsid w:val="002058B0"/>
    <w:rsid w:val="00215034"/>
    <w:rsid w:val="002F36D2"/>
    <w:rsid w:val="002F749E"/>
    <w:rsid w:val="003363BE"/>
    <w:rsid w:val="00354891"/>
    <w:rsid w:val="003643F7"/>
    <w:rsid w:val="00381BCF"/>
    <w:rsid w:val="003C7E5C"/>
    <w:rsid w:val="003D0CE9"/>
    <w:rsid w:val="00426945"/>
    <w:rsid w:val="0044629E"/>
    <w:rsid w:val="004654BA"/>
    <w:rsid w:val="004723CC"/>
    <w:rsid w:val="004B19A5"/>
    <w:rsid w:val="004F261B"/>
    <w:rsid w:val="00520E42"/>
    <w:rsid w:val="00530812"/>
    <w:rsid w:val="00535737"/>
    <w:rsid w:val="005741D1"/>
    <w:rsid w:val="0059134B"/>
    <w:rsid w:val="005951C6"/>
    <w:rsid w:val="005B05D2"/>
    <w:rsid w:val="005B18DA"/>
    <w:rsid w:val="005B34E5"/>
    <w:rsid w:val="006273AC"/>
    <w:rsid w:val="00632C43"/>
    <w:rsid w:val="00661B45"/>
    <w:rsid w:val="006E282C"/>
    <w:rsid w:val="00745F31"/>
    <w:rsid w:val="007557C3"/>
    <w:rsid w:val="007A4BD7"/>
    <w:rsid w:val="007C7FB9"/>
    <w:rsid w:val="007D3CB0"/>
    <w:rsid w:val="007D7C64"/>
    <w:rsid w:val="0080481E"/>
    <w:rsid w:val="00824D58"/>
    <w:rsid w:val="008A3944"/>
    <w:rsid w:val="008B0F5B"/>
    <w:rsid w:val="008C04CA"/>
    <w:rsid w:val="008E7C34"/>
    <w:rsid w:val="00936F45"/>
    <w:rsid w:val="00954C73"/>
    <w:rsid w:val="00970789"/>
    <w:rsid w:val="0098022E"/>
    <w:rsid w:val="00980CDC"/>
    <w:rsid w:val="009F5A55"/>
    <w:rsid w:val="00A225BF"/>
    <w:rsid w:val="00A61941"/>
    <w:rsid w:val="00A65D90"/>
    <w:rsid w:val="00A83B95"/>
    <w:rsid w:val="00A875D7"/>
    <w:rsid w:val="00AC1A8B"/>
    <w:rsid w:val="00AC4A45"/>
    <w:rsid w:val="00AD29CF"/>
    <w:rsid w:val="00AF7F38"/>
    <w:rsid w:val="00B55661"/>
    <w:rsid w:val="00B759ED"/>
    <w:rsid w:val="00BA4D52"/>
    <w:rsid w:val="00BB646F"/>
    <w:rsid w:val="00C05A65"/>
    <w:rsid w:val="00C377F1"/>
    <w:rsid w:val="00C62ADE"/>
    <w:rsid w:val="00C8065A"/>
    <w:rsid w:val="00D4296E"/>
    <w:rsid w:val="00D74F37"/>
    <w:rsid w:val="00DA184D"/>
    <w:rsid w:val="00DA61B5"/>
    <w:rsid w:val="00DF2240"/>
    <w:rsid w:val="00E01014"/>
    <w:rsid w:val="00E030F7"/>
    <w:rsid w:val="00E87D1C"/>
    <w:rsid w:val="00E925AE"/>
    <w:rsid w:val="00E94104"/>
    <w:rsid w:val="00ED5092"/>
    <w:rsid w:val="00F12D64"/>
    <w:rsid w:val="00F1630B"/>
    <w:rsid w:val="00F33526"/>
    <w:rsid w:val="00F33EFF"/>
    <w:rsid w:val="00F45F32"/>
    <w:rsid w:val="00F86DB0"/>
    <w:rsid w:val="00F97075"/>
    <w:rsid w:val="00FC61E4"/>
    <w:rsid w:val="00FE0B40"/>
    <w:rsid w:val="00FE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E932"/>
  <w15:chartTrackingRefBased/>
  <w15:docId w15:val="{2430AC69-F305-45AC-9B47-20AD8A8B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7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5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7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7F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F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022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7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4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4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B0"/>
  </w:style>
  <w:style w:type="paragraph" w:styleId="Footer">
    <w:name w:val="footer"/>
    <w:basedOn w:val="Normal"/>
    <w:link w:val="FooterChar"/>
    <w:uiPriority w:val="99"/>
    <w:unhideWhenUsed/>
    <w:rsid w:val="00F8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ments.manchester.ac.uk/DocuInfo.aspx?DocID=57644" TargetMode="External"/><Relationship Id="rId18" Type="http://schemas.openxmlformats.org/officeDocument/2006/relationships/hyperlink" Target="https://livemanchesterac-my.sharepoint.com/personal/fiona_smyth_manchester_ac_uk/Documents/fiona/AAAA%20Fiona/AFIONA/Associate%20Dean%20TLS/Assessment/Regulation%20X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taffnet.manchester.ac.uk/humanities/teaching-support/policy-and-guidance/assessment-and-feedbac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ments.manchester.ac.uk/DocuInfo.aspx?DocID=20846" TargetMode="External"/><Relationship Id="rId17" Type="http://schemas.openxmlformats.org/officeDocument/2006/relationships/hyperlink" Target="mailto:lmcaleese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net.manchester.ac.uk/humanities/teaching-support/policy-and-guidance/assessment-and-feedback/" TargetMode="External"/><Relationship Id="rId20" Type="http://schemas.openxmlformats.org/officeDocument/2006/relationships/hyperlink" Target="https://documents.manchester.ac.uk/DocuInfo.aspx?DocID=5764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dvance-he.ac.uk/guidance/equality-diversity-and-inclusion/student-recruitment-retention-and-attainment/inclusive-learning-and-teaching/competence-standards-and-reasonable-adjustment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ocuments.manchester.ac.uk/DocuInfo.aspx?DocID=2084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mfztslm2\AppData\Local\Microsoft\Windows\INetCache\Content.Outlook\1MESU1A2\Regulation%20X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40C7396D19B4A80B9406108CDF09B" ma:contentTypeVersion="8" ma:contentTypeDescription="Create a new document." ma:contentTypeScope="" ma:versionID="7e58c2c63217c79fe2fc3f4788a8c05b">
  <xsd:schema xmlns:xsd="http://www.w3.org/2001/XMLSchema" xmlns:xs="http://www.w3.org/2001/XMLSchema" xmlns:p="http://schemas.microsoft.com/office/2006/metadata/properties" xmlns:ns2="3a8d6103-f7cd-49f0-a6de-61d895ae2458" xmlns:ns3="56e912e2-a8d7-463f-82a4-39745e7e8c23" targetNamespace="http://schemas.microsoft.com/office/2006/metadata/properties" ma:root="true" ma:fieldsID="eee9c2d33da65a6d12630b28c35ec247" ns2:_="" ns3:_="">
    <xsd:import namespace="3a8d6103-f7cd-49f0-a6de-61d895ae2458"/>
    <xsd:import namespace="56e912e2-a8d7-463f-82a4-39745e7e8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6103-f7cd-49f0-a6de-61d895ae2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912e2-a8d7-463f-82a4-39745e7e8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F950-674B-40BF-9E75-E5501D1B6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1D9E84-F2E8-4E04-A671-2BDBF6B73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3AEA0-33D9-4880-BE05-0A2F73849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6103-f7cd-49f0-a6de-61d895ae2458"/>
    <ds:schemaRef ds:uri="56e912e2-a8d7-463f-82a4-39745e7e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A1D8CE-7740-4D7A-BC29-C4376F90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Smyth</dc:creator>
  <cp:keywords/>
  <dc:description/>
  <cp:lastModifiedBy>Lisa Mcaleese</cp:lastModifiedBy>
  <cp:revision>3</cp:revision>
  <dcterms:created xsi:type="dcterms:W3CDTF">2022-12-19T13:55:00Z</dcterms:created>
  <dcterms:modified xsi:type="dcterms:W3CDTF">2023-02-13T09:13:00Z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0x0101002BF40C7396D19B4A80B9406108CDF09B</vt:lpwstr>
  </property>
</Properties>
</file>