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Ex2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24152" w14:textId="77777777" w:rsidR="009B4369" w:rsidRDefault="009B4369" w:rsidP="009B4369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THE UNIVERSITY OF MANCHESTER</w:t>
      </w:r>
    </w:p>
    <w:p w14:paraId="41A2B00D" w14:textId="77777777" w:rsidR="009B4369" w:rsidRDefault="009B4369" w:rsidP="009B4369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Planning Office</w:t>
      </w:r>
    </w:p>
    <w:p w14:paraId="0350CC52" w14:textId="308035F4" w:rsidR="009B4369" w:rsidRDefault="009B4369" w:rsidP="009B4369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Communications, Marketing and Student Recruitment</w:t>
      </w:r>
    </w:p>
    <w:p w14:paraId="4DBB1DFC" w14:textId="4D066E07" w:rsidR="009B4369" w:rsidRDefault="009B4369" w:rsidP="009B4369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b/>
        </w:rPr>
        <w:t>AUTHORS:</w:t>
      </w:r>
      <w:r>
        <w:rPr>
          <w:rFonts w:cstheme="minorHAnsi"/>
        </w:rPr>
        <w:tab/>
        <w:t xml:space="preserve">Andy Peet, Mandy Crow and </w:t>
      </w:r>
      <w:r>
        <w:rPr>
          <w:rFonts w:cstheme="minorHAnsi"/>
          <w:color w:val="000000" w:themeColor="text1"/>
        </w:rPr>
        <w:t>Stephanie Lee</w:t>
      </w:r>
    </w:p>
    <w:p w14:paraId="25B0CD1B" w14:textId="265C88BF" w:rsidR="009B4369" w:rsidRDefault="009B4369" w:rsidP="00AC5A9A">
      <w:pPr>
        <w:spacing w:line="276" w:lineRule="auto"/>
        <w:ind w:left="1440" w:hanging="1440"/>
        <w:jc w:val="both"/>
      </w:pPr>
      <w:r>
        <w:rPr>
          <w:rFonts w:cstheme="minorHAnsi"/>
          <w:b/>
        </w:rPr>
        <w:t xml:space="preserve">SUMMARY: </w:t>
      </w:r>
      <w:r>
        <w:rPr>
          <w:rFonts w:cstheme="minorHAnsi"/>
          <w:b/>
        </w:rPr>
        <w:tab/>
      </w:r>
      <w:r w:rsidR="0034006A">
        <w:t>The following report looks at the impact</w:t>
      </w:r>
      <w:r w:rsidR="00E6797F">
        <w:t xml:space="preserve"> on performance</w:t>
      </w:r>
      <w:r w:rsidR="0034006A">
        <w:t xml:space="preserve"> of students being awarded places at the University</w:t>
      </w:r>
      <w:r w:rsidR="00572DB3">
        <w:t xml:space="preserve"> of Manchester</w:t>
      </w:r>
      <w:r w:rsidR="0034006A">
        <w:t xml:space="preserve"> by way of a lower contextual offer </w:t>
      </w:r>
      <w:r w:rsidR="00026B28">
        <w:t>in 2019</w:t>
      </w:r>
      <w:r w:rsidR="00B2737C">
        <w:t xml:space="preserve">. </w:t>
      </w:r>
      <w:r w:rsidR="008D26B7">
        <w:t>There is currently no Contextual Offer fla</w:t>
      </w:r>
      <w:r w:rsidR="00C06D74">
        <w:t>g in the student records system</w:t>
      </w:r>
      <w:r w:rsidR="008D26B7">
        <w:t xml:space="preserve"> and therefore it is a manual process to identify students in receipt of a lower offer.</w:t>
      </w:r>
    </w:p>
    <w:p w14:paraId="48A67E3E" w14:textId="7B92F954" w:rsidR="00B2737C" w:rsidRDefault="00B2737C" w:rsidP="00AC5A9A">
      <w:pPr>
        <w:spacing w:line="276" w:lineRule="auto"/>
        <w:ind w:left="1440"/>
        <w:jc w:val="both"/>
      </w:pPr>
      <w:r>
        <w:t>It was proposed to look at a test course in the first insta</w:t>
      </w:r>
      <w:r w:rsidR="003A1A11">
        <w:t>nce as a proof of concept to assess</w:t>
      </w:r>
      <w:r>
        <w:t xml:space="preserve"> </w:t>
      </w:r>
      <w:r w:rsidR="005E55A8">
        <w:t xml:space="preserve">the impact </w:t>
      </w:r>
      <w:r w:rsidR="003A1A11">
        <w:t xml:space="preserve">the </w:t>
      </w:r>
      <w:r w:rsidR="003A1A11" w:rsidRPr="00FB6240">
        <w:t>lower</w:t>
      </w:r>
      <w:r w:rsidR="00FB6240" w:rsidRPr="00FB6240">
        <w:t xml:space="preserve"> contextual offer</w:t>
      </w:r>
      <w:r w:rsidR="003A1A11" w:rsidRPr="00FB6240">
        <w:t xml:space="preserve"> may potentially</w:t>
      </w:r>
      <w:r w:rsidR="003A1A11">
        <w:t xml:space="preserve"> have on a student’s attainment</w:t>
      </w:r>
      <w:r w:rsidR="00751322">
        <w:t xml:space="preserve"> and to assess any difficulties in obtaining the </w:t>
      </w:r>
      <w:r w:rsidR="008A34AE">
        <w:t>data before</w:t>
      </w:r>
      <w:r w:rsidR="003A1A11">
        <w:t xml:space="preserve"> further work would be carried out.</w:t>
      </w:r>
      <w:r w:rsidR="008D26B7">
        <w:t xml:space="preserve"> </w:t>
      </w:r>
      <w:r w:rsidRPr="00783151">
        <w:t>LLB (Hons) Bachelor of Laws</w:t>
      </w:r>
      <w:r>
        <w:t xml:space="preserve"> was </w:t>
      </w:r>
      <w:r w:rsidR="00E6797F">
        <w:t>proposed</w:t>
      </w:r>
      <w:r>
        <w:t xml:space="preserve"> due to the rela</w:t>
      </w:r>
      <w:r w:rsidR="00D01789">
        <w:t>tively large size of the course</w:t>
      </w:r>
      <w:r>
        <w:t xml:space="preserve"> and the </w:t>
      </w:r>
      <w:r w:rsidR="00E6797F">
        <w:t>high</w:t>
      </w:r>
      <w:r>
        <w:t xml:space="preserve"> numbers of</w:t>
      </w:r>
      <w:r w:rsidR="005E55A8">
        <w:t xml:space="preserve"> enrolled</w:t>
      </w:r>
      <w:r>
        <w:t xml:space="preserve"> WP</w:t>
      </w:r>
      <w:r w:rsidR="005E55A8">
        <w:t>, WP Plus</w:t>
      </w:r>
      <w:r w:rsidR="00217655">
        <w:t>,</w:t>
      </w:r>
      <w:r w:rsidR="005E55A8">
        <w:t xml:space="preserve"> and MAP</w:t>
      </w:r>
      <w:r>
        <w:t xml:space="preserve"> students. For </w:t>
      </w:r>
      <w:r w:rsidRPr="003D0754">
        <w:t>2019</w:t>
      </w:r>
      <w:r w:rsidR="00C06D74">
        <w:t xml:space="preserve"> entry, </w:t>
      </w:r>
      <w:r w:rsidRPr="003D0754">
        <w:t>applicants with BTEC qualifications</w:t>
      </w:r>
      <w:r w:rsidR="00C06D74">
        <w:t xml:space="preserve"> were also considered.</w:t>
      </w:r>
    </w:p>
    <w:p w14:paraId="21B664C9" w14:textId="77777777" w:rsidR="00AC2544" w:rsidRDefault="00AC2544" w:rsidP="009B4369">
      <w:pPr>
        <w:spacing w:line="276" w:lineRule="auto"/>
        <w:ind w:left="1440"/>
      </w:pPr>
    </w:p>
    <w:p w14:paraId="731AC3D7" w14:textId="2B5D22A2" w:rsidR="000E23A4" w:rsidRDefault="000E23A4" w:rsidP="000E23A4">
      <w:pPr>
        <w:spacing w:line="276" w:lineRule="auto"/>
        <w:jc w:val="both"/>
        <w:rPr>
          <w:b/>
          <w:u w:val="single"/>
        </w:rPr>
      </w:pPr>
      <w:r w:rsidRPr="003D0754">
        <w:rPr>
          <w:b/>
          <w:u w:val="single"/>
        </w:rPr>
        <w:t xml:space="preserve">Student Profile </w:t>
      </w:r>
      <w:r>
        <w:rPr>
          <w:b/>
          <w:u w:val="single"/>
        </w:rPr>
        <w:t>&amp; Contextual Offer Eligibility</w:t>
      </w:r>
    </w:p>
    <w:p w14:paraId="1559A877" w14:textId="4DB5418F" w:rsidR="000E23A4" w:rsidRDefault="000E23A4" w:rsidP="000E23A4">
      <w:pPr>
        <w:spacing w:line="276" w:lineRule="auto"/>
        <w:jc w:val="both"/>
      </w:pPr>
      <w:r>
        <w:t xml:space="preserve">There were 239 entrants in 2019 to the </w:t>
      </w:r>
      <w:r w:rsidRPr="00783151">
        <w:t>LLB (Hons) Bachelor of Laws undergraduate degree programme</w:t>
      </w:r>
      <w:r>
        <w:t xml:space="preserve"> based on 1</w:t>
      </w:r>
      <w:r w:rsidRPr="00783151">
        <w:rPr>
          <w:vertAlign w:val="superscript"/>
        </w:rPr>
        <w:t>st</w:t>
      </w:r>
      <w:r>
        <w:t xml:space="preserve"> December census dataset. Of these, 148 are UK nationals. This report will focus on UK nationals as a comparator set.</w:t>
      </w:r>
    </w:p>
    <w:p w14:paraId="3DA0FA5E" w14:textId="3317385D" w:rsidR="000E23A4" w:rsidRPr="000E23A4" w:rsidRDefault="000E23A4" w:rsidP="000E23A4">
      <w:pPr>
        <w:spacing w:line="276" w:lineRule="auto"/>
        <w:jc w:val="both"/>
      </w:pPr>
      <w:r>
        <w:t>Of</w:t>
      </w:r>
      <w:r w:rsidRPr="00F5346D">
        <w:t xml:space="preserve"> the 148 UK nationals registered on the course in 2019, nine were </w:t>
      </w:r>
      <w:r>
        <w:t xml:space="preserve">registered MAP students and </w:t>
      </w:r>
      <w:r w:rsidR="00217655">
        <w:t xml:space="preserve">36 </w:t>
      </w:r>
      <w:r w:rsidR="008D26B7">
        <w:t>had a</w:t>
      </w:r>
      <w:r>
        <w:t xml:space="preserve"> WP Plus</w:t>
      </w:r>
      <w:r w:rsidR="008D26B7">
        <w:t xml:space="preserve"> flag</w:t>
      </w:r>
      <w:r>
        <w:t xml:space="preserve">. The remaining 103 students had neither a MAP flag nor WP </w:t>
      </w:r>
      <w:proofErr w:type="gramStart"/>
      <w:r>
        <w:t>Plus</w:t>
      </w:r>
      <w:proofErr w:type="gramEnd"/>
      <w:r>
        <w:t xml:space="preserve"> Flag.</w:t>
      </w:r>
    </w:p>
    <w:p w14:paraId="283683C4" w14:textId="5C37A8DA" w:rsidR="006E5306" w:rsidRDefault="008A34AE" w:rsidP="008A34AE">
      <w:pPr>
        <w:shd w:val="clear" w:color="auto" w:fill="FFFFFF"/>
        <w:spacing w:beforeAutospacing="1" w:after="0" w:afterAutospacing="1" w:line="276" w:lineRule="auto"/>
        <w:jc w:val="both"/>
      </w:pPr>
      <w:r>
        <w:t xml:space="preserve">The standard entry offer for </w:t>
      </w:r>
      <w:r w:rsidRPr="00783151">
        <w:t>LLB (Hons) Bachelor of Laws</w:t>
      </w:r>
      <w:r>
        <w:t xml:space="preserve"> is 144 points, equivalent to AAA at A Level.</w:t>
      </w:r>
      <w:r w:rsidRPr="00001984">
        <w:t xml:space="preserve"> </w:t>
      </w:r>
      <w:r>
        <w:t>MAP students are eligible for an offer equivalent to ABB (128 tariff po</w:t>
      </w:r>
      <w:r w:rsidR="00217655">
        <w:t>ints) and</w:t>
      </w:r>
      <w:r>
        <w:t xml:space="preserve"> WP plus students (exc. MAP) may be made an offer equivalent to AAB (136 tariff points). </w:t>
      </w:r>
      <w:r w:rsidR="006E5306">
        <w:t>There is also a route on to the course via Pathways to Law. Students completing the Pathways to Law programme are eligible for a one grade</w:t>
      </w:r>
      <w:r w:rsidR="00217655">
        <w:t xml:space="preserve"> reduction on their entry offer, </w:t>
      </w:r>
      <w:r w:rsidR="008D26B7" w:rsidRPr="00DC600F">
        <w:t xml:space="preserve">up to a total </w:t>
      </w:r>
      <w:r w:rsidR="00217655" w:rsidRPr="00DC600F">
        <w:t xml:space="preserve">of a </w:t>
      </w:r>
      <w:r w:rsidR="008D26B7" w:rsidRPr="00DC600F">
        <w:t>two grade re</w:t>
      </w:r>
      <w:r w:rsidR="00DC600F" w:rsidRPr="00DC600F">
        <w:t>duction on the standard</w:t>
      </w:r>
      <w:r w:rsidR="008D26B7" w:rsidRPr="00DC600F">
        <w:t xml:space="preserve"> entry requirements.</w:t>
      </w:r>
    </w:p>
    <w:p w14:paraId="38E4602C" w14:textId="01BC0952" w:rsidR="008A34AE" w:rsidRDefault="008A34AE" w:rsidP="008A34AE">
      <w:pPr>
        <w:shd w:val="clear" w:color="auto" w:fill="FFFFFF"/>
        <w:spacing w:beforeAutospacing="1" w:after="0" w:afterAutospacing="1" w:line="276" w:lineRule="auto"/>
        <w:jc w:val="both"/>
      </w:pPr>
      <w:r>
        <w:t xml:space="preserve">Eighteen students, including six WP Plus students, had either missing or insufficient data to allow a determination of </w:t>
      </w:r>
      <w:r w:rsidR="00217655">
        <w:t xml:space="preserve">a </w:t>
      </w:r>
      <w:r>
        <w:t>contextual lower offer. Thirteen of the students had nothing e</w:t>
      </w:r>
      <w:r w:rsidR="008D26B7">
        <w:t>ntered in the Marvin String or Entry Offer G</w:t>
      </w:r>
      <w:r>
        <w:t>rade fields to</w:t>
      </w:r>
      <w:r w:rsidR="006E5306">
        <w:t xml:space="preserve"> allow the determination of</w:t>
      </w:r>
      <w:r>
        <w:t xml:space="preserve"> a contextual offer. Five students had an incomplete offer profile. For students with missing or incomplete data</w:t>
      </w:r>
      <w:r w:rsidR="008D1A0C">
        <w:t>,</w:t>
      </w:r>
      <w:r>
        <w:t xml:space="preserve"> it was assumed a lower contextual offer equivalent to one grade for students with a WP </w:t>
      </w:r>
      <w:proofErr w:type="gramStart"/>
      <w:r>
        <w:t>Plus</w:t>
      </w:r>
      <w:proofErr w:type="gramEnd"/>
      <w:r>
        <w:t xml:space="preserve"> </w:t>
      </w:r>
      <w:r w:rsidRPr="00DC600F">
        <w:t>flag</w:t>
      </w:r>
      <w:r w:rsidR="00217655" w:rsidRPr="00DC600F">
        <w:t xml:space="preserve"> had been made</w:t>
      </w:r>
      <w:r>
        <w:t xml:space="preserve">. For students without a MAP or WP Plus flag, a standard offer was assumed. All MAP and WP Plus students on </w:t>
      </w:r>
      <w:r w:rsidRPr="00783151">
        <w:t>LLB (Hons) Bachelor of Laws</w:t>
      </w:r>
      <w:r>
        <w:t xml:space="preserve"> with an identifiable </w:t>
      </w:r>
      <w:r w:rsidRPr="00DB661F">
        <w:t>offer had been made a lower</w:t>
      </w:r>
      <w:r>
        <w:t xml:space="preserve"> contextual offer.</w:t>
      </w:r>
      <w:r w:rsidR="006E5306">
        <w:t xml:space="preserve"> This data was checked directly with </w:t>
      </w:r>
      <w:r w:rsidR="00217655">
        <w:t xml:space="preserve">the </w:t>
      </w:r>
      <w:proofErr w:type="spellStart"/>
      <w:r w:rsidR="006E5306">
        <w:t>SoSS</w:t>
      </w:r>
      <w:proofErr w:type="spellEnd"/>
      <w:r w:rsidR="006E5306">
        <w:t xml:space="preserve"> admission</w:t>
      </w:r>
      <w:r w:rsidR="008D26B7">
        <w:t xml:space="preserve">s team </w:t>
      </w:r>
      <w:r w:rsidR="00217655">
        <w:t>t</w:t>
      </w:r>
      <w:r w:rsidR="008D26B7">
        <w:t>o confirm</w:t>
      </w:r>
      <w:r w:rsidR="006E5306">
        <w:t xml:space="preserve"> validity. </w:t>
      </w:r>
    </w:p>
    <w:p w14:paraId="6F06F7FF" w14:textId="75B1140C" w:rsidR="00E15138" w:rsidRDefault="00217655" w:rsidP="000E23A4">
      <w:pPr>
        <w:shd w:val="clear" w:color="auto" w:fill="FFFFFF"/>
        <w:spacing w:beforeAutospacing="1" w:after="0" w:afterAutospacing="1" w:line="276" w:lineRule="auto"/>
        <w:jc w:val="both"/>
      </w:pPr>
      <w:r>
        <w:t xml:space="preserve">There are </w:t>
      </w:r>
      <w:r w:rsidR="008A34AE">
        <w:t xml:space="preserve">ten Pathways to Law students in the 2019 dataset. </w:t>
      </w:r>
      <w:r w:rsidR="00A11E77" w:rsidRPr="00A11E77">
        <w:t xml:space="preserve"> </w:t>
      </w:r>
      <w:r w:rsidR="00A11E77">
        <w:t>Three had a MAP flag</w:t>
      </w:r>
      <w:r w:rsidR="008D1A0C">
        <w:t xml:space="preserve">; </w:t>
      </w:r>
      <w:r w:rsidR="00A11E77">
        <w:t>five were</w:t>
      </w:r>
      <w:r w:rsidR="008A34AE">
        <w:t xml:space="preserve"> also WP P</w:t>
      </w:r>
      <w:r w:rsidR="008D1A0C">
        <w:t xml:space="preserve">lus students and </w:t>
      </w:r>
      <w:r w:rsidR="008A34AE">
        <w:t>eligible for a tw</w:t>
      </w:r>
      <w:r>
        <w:t>o grade reduction and</w:t>
      </w:r>
      <w:r w:rsidR="00C31678">
        <w:t xml:space="preserve"> were therefore</w:t>
      </w:r>
      <w:r>
        <w:t xml:space="preserve"> </w:t>
      </w:r>
      <w:r w:rsidR="008A34AE">
        <w:t xml:space="preserve">included in the MAP/WP </w:t>
      </w:r>
      <w:proofErr w:type="gramStart"/>
      <w:r w:rsidR="008A34AE">
        <w:t>Plus</w:t>
      </w:r>
      <w:proofErr w:type="gramEnd"/>
      <w:r w:rsidR="008A34AE">
        <w:t xml:space="preserve"> </w:t>
      </w:r>
      <w:r w:rsidR="008A34AE">
        <w:lastRenderedPageBreak/>
        <w:t xml:space="preserve">&amp; P2L group. </w:t>
      </w:r>
      <w:r w:rsidR="00A11E77">
        <w:t xml:space="preserve">Two students were not MAP or WP Plus and were not eligible for any additional grade reduction. </w:t>
      </w:r>
      <w:r w:rsidR="000E23A4">
        <w:t xml:space="preserve">The breakdown of students on the </w:t>
      </w:r>
      <w:r w:rsidR="000E23A4" w:rsidRPr="00783151">
        <w:t>LLB (Hons) Bachelor of Laws</w:t>
      </w:r>
      <w:r w:rsidR="000E23A4">
        <w:t xml:space="preserve"> is shown in figure 1.</w:t>
      </w:r>
    </w:p>
    <w:p w14:paraId="68C1B545" w14:textId="77777777" w:rsidR="00C31678" w:rsidRDefault="00C31678" w:rsidP="000E23A4">
      <w:pPr>
        <w:shd w:val="clear" w:color="auto" w:fill="FFFFFF"/>
        <w:spacing w:beforeAutospacing="1" w:after="0" w:afterAutospacing="1" w:line="276" w:lineRule="auto"/>
        <w:jc w:val="both"/>
      </w:pPr>
    </w:p>
    <w:p w14:paraId="2404EF9B" w14:textId="6B67140F" w:rsidR="00C912CB" w:rsidRPr="003D0754" w:rsidRDefault="00DA5FDB" w:rsidP="00CE7B77">
      <w:pPr>
        <w:spacing w:line="276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6D6BEDC" wp14:editId="78271BCF">
                <wp:simplePos x="0" y="0"/>
                <wp:positionH relativeFrom="column">
                  <wp:posOffset>381000</wp:posOffset>
                </wp:positionH>
                <wp:positionV relativeFrom="paragraph">
                  <wp:posOffset>2992120</wp:posOffset>
                </wp:positionV>
                <wp:extent cx="4552950" cy="2286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E2BFB" w14:textId="0E398029" w:rsidR="007976D8" w:rsidRPr="00001984" w:rsidRDefault="007976D8" w:rsidP="00DA5F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600F">
                              <w:rPr>
                                <w:sz w:val="16"/>
                                <w:szCs w:val="16"/>
                              </w:rPr>
                              <w:t>Figure 1: LLB (Hons) Bachelor of Laws 2019/20</w:t>
                            </w:r>
                            <w:r w:rsidR="00751322" w:rsidRPr="00DC600F">
                              <w:rPr>
                                <w:sz w:val="16"/>
                                <w:szCs w:val="16"/>
                              </w:rPr>
                              <w:t xml:space="preserve"> UK</w:t>
                            </w:r>
                            <w:r w:rsidRPr="00DC600F">
                              <w:rPr>
                                <w:sz w:val="16"/>
                                <w:szCs w:val="16"/>
                              </w:rPr>
                              <w:t xml:space="preserve"> entrant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6B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235.6pt;width:358.5pt;height:18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" stroked="f">
                <v:textbox>
                  <w:txbxContent>
                    <w:p w14:paraId="751E2BFB" w14:textId="0E398029" w:rsidR="007976D8" w:rsidRPr="00001984" w:rsidRDefault="007976D8" w:rsidP="00DA5FDB">
                      <w:pPr>
                        <w:rPr>
                          <w:sz w:val="16"/>
                          <w:szCs w:val="16"/>
                        </w:rPr>
                      </w:pPr>
                      <w:r w:rsidRPr="00DC600F">
                        <w:rPr>
                          <w:sz w:val="16"/>
                          <w:szCs w:val="16"/>
                        </w:rPr>
                        <w:t>Figure 1: LLB (Hons) Bachelor of Laws 2019/20</w:t>
                      </w:r>
                      <w:r w:rsidR="00751322" w:rsidRPr="00DC600F">
                        <w:rPr>
                          <w:sz w:val="16"/>
                          <w:szCs w:val="16"/>
                        </w:rPr>
                        <w:t xml:space="preserve"> UK</w:t>
                      </w:r>
                      <w:r w:rsidRPr="00DC600F">
                        <w:rPr>
                          <w:sz w:val="16"/>
                          <w:szCs w:val="16"/>
                        </w:rPr>
                        <w:t xml:space="preserve"> entrant profile</w:t>
                      </w:r>
                    </w:p>
                  </w:txbxContent>
                </v:textbox>
              </v:shape>
            </w:pict>
          </mc:Fallback>
        </mc:AlternateContent>
      </w:r>
      <w:r w:rsidR="0000198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3255D3" wp14:editId="0171C06E">
                <wp:simplePos x="0" y="0"/>
                <wp:positionH relativeFrom="column">
                  <wp:posOffset>504825</wp:posOffset>
                </wp:positionH>
                <wp:positionV relativeFrom="paragraph">
                  <wp:posOffset>2766060</wp:posOffset>
                </wp:positionV>
                <wp:extent cx="4552950" cy="2286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5851" w14:textId="77777777" w:rsidR="007976D8" w:rsidRPr="00001984" w:rsidRDefault="007976D8" w:rsidP="00001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Figure 2:</w:t>
                            </w:r>
                            <w:r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2019/20 UK National entrant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55D3" id="_x0000_s1027" type="#_x0000_t202" style="position:absolute;left:0;text-align:left;margin-left:39.75pt;margin-top:217.8pt;width:358.5pt;height:1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" stroked="f">
                <v:textbox>
                  <w:txbxContent>
                    <w:p w14:paraId="0F445851" w14:textId="77777777" w:rsidR="007976D8" w:rsidRPr="00001984" w:rsidRDefault="007976D8" w:rsidP="000019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Figure 2:</w:t>
                      </w:r>
                      <w:r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>
                        <w:rPr>
                          <w:sz w:val="16"/>
                          <w:szCs w:val="16"/>
                        </w:rPr>
                        <w:t xml:space="preserve"> 2019/20 UK National entrant profile</w:t>
                      </w:r>
                    </w:p>
                  </w:txbxContent>
                </v:textbox>
              </v:shape>
            </w:pict>
          </mc:Fallback>
        </mc:AlternateContent>
      </w:r>
      <w:r w:rsidR="00AF0AD1" w:rsidRPr="00AF0AD1">
        <w:rPr>
          <w:noProof/>
          <w:lang w:eastAsia="en-GB"/>
        </w:rPr>
        <w:t xml:space="preserve"> </w:t>
      </w:r>
      <w:commentRangeStart w:id="0"/>
      <w:r w:rsidR="00AC2544">
        <w:rPr>
          <w:noProof/>
          <w:lang w:eastAsia="en-GB"/>
        </w:rPr>
        <w:drawing>
          <wp:inline distT="0" distB="0" distL="0" distR="0" wp14:anchorId="6C7986F2" wp14:editId="4031E80B">
            <wp:extent cx="4691063" cy="2962276"/>
            <wp:effectExtent l="0" t="0" r="1460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commentRangeEnd w:id="0"/>
      <w:r w:rsidR="007902FF">
        <w:rPr>
          <w:rStyle w:val="CommentReference"/>
        </w:rPr>
        <w:commentReference w:id="0"/>
      </w:r>
    </w:p>
    <w:p w14:paraId="6C68C74D" w14:textId="55FB436B" w:rsidR="003D0754" w:rsidRDefault="003D0754" w:rsidP="00CE7B77">
      <w:pPr>
        <w:spacing w:line="276" w:lineRule="auto"/>
        <w:jc w:val="both"/>
        <w:rPr>
          <w:b/>
          <w:u w:val="single"/>
        </w:rPr>
      </w:pPr>
    </w:p>
    <w:p w14:paraId="2B9ED235" w14:textId="3E877F3F" w:rsidR="00DE6F65" w:rsidRPr="00DA5FDB" w:rsidRDefault="00DE6F65" w:rsidP="00DE6F65">
      <w:pPr>
        <w:shd w:val="clear" w:color="auto" w:fill="FFFFFF"/>
        <w:spacing w:beforeAutospacing="1" w:after="0" w:afterAutospacing="1" w:line="276" w:lineRule="auto"/>
        <w:jc w:val="both"/>
      </w:pPr>
      <w:r w:rsidRPr="009603A3">
        <w:rPr>
          <w:b/>
          <w:u w:val="single"/>
        </w:rPr>
        <w:t>Entry Tariff</w:t>
      </w:r>
      <w:r w:rsidR="00217655">
        <w:rPr>
          <w:b/>
          <w:u w:val="single"/>
        </w:rPr>
        <w:t>s</w:t>
      </w:r>
    </w:p>
    <w:p w14:paraId="7AECF22F" w14:textId="785206E6" w:rsidR="003B4F45" w:rsidRDefault="00AC2544" w:rsidP="00DE6F65">
      <w:pPr>
        <w:shd w:val="clear" w:color="auto" w:fill="FFFFFF"/>
        <w:spacing w:beforeAutospacing="1" w:after="0" w:afterAutospacing="1" w:line="276" w:lineRule="auto"/>
        <w:jc w:val="both"/>
      </w:pPr>
      <w:r w:rsidRPr="00AC25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55C44E1E" wp14:editId="556405EA">
                <wp:simplePos x="0" y="0"/>
                <wp:positionH relativeFrom="margin">
                  <wp:posOffset>514350</wp:posOffset>
                </wp:positionH>
                <wp:positionV relativeFrom="paragraph">
                  <wp:posOffset>3195320</wp:posOffset>
                </wp:positionV>
                <wp:extent cx="4943475" cy="4572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B9712" w14:textId="48F6DA35" w:rsidR="00AC2544" w:rsidRPr="00001984" w:rsidRDefault="00AC2544" w:rsidP="00AC25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Table 1:</w:t>
                            </w:r>
                            <w:r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2019/20 entry tariff</w:t>
                            </w:r>
                            <w:r w:rsidRPr="00816909">
                              <w:t xml:space="preserve"> </w:t>
                            </w:r>
                            <w:proofErr w:type="gramStart"/>
                            <w:r w:rsidRPr="00816909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816909">
                              <w:rPr>
                                <w:sz w:val="16"/>
                                <w:szCs w:val="16"/>
                              </w:rPr>
                              <w:t xml:space="preserve"> standard entry offer for LLB (Hons) Bachelor of Laws is 144 points, equivalent to AAA at A Level. AAB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 equivalent </w:t>
                            </w:r>
                            <w:r w:rsidRPr="00816909">
                              <w:rPr>
                                <w:sz w:val="16"/>
                                <w:szCs w:val="16"/>
                              </w:rPr>
                              <w:t>to 136 tariff points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816909">
                              <w:rPr>
                                <w:sz w:val="16"/>
                                <w:szCs w:val="16"/>
                              </w:rPr>
                              <w:t xml:space="preserve">ABB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 128 tariff points.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44E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0.5pt;margin-top:251.6pt;width:389.25pt;height:36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" stroked="f">
                <v:textbox>
                  <w:txbxContent>
                    <w:p w14:paraId="0AFB9712" w14:textId="48F6DA35" w:rsidR="00AC2544" w:rsidRPr="00001984" w:rsidRDefault="00AC2544" w:rsidP="00AC254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Table 1:</w:t>
                      </w:r>
                      <w:r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>
                        <w:rPr>
                          <w:sz w:val="16"/>
                          <w:szCs w:val="16"/>
                        </w:rPr>
                        <w:t xml:space="preserve"> 2019/20 entry tariff</w:t>
                      </w:r>
                      <w:r w:rsidRPr="00816909">
                        <w:t xml:space="preserve"> </w:t>
                      </w:r>
                      <w:proofErr w:type="gramStart"/>
                      <w:r w:rsidRPr="00816909">
                        <w:rPr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Pr="00816909">
                        <w:rPr>
                          <w:sz w:val="16"/>
                          <w:szCs w:val="16"/>
                        </w:rPr>
                        <w:t xml:space="preserve"> standard entry offer for LLB (Hons) Bachelor of Laws is 144 points, equivalent to AAA at A Level. AAB </w:t>
                      </w:r>
                      <w:r>
                        <w:rPr>
                          <w:sz w:val="16"/>
                          <w:szCs w:val="16"/>
                        </w:rPr>
                        <w:t xml:space="preserve">is equivalent </w:t>
                      </w:r>
                      <w:r w:rsidRPr="00816909">
                        <w:rPr>
                          <w:sz w:val="16"/>
                          <w:szCs w:val="16"/>
                        </w:rPr>
                        <w:t>to 136 tariff points</w:t>
                      </w:r>
                      <w:r>
                        <w:rPr>
                          <w:sz w:val="16"/>
                          <w:szCs w:val="16"/>
                        </w:rPr>
                        <w:t xml:space="preserve"> and </w:t>
                      </w:r>
                      <w:r w:rsidRPr="00816909">
                        <w:rPr>
                          <w:sz w:val="16"/>
                          <w:szCs w:val="16"/>
                        </w:rPr>
                        <w:t xml:space="preserve">ABB </w:t>
                      </w:r>
                      <w:r>
                        <w:rPr>
                          <w:sz w:val="16"/>
                          <w:szCs w:val="16"/>
                        </w:rPr>
                        <w:t>to 128 tariff points.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80C">
        <w:t>The entry tariffs for</w:t>
      </w:r>
      <w:r w:rsidR="00DE6F65" w:rsidRPr="00AC53EC">
        <w:t xml:space="preserve"> the 2019 </w:t>
      </w:r>
      <w:r w:rsidR="00DE6F65" w:rsidRPr="00783151">
        <w:t>LLB (Hons) Bachelor of Laws</w:t>
      </w:r>
      <w:r w:rsidR="00DE6F65">
        <w:t xml:space="preserve"> students are shown in table 1. In order to compare like-for-like entry tariffs, only the top three grades for each student</w:t>
      </w:r>
      <w:r w:rsidR="0050080C">
        <w:t xml:space="preserve"> are recorded below</w:t>
      </w:r>
      <w:r w:rsidR="00DE6F65">
        <w:t>.</w:t>
      </w:r>
      <w:r w:rsidR="0050080C">
        <w:t xml:space="preserve"> Seven</w:t>
      </w:r>
      <w:r w:rsidR="00DE6F65">
        <w:t xml:space="preserve"> students in the dataset had more </w:t>
      </w:r>
      <w:r w:rsidR="0050080C">
        <w:t>than three entry qualifications</w:t>
      </w:r>
      <w:r w:rsidR="00937144">
        <w:t xml:space="preserve"> listed</w:t>
      </w:r>
      <w:r w:rsidR="0050080C">
        <w:t xml:space="preserve"> and would therefore have a higher entry tariff than shown. Six of these</w:t>
      </w:r>
      <w:r w:rsidR="00937144">
        <w:t xml:space="preserve"> students are</w:t>
      </w:r>
      <w:r w:rsidR="0050080C">
        <w:t xml:space="preserve"> in the Standard Entrants group. One was in </w:t>
      </w:r>
      <w:r w:rsidR="008D1A0C">
        <w:t xml:space="preserve">the </w:t>
      </w:r>
      <w:r w:rsidR="0050080C">
        <w:t>P2L</w:t>
      </w:r>
      <w:r w:rsidR="00A11E77">
        <w:t xml:space="preserve"> or WP Plus</w:t>
      </w:r>
      <w:r w:rsidR="0050080C">
        <w:t xml:space="preserve"> group,</w:t>
      </w:r>
      <w:r w:rsidR="00DC600F">
        <w:t xml:space="preserve"> having four BTEC distinctions.</w:t>
      </w:r>
    </w:p>
    <w:tbl>
      <w:tblPr>
        <w:tblW w:w="7140" w:type="dxa"/>
        <w:jc w:val="center"/>
        <w:tblLook w:val="04A0" w:firstRow="1" w:lastRow="0" w:firstColumn="1" w:lastColumn="0" w:noHBand="0" w:noVBand="1"/>
      </w:tblPr>
      <w:tblGrid>
        <w:gridCol w:w="2020"/>
        <w:gridCol w:w="1280"/>
        <w:gridCol w:w="1280"/>
        <w:gridCol w:w="1280"/>
        <w:gridCol w:w="1280"/>
      </w:tblGrid>
      <w:tr w:rsidR="00C32855" w:rsidRPr="00C32855" w14:paraId="58FFDD50" w14:textId="77777777" w:rsidTr="00C32855">
        <w:trPr>
          <w:trHeight w:val="735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noWrap/>
            <w:vAlign w:val="center"/>
            <w:hideMark/>
          </w:tcPr>
          <w:p w14:paraId="3B4EB8F2" w14:textId="21807A4A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Entry Tariff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vAlign w:val="center"/>
            <w:hideMark/>
          </w:tcPr>
          <w:p w14:paraId="5619F527" w14:textId="3FA0FEEE" w:rsidR="00C32855" w:rsidRPr="00C32855" w:rsidRDefault="00C32855" w:rsidP="00D04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MAP/ </w:t>
            </w:r>
            <w:r w:rsidR="00A11E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WP Plus</w:t>
            </w:r>
            <w:r w:rsidR="00D04D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&amp; </w:t>
            </w:r>
            <w:r w:rsidR="00D04DB5"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P2L</w:t>
            </w:r>
            <w:r w:rsidR="00D04D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vAlign w:val="center"/>
            <w:hideMark/>
          </w:tcPr>
          <w:p w14:paraId="3CDEBFD2" w14:textId="5D3AE09D" w:rsidR="00C32855" w:rsidRPr="00C32855" w:rsidRDefault="00A11E77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WP Plus</w:t>
            </w:r>
            <w:r w:rsidR="00E6389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or P2L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vAlign w:val="center"/>
            <w:hideMark/>
          </w:tcPr>
          <w:p w14:paraId="4871AF49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Standard Entrant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noWrap/>
            <w:vAlign w:val="center"/>
            <w:hideMark/>
          </w:tcPr>
          <w:p w14:paraId="4C5E4EBF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C32855" w:rsidRPr="00C32855" w14:paraId="7CD8D226" w14:textId="77777777" w:rsidTr="00C3285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A1D6D" w14:textId="1020E88C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&lt;128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7D6DB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A7DED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DDC4C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8F200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</w:p>
        </w:tc>
      </w:tr>
      <w:tr w:rsidR="00C32855" w:rsidRPr="00C32855" w14:paraId="69EC0D1C" w14:textId="77777777" w:rsidTr="00C3285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2E814" w14:textId="6C14D9BF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128 - 135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E0CDF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0BD67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ECB98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56261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</w:t>
            </w:r>
          </w:p>
        </w:tc>
      </w:tr>
      <w:tr w:rsidR="00C32855" w:rsidRPr="00C32855" w14:paraId="103BA041" w14:textId="77777777" w:rsidTr="00C3285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BFDE44" w14:textId="362555F3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136 - 143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E8A2E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7D863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500FE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3DE7F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42</w:t>
            </w:r>
          </w:p>
        </w:tc>
      </w:tr>
      <w:tr w:rsidR="00C32855" w:rsidRPr="00C32855" w14:paraId="4343A1B4" w14:textId="77777777" w:rsidTr="00C3285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FA997" w14:textId="51F3592D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144 - 152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9E6BC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5B52E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47B5B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D1D24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67</w:t>
            </w:r>
          </w:p>
        </w:tc>
      </w:tr>
      <w:tr w:rsidR="00C32855" w:rsidRPr="00C32855" w14:paraId="3DA0AF6C" w14:textId="77777777" w:rsidTr="00C3285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F5601" w14:textId="7E4CD493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153 - 160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30F26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8F3C7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D045E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D5347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</w:t>
            </w:r>
          </w:p>
        </w:tc>
      </w:tr>
      <w:tr w:rsidR="00C32855" w:rsidRPr="00C32855" w14:paraId="121CD250" w14:textId="77777777" w:rsidTr="00C3285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699E6" w14:textId="2BEFD1D5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161 - 168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AFA53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21FF7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10A17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CF983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</w:t>
            </w:r>
          </w:p>
        </w:tc>
      </w:tr>
      <w:tr w:rsidR="00C32855" w:rsidRPr="00C32855" w14:paraId="41E234D7" w14:textId="77777777" w:rsidTr="00C32855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CF19E" w14:textId="01393143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4132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7EC4F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880A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CAC7D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</w:tr>
      <w:tr w:rsidR="00C32855" w:rsidRPr="00C32855" w14:paraId="2F77C6C0" w14:textId="77777777" w:rsidTr="00C32855">
        <w:trPr>
          <w:trHeight w:val="315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noWrap/>
            <w:vAlign w:val="bottom"/>
            <w:hideMark/>
          </w:tcPr>
          <w:p w14:paraId="106483D6" w14:textId="0EF5E172" w:rsidR="00C32855" w:rsidRPr="00DC600F" w:rsidRDefault="00C32855" w:rsidP="00DC6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noWrap/>
            <w:vAlign w:val="bottom"/>
            <w:hideMark/>
          </w:tcPr>
          <w:p w14:paraId="327C91EE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noWrap/>
            <w:vAlign w:val="bottom"/>
            <w:hideMark/>
          </w:tcPr>
          <w:p w14:paraId="6FF735F1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noWrap/>
            <w:vAlign w:val="bottom"/>
            <w:hideMark/>
          </w:tcPr>
          <w:p w14:paraId="79DD60A0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noWrap/>
            <w:vAlign w:val="bottom"/>
            <w:hideMark/>
          </w:tcPr>
          <w:p w14:paraId="3CD0C08D" w14:textId="77777777" w:rsidR="00C32855" w:rsidRPr="00C32855" w:rsidRDefault="00C32855" w:rsidP="00C328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328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148</w:t>
            </w:r>
          </w:p>
        </w:tc>
      </w:tr>
    </w:tbl>
    <w:p w14:paraId="240148E9" w14:textId="1C28BBEF" w:rsidR="00DE6F65" w:rsidRDefault="00C32855" w:rsidP="00AC2544">
      <w:pPr>
        <w:spacing w:after="0" w:line="240" w:lineRule="auto"/>
      </w:pPr>
      <w:r>
        <w:rPr>
          <w:noProof/>
          <w:lang w:eastAsia="en-GB"/>
        </w:rPr>
        <w:t xml:space="preserve"> </w:t>
      </w:r>
      <w:r w:rsidR="00881C64">
        <w:rPr>
          <w:noProof/>
          <w:lang w:eastAsia="en-GB"/>
        </w:rPr>
        <w:t xml:space="preserve"> </w:t>
      </w:r>
      <w:r w:rsidR="00816909">
        <w:rPr>
          <w:noProof/>
          <w:lang w:eastAsia="en-GB"/>
        </w:rPr>
        <w:tab/>
      </w:r>
    </w:p>
    <w:p w14:paraId="6BADA64E" w14:textId="77777777" w:rsidR="006103BF" w:rsidRDefault="006103BF" w:rsidP="00DE6F65">
      <w:pPr>
        <w:shd w:val="clear" w:color="auto" w:fill="FFFFFF"/>
        <w:spacing w:beforeAutospacing="1" w:after="0" w:afterAutospacing="1" w:line="276" w:lineRule="auto"/>
        <w:jc w:val="both"/>
      </w:pPr>
    </w:p>
    <w:p w14:paraId="6056EA29" w14:textId="6272DDA3" w:rsidR="00DE6F65" w:rsidRDefault="00DE6F65" w:rsidP="00DE6F65">
      <w:pPr>
        <w:shd w:val="clear" w:color="auto" w:fill="FFFFFF"/>
        <w:spacing w:beforeAutospacing="1" w:after="0" w:afterAutospacing="1" w:line="276" w:lineRule="auto"/>
        <w:jc w:val="both"/>
      </w:pPr>
      <w:r>
        <w:lastRenderedPageBreak/>
        <w:t>Based on the top three entry qualifications</w:t>
      </w:r>
      <w:r w:rsidR="00A61614">
        <w:t>,</w:t>
      </w:r>
      <w:r w:rsidR="00ED13C0">
        <w:t xml:space="preserve"> the</w:t>
      </w:r>
      <w:r>
        <w:t xml:space="preserve"> majority of </w:t>
      </w:r>
      <w:r w:rsidR="004919C4" w:rsidRPr="004919C4">
        <w:t>MAP/</w:t>
      </w:r>
      <w:r w:rsidR="00E6389B">
        <w:t xml:space="preserve"> WP </w:t>
      </w:r>
      <w:proofErr w:type="gramStart"/>
      <w:r w:rsidR="00E6389B">
        <w:t>Plus</w:t>
      </w:r>
      <w:proofErr w:type="gramEnd"/>
      <w:r>
        <w:t xml:space="preserve"> </w:t>
      </w:r>
      <w:r w:rsidR="00816909">
        <w:t xml:space="preserve">&amp; P2L </w:t>
      </w:r>
      <w:r>
        <w:t>students</w:t>
      </w:r>
      <w:r w:rsidR="00ED13C0">
        <w:t xml:space="preserve"> are</w:t>
      </w:r>
      <w:r>
        <w:t xml:space="preserve"> in the 128 – 135 and 136 - 143 point tariff bands. </w:t>
      </w:r>
      <w:commentRangeStart w:id="1"/>
      <w:r>
        <w:t>T</w:t>
      </w:r>
      <w:r w:rsidR="0004061B">
        <w:t>he average entry tariff for</w:t>
      </w:r>
      <w:r w:rsidR="00940921">
        <w:t xml:space="preserve"> </w:t>
      </w:r>
      <w:r w:rsidR="00940921" w:rsidRPr="004919C4">
        <w:t>MAP/</w:t>
      </w:r>
      <w:r w:rsidR="00940921">
        <w:t xml:space="preserve"> WP </w:t>
      </w:r>
      <w:proofErr w:type="gramStart"/>
      <w:r w:rsidR="00940921">
        <w:t>Plus</w:t>
      </w:r>
      <w:proofErr w:type="gramEnd"/>
      <w:r w:rsidR="00940921">
        <w:t xml:space="preserve"> &amp; P2L students</w:t>
      </w:r>
      <w:r>
        <w:t xml:space="preserve"> on </w:t>
      </w:r>
      <w:r w:rsidRPr="00783151">
        <w:t>LLB (Hons) Bachelor of Laws</w:t>
      </w:r>
      <w:r w:rsidR="0050080C">
        <w:t xml:space="preserve"> in 2019 is </w:t>
      </w:r>
      <w:commentRangeStart w:id="2"/>
      <w:r w:rsidR="0050080C">
        <w:t>133.1</w:t>
      </w:r>
      <w:r w:rsidR="00937144">
        <w:t xml:space="preserve">. </w:t>
      </w:r>
      <w:commentRangeEnd w:id="2"/>
      <w:r w:rsidR="00937144">
        <w:rPr>
          <w:rStyle w:val="CommentReference"/>
        </w:rPr>
        <w:commentReference w:id="2"/>
      </w:r>
      <w:commentRangeEnd w:id="1"/>
      <w:r w:rsidR="00E6389B">
        <w:rPr>
          <w:rStyle w:val="CommentReference"/>
        </w:rPr>
        <w:commentReference w:id="1"/>
      </w:r>
    </w:p>
    <w:p w14:paraId="6E229DAC" w14:textId="5423AA1E" w:rsidR="00C55351" w:rsidRDefault="00C55351" w:rsidP="00CE7B77">
      <w:pPr>
        <w:shd w:val="clear" w:color="auto" w:fill="FFFFFF"/>
        <w:spacing w:beforeAutospacing="1" w:after="0" w:afterAutospacing="1" w:line="276" w:lineRule="auto"/>
        <w:jc w:val="both"/>
      </w:pPr>
      <w:r>
        <w:t>WP Plus</w:t>
      </w:r>
      <w:r w:rsidR="00E6389B">
        <w:t xml:space="preserve"> or </w:t>
      </w:r>
      <w:r w:rsidR="004919C4">
        <w:t>P2L</w:t>
      </w:r>
      <w:r>
        <w:t xml:space="preserve"> students are mostly grouped in the 136 –</w:t>
      </w:r>
      <w:r w:rsidR="00D01789">
        <w:t xml:space="preserve"> 143</w:t>
      </w:r>
      <w:r>
        <w:t xml:space="preserve"> and 144 -152 tariff bands. The average entry tariff for </w:t>
      </w:r>
      <w:r w:rsidR="00E6389B">
        <w:t>this group is</w:t>
      </w:r>
      <w:r w:rsidR="004919C4">
        <w:t xml:space="preserve"> 142.8</w:t>
      </w:r>
      <w:r>
        <w:t>.</w:t>
      </w:r>
    </w:p>
    <w:p w14:paraId="38AA6A25" w14:textId="105D69E1" w:rsidR="00C55351" w:rsidRDefault="00881C64" w:rsidP="00CE7B77">
      <w:pPr>
        <w:shd w:val="clear" w:color="auto" w:fill="FFFFFF"/>
        <w:spacing w:beforeAutospacing="1" w:after="0" w:afterAutospacing="1" w:line="276" w:lineRule="auto"/>
        <w:jc w:val="both"/>
      </w:pPr>
      <w:r>
        <w:t>The Standard E</w:t>
      </w:r>
      <w:r w:rsidR="00C55351">
        <w:t>ntrants on the course</w:t>
      </w:r>
      <w:r w:rsidR="00E6389B">
        <w:t xml:space="preserve"> </w:t>
      </w:r>
      <w:r w:rsidR="00C55351">
        <w:t>are mostly grouped in the 144 – 152 tariff band.</w:t>
      </w:r>
      <w:r w:rsidR="005A698A">
        <w:t xml:space="preserve"> However</w:t>
      </w:r>
      <w:r w:rsidR="00FE60CE">
        <w:t>,</w:t>
      </w:r>
      <w:r w:rsidR="005A698A">
        <w:t xml:space="preserve"> there are </w:t>
      </w:r>
      <w:r w:rsidR="00FE60CE">
        <w:t>students</w:t>
      </w:r>
      <w:r w:rsidR="005A698A">
        <w:t xml:space="preserve"> distributed across the</w:t>
      </w:r>
      <w:r w:rsidR="00FE60CE">
        <w:t xml:space="preserve"> various </w:t>
      </w:r>
      <w:r w:rsidR="00E6389B">
        <w:t xml:space="preserve">tariff </w:t>
      </w:r>
      <w:r w:rsidR="00FE60CE">
        <w:t>bands.</w:t>
      </w:r>
      <w:r w:rsidR="00C55351">
        <w:t xml:space="preserve"> </w:t>
      </w:r>
      <w:r w:rsidR="00AB68B4">
        <w:t>The average entry tar</w:t>
      </w:r>
      <w:r w:rsidR="004919C4">
        <w:t xml:space="preserve">iff for </w:t>
      </w:r>
      <w:r w:rsidR="00E6389B">
        <w:t>Standard E</w:t>
      </w:r>
      <w:r w:rsidR="004919C4">
        <w:t>ntrants is 146.38</w:t>
      </w:r>
      <w:r w:rsidR="00AB68B4">
        <w:t xml:space="preserve"> points.</w:t>
      </w:r>
    </w:p>
    <w:p w14:paraId="2BE22BA2" w14:textId="08E6038D" w:rsidR="00AB68B4" w:rsidRDefault="00AB68B4" w:rsidP="00CE7B77">
      <w:pPr>
        <w:shd w:val="clear" w:color="auto" w:fill="FFFFFF"/>
        <w:spacing w:beforeAutospacing="1" w:after="0" w:afterAutospacing="1" w:line="276" w:lineRule="auto"/>
        <w:jc w:val="both"/>
      </w:pPr>
      <w:r w:rsidRPr="00D03B83">
        <w:t>The data</w:t>
      </w:r>
      <w:r w:rsidR="003B4F45">
        <w:t xml:space="preserve"> in</w:t>
      </w:r>
      <w:r w:rsidRPr="00D03B83">
        <w:t xml:space="preserve"> table 1</w:t>
      </w:r>
      <w:r>
        <w:t xml:space="preserve"> also shows that </w:t>
      </w:r>
      <w:r w:rsidR="001E5FAA">
        <w:t>seven</w:t>
      </w:r>
      <w:commentRangeStart w:id="3"/>
      <w:r>
        <w:t xml:space="preserve"> </w:t>
      </w:r>
      <w:r w:rsidR="001E5FAA">
        <w:t xml:space="preserve">of the fourteen MAP/ WP </w:t>
      </w:r>
      <w:proofErr w:type="gramStart"/>
      <w:r w:rsidR="001E5FAA">
        <w:t>Plus</w:t>
      </w:r>
      <w:proofErr w:type="gramEnd"/>
      <w:r w:rsidR="001E5FAA">
        <w:t xml:space="preserve"> &amp; P2L students (50</w:t>
      </w:r>
      <w:r>
        <w:t xml:space="preserve">%) required the reduction of two grades in order to be </w:t>
      </w:r>
      <w:r w:rsidR="00816909">
        <w:t>accepted</w:t>
      </w:r>
      <w:r>
        <w:t xml:space="preserve"> on to the course. </w:t>
      </w:r>
      <w:commentRangeEnd w:id="3"/>
      <w:r w:rsidR="00E6389B">
        <w:rPr>
          <w:rStyle w:val="CommentReference"/>
        </w:rPr>
        <w:commentReference w:id="3"/>
      </w:r>
      <w:r>
        <w:t>Three would have required at least one grade drop, and 1 student in 2019 would have met the standard entry tariff of 144 points.</w:t>
      </w:r>
      <w:r w:rsidR="00C40588">
        <w:t xml:space="preserve"> One student </w:t>
      </w:r>
      <w:r w:rsidR="00644099">
        <w:t>entered with</w:t>
      </w:r>
      <w:r w:rsidR="00A61614">
        <w:t xml:space="preserve"> 120 tariff points; they </w:t>
      </w:r>
      <w:r w:rsidR="00C40588">
        <w:t>had previously completed a foundation cou</w:t>
      </w:r>
      <w:r w:rsidR="008D1A0C">
        <w:t>rse in addition to</w:t>
      </w:r>
      <w:r w:rsidR="00C40588">
        <w:t xml:space="preserve"> A Levels. </w:t>
      </w:r>
    </w:p>
    <w:p w14:paraId="2B14E81C" w14:textId="241769C0" w:rsidR="00AB68B4" w:rsidRDefault="00C40588" w:rsidP="00CE7B77">
      <w:pPr>
        <w:shd w:val="clear" w:color="auto" w:fill="FFFFFF"/>
        <w:spacing w:beforeAutospacing="1" w:after="0" w:afterAutospacing="1" w:line="276" w:lineRule="auto"/>
        <w:jc w:val="both"/>
      </w:pPr>
      <w:r>
        <w:t>For the WP Plus</w:t>
      </w:r>
      <w:r w:rsidR="00E6389B">
        <w:t xml:space="preserve"> or P2L</w:t>
      </w:r>
      <w:r>
        <w:t xml:space="preserve"> students, </w:t>
      </w:r>
      <w:r w:rsidR="000826A9">
        <w:t>fourteen (42.4</w:t>
      </w:r>
      <w:r w:rsidR="00725669">
        <w:t>%)</w:t>
      </w:r>
      <w:r w:rsidR="00AB68B4">
        <w:t xml:space="preserve"> required the </w:t>
      </w:r>
      <w:r w:rsidR="00725669">
        <w:t xml:space="preserve">one grade reduction in order to be </w:t>
      </w:r>
      <w:r w:rsidR="00E6389B">
        <w:t>accepted</w:t>
      </w:r>
      <w:r w:rsidR="00725669">
        <w:t xml:space="preserve"> </w:t>
      </w:r>
      <w:r w:rsidR="00881C64">
        <w:t xml:space="preserve">on the course. </w:t>
      </w:r>
      <w:r w:rsidR="000826A9">
        <w:t>Two</w:t>
      </w:r>
      <w:r w:rsidR="00881C64">
        <w:t xml:space="preserve"> students </w:t>
      </w:r>
      <w:r w:rsidR="00FE60CE">
        <w:t>required</w:t>
      </w:r>
      <w:r w:rsidR="00725669">
        <w:t xml:space="preserve"> a reduction equivalent t</w:t>
      </w:r>
      <w:r w:rsidR="00881C64">
        <w:t xml:space="preserve">o two grades. The remaining </w:t>
      </w:r>
      <w:r w:rsidR="000826A9">
        <w:t>seventeen</w:t>
      </w:r>
      <w:r w:rsidR="00725669">
        <w:t xml:space="preserve"> WP Plus </w:t>
      </w:r>
      <w:r w:rsidR="00E6389B">
        <w:t xml:space="preserve">or </w:t>
      </w:r>
      <w:r w:rsidR="000826A9">
        <w:t xml:space="preserve">P2L students </w:t>
      </w:r>
      <w:r w:rsidR="00725669">
        <w:t>met</w:t>
      </w:r>
      <w:r w:rsidR="00881C64">
        <w:t xml:space="preserve"> or exceeded</w:t>
      </w:r>
      <w:r w:rsidR="00A61614">
        <w:t xml:space="preserve"> the standard AAA offer</w:t>
      </w:r>
      <w:r w:rsidR="00725669">
        <w:t xml:space="preserve"> and therefore </w:t>
      </w:r>
      <w:r w:rsidR="00816909">
        <w:t>did not require</w:t>
      </w:r>
      <w:r w:rsidR="00725669">
        <w:t xml:space="preserve"> the </w:t>
      </w:r>
      <w:r w:rsidR="00816909">
        <w:t>grade reduction</w:t>
      </w:r>
      <w:r w:rsidR="00E7417C">
        <w:t>.</w:t>
      </w:r>
    </w:p>
    <w:p w14:paraId="3FB1F899" w14:textId="65C29289" w:rsidR="00E7417C" w:rsidRDefault="00E7417C" w:rsidP="00E7417C">
      <w:pPr>
        <w:shd w:val="clear" w:color="auto" w:fill="FFFFFF"/>
        <w:spacing w:beforeAutospacing="1" w:after="0" w:afterAutospacing="1" w:line="276" w:lineRule="auto"/>
        <w:jc w:val="both"/>
      </w:pPr>
      <w:r>
        <w:t xml:space="preserve">A summary of the number of students </w:t>
      </w:r>
      <w:commentRangeStart w:id="4"/>
      <w:r>
        <w:t xml:space="preserve">meeting their offer conditions </w:t>
      </w:r>
      <w:commentRangeEnd w:id="4"/>
      <w:r>
        <w:rPr>
          <w:rStyle w:val="CommentReference"/>
        </w:rPr>
        <w:commentReference w:id="4"/>
      </w:r>
      <w:r>
        <w:t xml:space="preserve">is shown in table 2. </w:t>
      </w:r>
      <w:r w:rsidRPr="00DC600F">
        <w:t>This is based</w:t>
      </w:r>
      <w:r>
        <w:t xml:space="preserve"> on the total tariff available (e.g. all published grades) compared to the required entry tariff for each student.</w:t>
      </w:r>
    </w:p>
    <w:tbl>
      <w:tblPr>
        <w:tblW w:w="8495" w:type="dxa"/>
        <w:jc w:val="center"/>
        <w:tblLook w:val="04A0" w:firstRow="1" w:lastRow="0" w:firstColumn="1" w:lastColumn="0" w:noHBand="0" w:noVBand="1"/>
      </w:tblPr>
      <w:tblGrid>
        <w:gridCol w:w="2260"/>
        <w:gridCol w:w="1780"/>
        <w:gridCol w:w="1337"/>
        <w:gridCol w:w="1417"/>
        <w:gridCol w:w="1701"/>
      </w:tblGrid>
      <w:tr w:rsidR="00E7417C" w:rsidRPr="004431B2" w14:paraId="26F26E12" w14:textId="77777777" w:rsidTr="00F14400">
        <w:trPr>
          <w:trHeight w:val="930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noWrap/>
            <w:vAlign w:val="center"/>
            <w:hideMark/>
          </w:tcPr>
          <w:p w14:paraId="299ACDBD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Entrant Type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vAlign w:val="center"/>
            <w:hideMark/>
          </w:tcPr>
          <w:p w14:paraId="32D3A26E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Met Offer Conditions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vAlign w:val="center"/>
            <w:hideMark/>
          </w:tcPr>
          <w:p w14:paraId="7C0B1679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Did Not Meet Offer Conditions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noWrap/>
            <w:vAlign w:val="center"/>
            <w:hideMark/>
          </w:tcPr>
          <w:p w14:paraId="506A08DB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Unknown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vAlign w:val="center"/>
            <w:hideMark/>
          </w:tcPr>
          <w:p w14:paraId="0EE29ECA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% Met Offer (Exc. </w:t>
            </w:r>
            <w:proofErr w:type="spellStart"/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Unk</w:t>
            </w:r>
            <w:proofErr w:type="spellEnd"/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</w:tr>
      <w:tr w:rsidR="00E7417C" w:rsidRPr="004431B2" w14:paraId="18516B16" w14:textId="77777777" w:rsidTr="00F14400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757557" w14:textId="77777777" w:rsidR="00E7417C" w:rsidRPr="004431B2" w:rsidRDefault="00E7417C" w:rsidP="00F144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MAP/WP Plus &amp; P2L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36B69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C8F10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90C37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664B0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92.9%</w:t>
            </w:r>
          </w:p>
        </w:tc>
      </w:tr>
      <w:tr w:rsidR="00E7417C" w:rsidRPr="004431B2" w14:paraId="70D7092A" w14:textId="77777777" w:rsidTr="00F14400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5F8D9" w14:textId="77777777" w:rsidR="00E7417C" w:rsidRPr="004431B2" w:rsidRDefault="00E7417C" w:rsidP="00F144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WP Plus/P2L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845BE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86A9B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E9B52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9588E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93.9%</w:t>
            </w:r>
          </w:p>
        </w:tc>
      </w:tr>
      <w:tr w:rsidR="00E7417C" w:rsidRPr="004431B2" w14:paraId="392809BE" w14:textId="77777777" w:rsidTr="00F14400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77856" w14:textId="77777777" w:rsidR="00E7417C" w:rsidRPr="004431B2" w:rsidRDefault="00E7417C" w:rsidP="00F144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Standard Entrant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03A41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7C699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AC681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E246B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color w:val="000000"/>
                <w:lang w:eastAsia="en-GB"/>
              </w:rPr>
              <w:t>73.0%</w:t>
            </w:r>
          </w:p>
        </w:tc>
      </w:tr>
      <w:tr w:rsidR="00E7417C" w:rsidRPr="004431B2" w14:paraId="0C52A741" w14:textId="77777777" w:rsidTr="00F14400">
        <w:trPr>
          <w:trHeight w:val="315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noWrap/>
            <w:vAlign w:val="bottom"/>
            <w:hideMark/>
          </w:tcPr>
          <w:p w14:paraId="500A94F1" w14:textId="77777777" w:rsidR="00E7417C" w:rsidRPr="004431B2" w:rsidRDefault="00E7417C" w:rsidP="00F144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noWrap/>
            <w:vAlign w:val="bottom"/>
            <w:hideMark/>
          </w:tcPr>
          <w:p w14:paraId="4100B000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noWrap/>
            <w:vAlign w:val="bottom"/>
            <w:hideMark/>
          </w:tcPr>
          <w:p w14:paraId="526CD0A8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F2F2F2"/>
            <w:noWrap/>
            <w:vAlign w:val="bottom"/>
            <w:hideMark/>
          </w:tcPr>
          <w:p w14:paraId="338DA302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F2F2F2"/>
            <w:noWrap/>
            <w:vAlign w:val="bottom"/>
            <w:hideMark/>
          </w:tcPr>
          <w:p w14:paraId="5BB365BB" w14:textId="77777777" w:rsidR="00E7417C" w:rsidRPr="004431B2" w:rsidRDefault="00E7417C" w:rsidP="00F14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431B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78.9%</w:t>
            </w:r>
          </w:p>
        </w:tc>
      </w:tr>
    </w:tbl>
    <w:p w14:paraId="59E726CD" w14:textId="77777777" w:rsidR="00E7417C" w:rsidRDefault="00E7417C" w:rsidP="00E7417C">
      <w:pPr>
        <w:shd w:val="clear" w:color="auto" w:fill="FFFFFF"/>
        <w:spacing w:beforeAutospacing="1" w:after="0" w:afterAutospacing="1" w:line="276" w:lineRule="auto"/>
        <w:jc w:val="both"/>
      </w:pPr>
      <w:r w:rsidRPr="00FE1A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3C87D89" wp14:editId="0D84BC4D">
                <wp:simplePos x="0" y="0"/>
                <wp:positionH relativeFrom="margin">
                  <wp:posOffset>95250</wp:posOffset>
                </wp:positionH>
                <wp:positionV relativeFrom="paragraph">
                  <wp:posOffset>14605</wp:posOffset>
                </wp:positionV>
                <wp:extent cx="4552950" cy="228600"/>
                <wp:effectExtent l="0" t="0" r="0" b="0"/>
                <wp:wrapNone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631C" w14:textId="77777777" w:rsidR="00E7417C" w:rsidRPr="00001984" w:rsidRDefault="00E7417C" w:rsidP="00E741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Table 2:</w:t>
                            </w:r>
                            <w:r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2019/20 students meeting entry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7D89" id="Text Box 196" o:spid="_x0000_s1029" type="#_x0000_t202" style="position:absolute;left:0;text-align:left;margin-left:7.5pt;margin-top:1.15pt;width:358.5pt;height:1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" stroked="f">
                <v:textbox>
                  <w:txbxContent>
                    <w:p w14:paraId="1A47631C" w14:textId="77777777" w:rsidR="00E7417C" w:rsidRPr="00001984" w:rsidRDefault="00E7417C" w:rsidP="00E741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Table 2:</w:t>
                      </w:r>
                      <w:r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>
                        <w:rPr>
                          <w:sz w:val="16"/>
                          <w:szCs w:val="16"/>
                        </w:rPr>
                        <w:t xml:space="preserve"> 2019/20 students meeting entry requirements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777BF" w14:textId="41D8DB90" w:rsidR="00E87ACF" w:rsidRDefault="00E7417C" w:rsidP="00CE7B77">
      <w:pPr>
        <w:shd w:val="clear" w:color="auto" w:fill="FFFFFF"/>
        <w:spacing w:beforeAutospacing="1" w:after="0" w:afterAutospacing="1" w:line="276" w:lineRule="auto"/>
        <w:jc w:val="both"/>
      </w:pPr>
      <w:r>
        <w:t>The data shows 73 (73.0</w:t>
      </w:r>
      <w:r w:rsidR="00725669">
        <w:t>%)</w:t>
      </w:r>
      <w:r>
        <w:t xml:space="preserve"> of the standard entrant students</w:t>
      </w:r>
      <w:r w:rsidR="00725669">
        <w:t xml:space="preserve"> met or exceeded the</w:t>
      </w:r>
      <w:r>
        <w:t>ir</w:t>
      </w:r>
      <w:r w:rsidR="00725669">
        <w:t xml:space="preserve"> entry requirements. Howe</w:t>
      </w:r>
      <w:r>
        <w:t>ver, the data also shows that 27 students (27.0</w:t>
      </w:r>
      <w:r w:rsidR="00725669">
        <w:t xml:space="preserve">%) </w:t>
      </w:r>
      <w:r w:rsidR="00213E58">
        <w:t xml:space="preserve">were accepted onto the course with tariff scores </w:t>
      </w:r>
      <w:commentRangeStart w:id="5"/>
      <w:r w:rsidR="00213E58">
        <w:t>below</w:t>
      </w:r>
      <w:commentRangeEnd w:id="5"/>
      <w:r w:rsidR="00213E58">
        <w:rPr>
          <w:rStyle w:val="CommentReference"/>
        </w:rPr>
        <w:commentReference w:id="5"/>
      </w:r>
      <w:r w:rsidR="00213E58">
        <w:t xml:space="preserve"> the</w:t>
      </w:r>
      <w:r w:rsidR="00725669">
        <w:t xml:space="preserve"> </w:t>
      </w:r>
      <w:r w:rsidR="00F260E5">
        <w:t>standard entry requirements.</w:t>
      </w:r>
      <w:r w:rsidR="00067A89">
        <w:t xml:space="preserve"> This compares to 92.9% of </w:t>
      </w:r>
      <w:r w:rsidR="00067A89" w:rsidRPr="009B14E9">
        <w:t xml:space="preserve">MAP/WP </w:t>
      </w:r>
      <w:proofErr w:type="gramStart"/>
      <w:r w:rsidR="00067A89" w:rsidRPr="009B14E9">
        <w:t>Plus</w:t>
      </w:r>
      <w:proofErr w:type="gramEnd"/>
      <w:r w:rsidR="00067A89">
        <w:t xml:space="preserve"> </w:t>
      </w:r>
      <w:r w:rsidR="00067A89" w:rsidRPr="009B14E9">
        <w:t>&amp; P2L</w:t>
      </w:r>
      <w:r w:rsidR="00067A89">
        <w:t xml:space="preserve"> and </w:t>
      </w:r>
      <w:r w:rsidR="00067A89" w:rsidRPr="009B14E9">
        <w:t>WP Plus/P2L</w:t>
      </w:r>
      <w:r w:rsidR="00067A89">
        <w:t xml:space="preserve"> (93.9%)</w:t>
      </w:r>
      <w:r w:rsidR="00067A89" w:rsidRPr="009B14E9">
        <w:t xml:space="preserve"> </w:t>
      </w:r>
      <w:r w:rsidR="00067A89">
        <w:t xml:space="preserve">students </w:t>
      </w:r>
      <w:r w:rsidR="008D1A0C">
        <w:t xml:space="preserve">who </w:t>
      </w:r>
      <w:r w:rsidR="00067A89">
        <w:t xml:space="preserve">met or exceeded their offer conditions. </w:t>
      </w:r>
      <w:r w:rsidR="00F260E5">
        <w:t xml:space="preserve"> </w:t>
      </w:r>
      <w:r w:rsidR="00067A89">
        <w:t>It’</w:t>
      </w:r>
      <w:r>
        <w:t>s possible that some of these students may have received additional tariff point</w:t>
      </w:r>
      <w:r w:rsidR="008D1A0C">
        <w:t>s</w:t>
      </w:r>
      <w:r>
        <w:t xml:space="preserve"> from supplementary qualifications and activities which were not visible in the data.</w:t>
      </w:r>
    </w:p>
    <w:p w14:paraId="108D967B" w14:textId="77777777" w:rsidR="00067A89" w:rsidRDefault="00067A89" w:rsidP="00CE7B77">
      <w:pPr>
        <w:shd w:val="clear" w:color="auto" w:fill="FFFFFF"/>
        <w:spacing w:beforeAutospacing="1" w:after="0" w:afterAutospacing="1" w:line="276" w:lineRule="auto"/>
        <w:jc w:val="both"/>
      </w:pPr>
    </w:p>
    <w:p w14:paraId="091A0B3F" w14:textId="77777777" w:rsidR="00067A89" w:rsidRDefault="00067A89" w:rsidP="00CE7B77">
      <w:pPr>
        <w:shd w:val="clear" w:color="auto" w:fill="FFFFFF"/>
        <w:spacing w:beforeAutospacing="1" w:after="0" w:afterAutospacing="1" w:line="276" w:lineRule="auto"/>
        <w:jc w:val="both"/>
      </w:pPr>
    </w:p>
    <w:p w14:paraId="6B5DC22B" w14:textId="22D2B943" w:rsidR="00D11B3E" w:rsidRPr="00CE7B77" w:rsidRDefault="00D11B3E" w:rsidP="00CE7B77">
      <w:pPr>
        <w:shd w:val="clear" w:color="auto" w:fill="FFFFFF"/>
        <w:spacing w:beforeAutospacing="1" w:after="0" w:afterAutospacing="1" w:line="276" w:lineRule="auto"/>
        <w:jc w:val="both"/>
      </w:pPr>
      <w:r w:rsidRPr="002654E0">
        <w:rPr>
          <w:b/>
          <w:u w:val="single"/>
        </w:rPr>
        <w:lastRenderedPageBreak/>
        <w:t>1</w:t>
      </w:r>
      <w:r w:rsidRPr="002654E0">
        <w:rPr>
          <w:b/>
          <w:u w:val="single"/>
          <w:vertAlign w:val="superscript"/>
        </w:rPr>
        <w:t>st</w:t>
      </w:r>
      <w:r w:rsidRPr="002654E0">
        <w:rPr>
          <w:b/>
          <w:u w:val="single"/>
        </w:rPr>
        <w:t xml:space="preserve"> Year Attainment</w:t>
      </w:r>
    </w:p>
    <w:p w14:paraId="520F4EF9" w14:textId="45C9292F" w:rsidR="00C711F6" w:rsidRDefault="002654E0" w:rsidP="00CE7B77">
      <w:pPr>
        <w:shd w:val="clear" w:color="auto" w:fill="FFFFFF"/>
        <w:spacing w:beforeAutospacing="1" w:after="0" w:afterAutospacing="1" w:line="276" w:lineRule="auto"/>
        <w:jc w:val="both"/>
      </w:pPr>
      <w:r>
        <w:t>Althoug</w:t>
      </w:r>
      <w:r w:rsidR="00B6151C">
        <w:t>h it’s too early</w:t>
      </w:r>
      <w:r>
        <w:t xml:space="preserve"> to assess the</w:t>
      </w:r>
      <w:r w:rsidR="00B439D0">
        <w:t xml:space="preserve"> final</w:t>
      </w:r>
      <w:r>
        <w:t xml:space="preserve"> degree attainment of the 2019 cohort, it is possible to look </w:t>
      </w:r>
      <w:r w:rsidR="00D01789">
        <w:t xml:space="preserve">at </w:t>
      </w:r>
      <w:r w:rsidR="00833621">
        <w:t>the students’</w:t>
      </w:r>
      <w:r>
        <w:t xml:space="preserve"> attainment at the end of their first year.</w:t>
      </w:r>
      <w:r w:rsidR="00833621">
        <w:t xml:space="preserve"> </w:t>
      </w:r>
      <w:r w:rsidR="00833621" w:rsidRPr="00AC53EC">
        <w:t xml:space="preserve">The </w:t>
      </w:r>
      <w:r w:rsidR="00833621">
        <w:t>first year marks for the</w:t>
      </w:r>
      <w:r w:rsidR="00833621" w:rsidRPr="00AC53EC">
        <w:t xml:space="preserve"> 2019 </w:t>
      </w:r>
      <w:r w:rsidR="00833621" w:rsidRPr="00783151">
        <w:t>LLB (Hons) Bachelor of Laws</w:t>
      </w:r>
      <w:r w:rsidR="00833621">
        <w:t xml:space="preserve"> students are shown in the form of a </w:t>
      </w:r>
      <w:r w:rsidR="00104871">
        <w:t>box and whisker plot in Figure 2</w:t>
      </w:r>
      <w:r w:rsidR="00833621">
        <w:t>.</w:t>
      </w:r>
    </w:p>
    <w:p w14:paraId="1F5691CF" w14:textId="424AACCA" w:rsidR="006E5EC3" w:rsidRDefault="009B14E9" w:rsidP="00CE7B77">
      <w:pPr>
        <w:shd w:val="clear" w:color="auto" w:fill="FFFFFF"/>
        <w:spacing w:beforeAutospacing="1" w:after="0" w:afterAutospacing="1" w:line="276" w:lineRule="auto"/>
        <w:jc w:val="both"/>
      </w:pPr>
      <w:r w:rsidRPr="00FE1A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98D49A8" wp14:editId="7154CEA0">
                <wp:simplePos x="0" y="0"/>
                <wp:positionH relativeFrom="margin">
                  <wp:posOffset>-57150</wp:posOffset>
                </wp:positionH>
                <wp:positionV relativeFrom="paragraph">
                  <wp:posOffset>3467735</wp:posOffset>
                </wp:positionV>
                <wp:extent cx="4552950" cy="190500"/>
                <wp:effectExtent l="0" t="0" r="0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3E549" w14:textId="0512CF88" w:rsidR="007976D8" w:rsidRPr="00001984" w:rsidRDefault="00104871" w:rsidP="00FE1A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Figure 2</w:t>
                            </w:r>
                            <w:r w:rsidR="007976D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7976D8"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 w:rsidR="007976D8">
                              <w:rPr>
                                <w:sz w:val="16"/>
                                <w:szCs w:val="16"/>
                              </w:rPr>
                              <w:t xml:space="preserve"> 2019/20 1</w:t>
                            </w:r>
                            <w:r w:rsidR="007976D8" w:rsidRPr="007E7B2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7976D8">
                              <w:rPr>
                                <w:sz w:val="16"/>
                                <w:szCs w:val="16"/>
                              </w:rPr>
                              <w:t xml:space="preserve"> Year </w:t>
                            </w:r>
                            <w:r w:rsidR="007976D8" w:rsidRPr="00104871">
                              <w:rPr>
                                <w:sz w:val="16"/>
                                <w:szCs w:val="16"/>
                              </w:rPr>
                              <w:t xml:space="preserve">attainment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49A8" id="Text Box 197" o:spid="_x0000_s1030" type="#_x0000_t202" style="position:absolute;left:0;text-align:left;margin-left:-4.5pt;margin-top:273.05pt;width:358.5pt;height: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" stroked="f">
                <v:textbox>
                  <w:txbxContent>
                    <w:p w14:paraId="1E03E549" w14:textId="0512CF88" w:rsidR="007976D8" w:rsidRPr="00001984" w:rsidRDefault="00104871" w:rsidP="00FE1AD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Figure 2</w:t>
                      </w:r>
                      <w:r w:rsidR="007976D8">
                        <w:rPr>
                          <w:sz w:val="16"/>
                          <w:szCs w:val="16"/>
                        </w:rPr>
                        <w:t>:</w:t>
                      </w:r>
                      <w:r w:rsidR="007976D8"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 w:rsidR="007976D8">
                        <w:rPr>
                          <w:sz w:val="16"/>
                          <w:szCs w:val="16"/>
                        </w:rPr>
                        <w:t xml:space="preserve"> 2019/20 1</w:t>
                      </w:r>
                      <w:r w:rsidR="007976D8" w:rsidRPr="007E7B2D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7976D8">
                        <w:rPr>
                          <w:sz w:val="16"/>
                          <w:szCs w:val="16"/>
                        </w:rPr>
                        <w:t xml:space="preserve"> Year </w:t>
                      </w:r>
                      <w:r w:rsidR="007976D8" w:rsidRPr="00104871">
                        <w:rPr>
                          <w:sz w:val="16"/>
                          <w:szCs w:val="16"/>
                        </w:rPr>
                        <w:t xml:space="preserve">attainment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1AD6">
        <w:rPr>
          <w:noProof/>
          <w:lang w:eastAsia="en-GB"/>
        </w:rPr>
        <w:t xml:space="preserve"> </w:t>
      </w:r>
      <w:r w:rsidR="005954C8">
        <w:rPr>
          <w:noProof/>
          <w:lang w:eastAsia="en-GB"/>
        </w:rPr>
        <mc:AlternateContent>
          <mc:Choice Requires="cx1">
            <w:drawing>
              <wp:inline distT="0" distB="0" distL="0" distR="0" wp14:anchorId="45D38B7D" wp14:editId="04503E73">
                <wp:extent cx="5731510" cy="3228975"/>
                <wp:effectExtent l="0" t="0" r="2540" b="9525"/>
                <wp:docPr id="12" name="Chart 12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</wp:inline>
            </w:drawing>
          </mc:Choice>
          <mc:Fallback>
            <w:drawing>
              <wp:inline distT="0" distB="0" distL="0" distR="0" wp14:anchorId="45D38B7D" wp14:editId="04503E73">
                <wp:extent cx="5731510" cy="3228975"/>
                <wp:effectExtent l="0" t="0" r="2540" b="9525"/>
                <wp:docPr id="12" name="Chart 1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Chart 1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322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B25F0F6" w14:textId="77777777" w:rsidR="000826A9" w:rsidRDefault="00104871" w:rsidP="00CE7B77">
      <w:pPr>
        <w:shd w:val="clear" w:color="auto" w:fill="FFFFFF"/>
        <w:spacing w:beforeAutospacing="1" w:after="0" w:afterAutospacing="1" w:line="276" w:lineRule="auto"/>
        <w:jc w:val="both"/>
      </w:pPr>
      <w:r>
        <w:rPr>
          <w:rStyle w:val="CommentReference"/>
        </w:rPr>
        <w:commentReference w:id="6"/>
      </w:r>
    </w:p>
    <w:p w14:paraId="01770A68" w14:textId="18CB4762" w:rsidR="00C15E00" w:rsidRDefault="00553B8E" w:rsidP="00CE7B77">
      <w:pPr>
        <w:shd w:val="clear" w:color="auto" w:fill="FFFFFF"/>
        <w:spacing w:beforeAutospacing="1" w:after="0" w:afterAutospacing="1" w:line="276" w:lineRule="auto"/>
        <w:jc w:val="both"/>
      </w:pPr>
      <w:r>
        <w:t>The data presented i</w:t>
      </w:r>
      <w:r w:rsidR="00104871">
        <w:t>n Figure 2</w:t>
      </w:r>
      <w:r>
        <w:t xml:space="preserve"> suggests that</w:t>
      </w:r>
      <w:r w:rsidR="00546464">
        <w:t xml:space="preserve"> there is</w:t>
      </w:r>
      <w:r w:rsidR="00AA0877">
        <w:t xml:space="preserve"> a significant amount of overlap</w:t>
      </w:r>
      <w:r w:rsidR="00546464">
        <w:t xml:space="preserve"> in attainment between the three populations.</w:t>
      </w:r>
      <w:r>
        <w:t xml:space="preserve"> MAP</w:t>
      </w:r>
      <w:r w:rsidR="0081034C">
        <w:t xml:space="preserve">/WP </w:t>
      </w:r>
      <w:proofErr w:type="gramStart"/>
      <w:r w:rsidR="0081034C">
        <w:t>Plus</w:t>
      </w:r>
      <w:proofErr w:type="gramEnd"/>
      <w:r w:rsidR="0081034C">
        <w:t xml:space="preserve"> &amp; P2L</w:t>
      </w:r>
      <w:r>
        <w:t xml:space="preserve"> students had a</w:t>
      </w:r>
      <w:r w:rsidR="0081034C">
        <w:t xml:space="preserve"> lower average attainment (63.46</w:t>
      </w:r>
      <w:r w:rsidR="008D1A0C">
        <w:t>%) than the S</w:t>
      </w:r>
      <w:r>
        <w:t>tandard</w:t>
      </w:r>
      <w:r w:rsidR="008D1A0C">
        <w:t xml:space="preserve"> E</w:t>
      </w:r>
      <w:r w:rsidR="0081034C">
        <w:t>ntrant students (65.70</w:t>
      </w:r>
      <w:r w:rsidR="00546464">
        <w:t xml:space="preserve">%). </w:t>
      </w:r>
      <w:r w:rsidR="00153003">
        <w:t>The WP</w:t>
      </w:r>
      <w:r w:rsidR="00AA0877">
        <w:t xml:space="preserve"> Plus</w:t>
      </w:r>
      <w:r w:rsidR="00104871">
        <w:t xml:space="preserve"> or P2L</w:t>
      </w:r>
      <w:r w:rsidR="0081034C">
        <w:t xml:space="preserve"> entrants</w:t>
      </w:r>
      <w:r w:rsidR="00153003">
        <w:t xml:space="preserve"> had the lowest average 1</w:t>
      </w:r>
      <w:r w:rsidR="00153003" w:rsidRPr="00153003">
        <w:rPr>
          <w:vertAlign w:val="superscript"/>
        </w:rPr>
        <w:t>st</w:t>
      </w:r>
      <w:r w:rsidR="00153003">
        <w:t xml:space="preserve"> ye</w:t>
      </w:r>
      <w:r w:rsidR="0081034C">
        <w:t>ar marks of the three groups (61.24</w:t>
      </w:r>
      <w:r w:rsidR="00D17DF0">
        <w:t xml:space="preserve">%). </w:t>
      </w:r>
      <w:r w:rsidR="000826A9">
        <w:t>All three groups demonstrated a significant spread across the attainment mark</w:t>
      </w:r>
      <w:r w:rsidR="00397FF9">
        <w:t>s</w:t>
      </w:r>
      <w:r w:rsidR="000826A9">
        <w:t>.</w:t>
      </w:r>
      <w:r w:rsidR="008D1A0C">
        <w:t xml:space="preserve"> One WP Plus or P2L student </w:t>
      </w:r>
      <w:r w:rsidR="00B6151C">
        <w:t xml:space="preserve">and five Standard Entrants </w:t>
      </w:r>
      <w:r w:rsidR="008D1A0C">
        <w:t>had either zero attainment data</w:t>
      </w:r>
      <w:r w:rsidR="00B6151C">
        <w:t xml:space="preserve"> or hadn’t completed the first year so were removed from this section of the report. </w:t>
      </w:r>
    </w:p>
    <w:p w14:paraId="5E8BCE39" w14:textId="0ADCAE5E" w:rsidR="00C711F6" w:rsidRDefault="004A20D6" w:rsidP="00CE7B77">
      <w:pPr>
        <w:shd w:val="clear" w:color="auto" w:fill="FFFFFF"/>
        <w:spacing w:beforeAutospacing="1" w:after="0" w:afterAutospacing="1" w:line="276" w:lineRule="auto"/>
        <w:jc w:val="both"/>
      </w:pPr>
      <w:r>
        <w:t>Eleven of</w:t>
      </w:r>
      <w:r w:rsidR="007976D8">
        <w:t xml:space="preserve"> fourteen</w:t>
      </w:r>
      <w:r w:rsidR="00C711F6">
        <w:t xml:space="preserve"> MAP</w:t>
      </w:r>
      <w:r w:rsidR="007976D8">
        <w:t xml:space="preserve">/WP </w:t>
      </w:r>
      <w:proofErr w:type="gramStart"/>
      <w:r w:rsidR="007976D8">
        <w:t>Plus</w:t>
      </w:r>
      <w:proofErr w:type="gramEnd"/>
      <w:r w:rsidR="007976D8">
        <w:t xml:space="preserve"> &amp; P2L students (78.5</w:t>
      </w:r>
      <w:r w:rsidR="008D1A0C">
        <w:t>%)</w:t>
      </w:r>
      <w:r w:rsidR="00C711F6">
        <w:t xml:space="preserve"> achieved at least 60% in their</w:t>
      </w:r>
      <w:r w:rsidR="007976D8">
        <w:t xml:space="preserve"> first year. This compares to 22</w:t>
      </w:r>
      <w:r w:rsidR="00A61614">
        <w:t xml:space="preserve"> of 32 WP Plus students (68.8%)</w:t>
      </w:r>
      <w:r w:rsidR="007976D8">
        <w:t xml:space="preserve"> and 78 of 96 Standard Entrants (81.25</w:t>
      </w:r>
      <w:r w:rsidR="00C711F6">
        <w:t>%).</w:t>
      </w:r>
    </w:p>
    <w:p w14:paraId="6D55A26B" w14:textId="45247870" w:rsidR="004654FE" w:rsidRDefault="00A61614" w:rsidP="00CE7B77">
      <w:pPr>
        <w:shd w:val="clear" w:color="auto" w:fill="FFFFFF"/>
        <w:spacing w:beforeAutospacing="1" w:after="0" w:afterAutospacing="1" w:line="276" w:lineRule="auto"/>
        <w:jc w:val="both"/>
      </w:pPr>
      <w:r>
        <w:t xml:space="preserve">Since </w:t>
      </w:r>
      <w:r w:rsidR="007976D8">
        <w:t>2019, Law h</w:t>
      </w:r>
      <w:r>
        <w:t>as</w:t>
      </w:r>
      <w:r w:rsidR="007976D8">
        <w:t xml:space="preserve"> accepted BTEC qualifications</w:t>
      </w:r>
      <w:r w:rsidR="00EE4380">
        <w:t xml:space="preserve"> for entry on to the cou</w:t>
      </w:r>
      <w:r w:rsidR="00397FF9">
        <w:t>rse</w:t>
      </w:r>
      <w:r w:rsidR="00EE4380">
        <w:t xml:space="preserve">. </w:t>
      </w:r>
      <w:r w:rsidR="009C0BF4">
        <w:t>Whilst the majority of the 2019 entrants on</w:t>
      </w:r>
      <w:r w:rsidR="009C0BF4" w:rsidRPr="009C0BF4">
        <w:t xml:space="preserve"> </w:t>
      </w:r>
      <w:r w:rsidR="009C0BF4" w:rsidRPr="00783151">
        <w:t>LLB (Hons) Bachelor of Laws</w:t>
      </w:r>
      <w:r w:rsidR="009C0BF4">
        <w:t xml:space="preserve"> had previously studied A L</w:t>
      </w:r>
      <w:r w:rsidR="008D1A0C">
        <w:t>evels (73.6%), there was</w:t>
      </w:r>
      <w:r w:rsidR="00905274">
        <w:t xml:space="preserve"> a significant</w:t>
      </w:r>
      <w:r w:rsidR="009C0BF4">
        <w:t xml:space="preserve"> </w:t>
      </w:r>
      <w:r w:rsidR="00104871">
        <w:t>number</w:t>
      </w:r>
      <w:r w:rsidR="009C0BF4">
        <w:t xml:space="preserve"> of students who had previously studied BTEC or a combination of BTEC and A Level. </w:t>
      </w:r>
      <w:r w:rsidR="00104871">
        <w:t>The majority</w:t>
      </w:r>
      <w:r w:rsidR="009C0BF4">
        <w:t xml:space="preserve"> of these students are in the</w:t>
      </w:r>
      <w:r w:rsidR="009C0BF4" w:rsidRPr="009C0BF4">
        <w:t xml:space="preserve"> WP Plus/</w:t>
      </w:r>
      <w:r w:rsidR="00104871">
        <w:t>P2L</w:t>
      </w:r>
      <w:r w:rsidR="009C0BF4">
        <w:t xml:space="preserve"> group. In order to compare the effect of the lower contextual offer on </w:t>
      </w:r>
      <w:r>
        <w:t>a like-for-</w:t>
      </w:r>
      <w:r w:rsidR="00E231E2">
        <w:t>like basis</w:t>
      </w:r>
      <w:r>
        <w:t>,</w:t>
      </w:r>
      <w:r w:rsidR="00104871">
        <w:t xml:space="preserve"> Figure 3</w:t>
      </w:r>
      <w:r w:rsidR="00E231E2">
        <w:t xml:space="preserve"> shows the 1</w:t>
      </w:r>
      <w:r w:rsidR="00E231E2" w:rsidRPr="00E231E2">
        <w:rPr>
          <w:vertAlign w:val="superscript"/>
        </w:rPr>
        <w:t>st</w:t>
      </w:r>
      <w:r w:rsidR="00E231E2">
        <w:t xml:space="preserve"> attainment profile for A Level entrants only.</w:t>
      </w:r>
    </w:p>
    <w:p w14:paraId="32F33FC9" w14:textId="7E590C71" w:rsidR="004654FE" w:rsidRDefault="004654FE" w:rsidP="00CE7B77">
      <w:pPr>
        <w:shd w:val="clear" w:color="auto" w:fill="FFFFFF"/>
        <w:spacing w:beforeAutospacing="1" w:after="0" w:afterAutospacing="1" w:line="276" w:lineRule="auto"/>
        <w:jc w:val="both"/>
      </w:pPr>
      <w:r w:rsidRPr="004654FE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698FF2C" wp14:editId="5C9EA36B">
                <wp:simplePos x="0" y="0"/>
                <wp:positionH relativeFrom="margin">
                  <wp:posOffset>-28575</wp:posOffset>
                </wp:positionH>
                <wp:positionV relativeFrom="paragraph">
                  <wp:posOffset>3258820</wp:posOffset>
                </wp:positionV>
                <wp:extent cx="4552950" cy="2286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8C81" w14:textId="6B0FF7ED" w:rsidR="004654FE" w:rsidRPr="00001984" w:rsidRDefault="00104871" w:rsidP="00465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Figure 3</w:t>
                            </w:r>
                            <w:r w:rsidR="004654FE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4654FE"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 w:rsidR="004654FE">
                              <w:rPr>
                                <w:sz w:val="16"/>
                                <w:szCs w:val="16"/>
                              </w:rPr>
                              <w:t xml:space="preserve"> 2019/20 1</w:t>
                            </w:r>
                            <w:r w:rsidR="004654FE" w:rsidRPr="007E7B2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654FE">
                              <w:rPr>
                                <w:sz w:val="16"/>
                                <w:szCs w:val="16"/>
                              </w:rPr>
                              <w:t xml:space="preserve"> Year attainment for A Level entrants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FF2C" id="Text Box 18" o:spid="_x0000_s1031" type="#_x0000_t202" style="position:absolute;left:0;text-align:left;margin-left:-2.25pt;margin-top:256.6pt;width:358.5pt;height:1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" stroked="f">
                <v:textbox>
                  <w:txbxContent>
                    <w:p w14:paraId="288D8C81" w14:textId="6B0FF7ED" w:rsidR="004654FE" w:rsidRPr="00001984" w:rsidRDefault="00104871" w:rsidP="004654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Figure 3</w:t>
                      </w:r>
                      <w:r w:rsidR="004654FE">
                        <w:rPr>
                          <w:sz w:val="16"/>
                          <w:szCs w:val="16"/>
                        </w:rPr>
                        <w:t>:</w:t>
                      </w:r>
                      <w:r w:rsidR="004654FE"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 w:rsidR="004654FE">
                        <w:rPr>
                          <w:sz w:val="16"/>
                          <w:szCs w:val="16"/>
                        </w:rPr>
                        <w:t xml:space="preserve"> 2019/20 1</w:t>
                      </w:r>
                      <w:r w:rsidR="004654FE" w:rsidRPr="007E7B2D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654FE">
                        <w:rPr>
                          <w:sz w:val="16"/>
                          <w:szCs w:val="16"/>
                        </w:rPr>
                        <w:t xml:space="preserve"> Year attainment for A Level entrants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cx1">
            <w:drawing>
              <wp:inline distT="0" distB="0" distL="0" distR="0" wp14:anchorId="33541DC6" wp14:editId="2AD5FBEA">
                <wp:extent cx="5731510" cy="3228975"/>
                <wp:effectExtent l="0" t="0" r="2540" b="9525"/>
                <wp:docPr id="14" name="Chart 14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3"/>
                  </a:graphicData>
                </a:graphic>
              </wp:inline>
            </w:drawing>
          </mc:Choice>
          <mc:Fallback>
            <w:drawing>
              <wp:inline distT="0" distB="0" distL="0" distR="0" wp14:anchorId="33541DC6" wp14:editId="2AD5FBEA">
                <wp:extent cx="5731510" cy="3228975"/>
                <wp:effectExtent l="0" t="0" r="2540" b="9525"/>
                <wp:docPr id="14" name="Chart 14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hart 14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322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C81658E" w14:textId="5CA6996F" w:rsidR="00E231E2" w:rsidRDefault="00E231E2" w:rsidP="00CE7B77">
      <w:pPr>
        <w:shd w:val="clear" w:color="auto" w:fill="FFFFFF"/>
        <w:spacing w:beforeAutospacing="1" w:after="0" w:afterAutospacing="1" w:line="276" w:lineRule="auto"/>
        <w:jc w:val="both"/>
      </w:pPr>
    </w:p>
    <w:p w14:paraId="191532D3" w14:textId="1E05B39F" w:rsidR="008432BA" w:rsidRDefault="004654FE" w:rsidP="00CE7B77">
      <w:pPr>
        <w:shd w:val="clear" w:color="auto" w:fill="FFFFFF"/>
        <w:spacing w:beforeAutospacing="1" w:after="0" w:afterAutospacing="1" w:line="276" w:lineRule="auto"/>
        <w:jc w:val="both"/>
      </w:pPr>
      <w:r>
        <w:t>When the effect of different entry qualifica</w:t>
      </w:r>
      <w:r w:rsidR="00A61614">
        <w:t xml:space="preserve">tion types is removed, </w:t>
      </w:r>
      <w:r>
        <w:t>a more distinct pattern</w:t>
      </w:r>
      <w:r w:rsidR="00A61614">
        <w:t xml:space="preserve"> is evident</w:t>
      </w:r>
      <w:r>
        <w:t xml:space="preserve"> with </w:t>
      </w:r>
      <w:r w:rsidR="004A20D6">
        <w:t>Standard Entrant students (n=73) displaying the highest levels of attainment at the end of their first year with an avera</w:t>
      </w:r>
      <w:r w:rsidR="00104871">
        <w:t>ge attainment of 66.4%. WP Plus or P2L</w:t>
      </w:r>
      <w:r w:rsidR="004A20D6">
        <w:t xml:space="preserve"> students (n=18) had the second highest levels</w:t>
      </w:r>
      <w:r w:rsidR="00A61614">
        <w:t xml:space="preserve"> of attainment with an average of 65.4%</w:t>
      </w:r>
      <w:r w:rsidR="004A20D6">
        <w:t xml:space="preserve">, and MAP/WP </w:t>
      </w:r>
      <w:proofErr w:type="gramStart"/>
      <w:r w:rsidR="004A20D6">
        <w:t>Plus</w:t>
      </w:r>
      <w:proofErr w:type="gramEnd"/>
      <w:r w:rsidR="004A20D6">
        <w:t xml:space="preserve"> &amp; P2L (n=13) ha</w:t>
      </w:r>
      <w:r w:rsidR="00104871">
        <w:t>d an average attainment of 63.8</w:t>
      </w:r>
      <w:r w:rsidR="004A20D6">
        <w:t xml:space="preserve">%. </w:t>
      </w:r>
    </w:p>
    <w:p w14:paraId="39144DFB" w14:textId="5AD94F9E" w:rsidR="00E231E2" w:rsidRDefault="008432BA" w:rsidP="00CE7B77">
      <w:pPr>
        <w:shd w:val="clear" w:color="auto" w:fill="FFFFFF"/>
        <w:spacing w:beforeAutospacing="1" w:after="0" w:afterAutospacing="1" w:line="276" w:lineRule="auto"/>
        <w:jc w:val="both"/>
      </w:pPr>
      <w:r>
        <w:t>There is a significant amount of overlap in attainment across the three groups, with almost all students achieving at least 60%</w:t>
      </w:r>
      <w:r w:rsidR="00A3392C">
        <w:t xml:space="preserve"> and meeting the academic requirements for the course</w:t>
      </w:r>
      <w:r w:rsidR="008D1A0C">
        <w:t xml:space="preserve"> in their first year</w:t>
      </w:r>
      <w:r>
        <w:t>.</w:t>
      </w:r>
      <w:r w:rsidR="00104871">
        <w:t xml:space="preserve"> </w:t>
      </w:r>
      <w:r w:rsidR="00A3392C">
        <w:t xml:space="preserve"> However the data do</w:t>
      </w:r>
      <w:r w:rsidR="008D1A0C">
        <w:t>es</w:t>
      </w:r>
      <w:r w:rsidR="00A3392C">
        <w:t xml:space="preserve"> suggest a relationship between grades/tariff on entry and </w:t>
      </w:r>
      <w:r w:rsidR="008D1A0C">
        <w:t xml:space="preserve">attainment. </w:t>
      </w:r>
    </w:p>
    <w:p w14:paraId="7C3C2348" w14:textId="7B8A5563" w:rsidR="008432BA" w:rsidRDefault="008432BA" w:rsidP="00867010">
      <w:pPr>
        <w:shd w:val="clear" w:color="auto" w:fill="FFFFFF"/>
        <w:spacing w:before="100" w:beforeAutospacing="1" w:after="100" w:afterAutospacing="1" w:line="276" w:lineRule="auto"/>
        <w:jc w:val="both"/>
      </w:pPr>
      <w:r>
        <w:t>It does have to be noted that this is only looking at a</w:t>
      </w:r>
      <w:r w:rsidR="003F0A34">
        <w:t xml:space="preserve"> first year attainment for a</w:t>
      </w:r>
      <w:r>
        <w:t xml:space="preserve"> s</w:t>
      </w:r>
      <w:r w:rsidR="00A61614">
        <w:t>ingle cohort for one year</w:t>
      </w:r>
      <w:r w:rsidR="003F0A34">
        <w:t xml:space="preserve"> in</w:t>
      </w:r>
      <w:r>
        <w:t xml:space="preserve"> one subject discipline. The students in this dataset will also likely have been subject to a significant amount of disruption linked to Covid19 and the University closure in March 2020. The implementation of the ‘no detriment’ policy may also serve to skew some of the data. </w:t>
      </w:r>
      <w:r w:rsidR="00A3392C">
        <w:t>Also, t</w:t>
      </w:r>
      <w:r>
        <w:t>he University’s recent Access and Participation Plan: Review of Performance</w:t>
      </w:r>
      <w:r>
        <w:rPr>
          <w:rStyle w:val="FootnoteReference"/>
        </w:rPr>
        <w:footnoteReference w:id="1"/>
      </w:r>
      <w:r>
        <w:t xml:space="preserve"> highlighted that the inter-relationship between student characteristics and outcomes needs further analysis</w:t>
      </w:r>
      <w:r w:rsidR="00A3392C">
        <w:t xml:space="preserve"> –</w:t>
      </w:r>
      <w:r w:rsidR="00A3392C" w:rsidRPr="00A3392C">
        <w:t xml:space="preserve"> </w:t>
      </w:r>
      <w:r w:rsidR="00A3392C">
        <w:t>and WP</w:t>
      </w:r>
      <w:r w:rsidR="00A3392C" w:rsidRPr="00A3392C">
        <w:t xml:space="preserve"> student attainment data should </w:t>
      </w:r>
      <w:r w:rsidR="00A3392C">
        <w:t>also be considered</w:t>
      </w:r>
      <w:r w:rsidR="00A3392C" w:rsidRPr="00A3392C">
        <w:t xml:space="preserve"> in the context of </w:t>
      </w:r>
      <w:r w:rsidR="00A3392C">
        <w:t xml:space="preserve">the attainment/degree awarding gap </w:t>
      </w:r>
      <w:r w:rsidR="00A3392C" w:rsidRPr="00A3392C">
        <w:t>between different s</w:t>
      </w:r>
      <w:r w:rsidR="00A3392C">
        <w:t>tudent groups at the University</w:t>
      </w:r>
      <w:r w:rsidR="00A3392C" w:rsidRPr="00A3392C">
        <w:t>.</w:t>
      </w:r>
    </w:p>
    <w:p w14:paraId="58AD438C" w14:textId="77777777" w:rsidR="007976D8" w:rsidRPr="00C15E00" w:rsidRDefault="007976D8" w:rsidP="00CE7B77">
      <w:pPr>
        <w:shd w:val="clear" w:color="auto" w:fill="FFFFFF"/>
        <w:spacing w:beforeAutospacing="1" w:after="0" w:afterAutospacing="1" w:line="276" w:lineRule="auto"/>
        <w:jc w:val="both"/>
      </w:pPr>
    </w:p>
    <w:p w14:paraId="25A91592" w14:textId="77777777" w:rsidR="00D71E5A" w:rsidRDefault="00D71E5A" w:rsidP="00CE7B77">
      <w:pPr>
        <w:shd w:val="clear" w:color="auto" w:fill="FFFFFF"/>
        <w:spacing w:beforeAutospacing="1" w:after="0" w:afterAutospacing="1" w:line="276" w:lineRule="auto"/>
        <w:jc w:val="both"/>
        <w:rPr>
          <w:b/>
          <w:u w:val="single"/>
        </w:rPr>
      </w:pPr>
    </w:p>
    <w:p w14:paraId="4E625EF7" w14:textId="655C6C06" w:rsidR="00AA0877" w:rsidRDefault="00AA0877" w:rsidP="00CE7B77">
      <w:pPr>
        <w:shd w:val="clear" w:color="auto" w:fill="FFFFFF"/>
        <w:spacing w:beforeAutospacing="1" w:after="0" w:afterAutospacing="1" w:line="276" w:lineRule="auto"/>
        <w:jc w:val="both"/>
        <w:rPr>
          <w:b/>
          <w:u w:val="single"/>
        </w:rPr>
      </w:pPr>
      <w:r w:rsidRPr="00AA0877">
        <w:rPr>
          <w:b/>
          <w:u w:val="single"/>
        </w:rPr>
        <w:lastRenderedPageBreak/>
        <w:t>Attainment by Tariff Band</w:t>
      </w:r>
    </w:p>
    <w:p w14:paraId="218B9DD2" w14:textId="42ACA285" w:rsidR="007E7B2D" w:rsidRPr="007E7B2D" w:rsidRDefault="00770EDD" w:rsidP="00CE7B77">
      <w:pPr>
        <w:shd w:val="clear" w:color="auto" w:fill="FFFFFF"/>
        <w:spacing w:beforeAutospacing="1" w:after="0" w:afterAutospacing="1" w:line="276" w:lineRule="auto"/>
        <w:jc w:val="both"/>
      </w:pPr>
      <w:r>
        <w:t>The</w:t>
      </w:r>
      <w:r w:rsidR="007E7B2D" w:rsidRPr="007E7B2D">
        <w:t xml:space="preserve"> </w:t>
      </w:r>
      <w:r>
        <w:t>first year attainment</w:t>
      </w:r>
      <w:r w:rsidR="007E7B2D" w:rsidRPr="007E7B2D">
        <w:t xml:space="preserve"> of the </w:t>
      </w:r>
      <w:r>
        <w:t xml:space="preserve">2019 </w:t>
      </w:r>
      <w:r w:rsidRPr="00783151">
        <w:t>LLB (Hons) Bachelor of Laws</w:t>
      </w:r>
      <w:r w:rsidR="007E7B2D" w:rsidRPr="007E7B2D">
        <w:t xml:space="preserve"> by tar</w:t>
      </w:r>
      <w:r w:rsidR="00D01789">
        <w:t>iff bands</w:t>
      </w:r>
      <w:r>
        <w:t xml:space="preserve"> (Top three grades)</w:t>
      </w:r>
      <w:r w:rsidR="00D01789">
        <w:t xml:space="preserve"> is</w:t>
      </w:r>
      <w:r w:rsidR="00FE1AD6">
        <w:t xml:space="preserve"> shown in table 3</w:t>
      </w:r>
      <w:r w:rsidR="007E7B2D" w:rsidRPr="007E7B2D">
        <w:t>.</w:t>
      </w:r>
    </w:p>
    <w:p w14:paraId="01F3937E" w14:textId="089CF2AE" w:rsidR="007E7B2D" w:rsidRDefault="00745723" w:rsidP="00867010">
      <w:pPr>
        <w:shd w:val="clear" w:color="auto" w:fill="FFFFFF"/>
        <w:spacing w:before="100" w:beforeAutospacing="1" w:after="100" w:afterAutospacing="1" w:line="276" w:lineRule="auto"/>
        <w:jc w:val="both"/>
        <w:rPr>
          <w:b/>
          <w:u w:val="single"/>
        </w:rPr>
      </w:pPr>
      <w:r w:rsidRPr="00745723">
        <w:rPr>
          <w:noProof/>
          <w:lang w:eastAsia="en-GB"/>
        </w:rPr>
        <w:drawing>
          <wp:inline distT="0" distB="0" distL="0" distR="0" wp14:anchorId="65B2BD2B" wp14:editId="60DB6B18">
            <wp:extent cx="5731510" cy="1336911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2D77DB4" wp14:editId="51A058A8">
                <wp:simplePos x="0" y="0"/>
                <wp:positionH relativeFrom="margin">
                  <wp:posOffset>-47625</wp:posOffset>
                </wp:positionH>
                <wp:positionV relativeFrom="paragraph">
                  <wp:posOffset>1347470</wp:posOffset>
                </wp:positionV>
                <wp:extent cx="4552950" cy="2286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4534" w14:textId="10E6746A" w:rsidR="00745723" w:rsidRPr="00001984" w:rsidRDefault="00745723" w:rsidP="007457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Table 3:</w:t>
                            </w:r>
                            <w:r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2019/20 1</w:t>
                            </w:r>
                            <w:r w:rsidRPr="00745723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year attainment by entry tariff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7DB4" id="Text Box 20" o:spid="_x0000_s1032" type="#_x0000_t202" style="position:absolute;left:0;text-align:left;margin-left:-3.75pt;margin-top:106.1pt;width:358.5pt;height:1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" stroked="f">
                <v:textbox>
                  <w:txbxContent>
                    <w:p w14:paraId="628A4534" w14:textId="10E6746A" w:rsidR="00745723" w:rsidRPr="00001984" w:rsidRDefault="00745723" w:rsidP="0074572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Table 3:</w:t>
                      </w:r>
                      <w:r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>
                        <w:rPr>
                          <w:sz w:val="16"/>
                          <w:szCs w:val="16"/>
                        </w:rPr>
                        <w:t xml:space="preserve"> 2019/20 1</w:t>
                      </w:r>
                      <w:r w:rsidRPr="00745723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year attainment by entry tariff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B2D" w:rsidRPr="007E7B2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687DCF3" wp14:editId="175CC066">
                <wp:simplePos x="0" y="0"/>
                <wp:positionH relativeFrom="margin">
                  <wp:align>left</wp:align>
                </wp:positionH>
                <wp:positionV relativeFrom="paragraph">
                  <wp:posOffset>1698</wp:posOffset>
                </wp:positionV>
                <wp:extent cx="3838353" cy="2286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353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6F513" w14:textId="06DD0B83" w:rsidR="007976D8" w:rsidRPr="00001984" w:rsidRDefault="007976D8" w:rsidP="007E7B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Table 3:</w:t>
                            </w:r>
                            <w:r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2019/20 average 1</w:t>
                            </w:r>
                            <w:r w:rsidRPr="007506C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year attainment by entry tariff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DCF3" id="Text Box 13" o:spid="_x0000_s1033" type="#_x0000_t202" style="position:absolute;left:0;text-align:left;margin-left:0;margin-top:.15pt;width:302.25pt;height:18pt;z-index:-2516285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" stroked="f">
                <v:textbox>
                  <w:txbxContent>
                    <w:p w14:paraId="00E6F513" w14:textId="06DD0B83" w:rsidR="007976D8" w:rsidRPr="00001984" w:rsidRDefault="007976D8" w:rsidP="007E7B2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Table 3:</w:t>
                      </w:r>
                      <w:r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>
                        <w:rPr>
                          <w:sz w:val="16"/>
                          <w:szCs w:val="16"/>
                        </w:rPr>
                        <w:t xml:space="preserve"> 2019/20 average 1</w:t>
                      </w:r>
                      <w:r w:rsidRPr="007506CD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year attainment by entry tariff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4E52B" w14:textId="0C00A4A0" w:rsidR="00745723" w:rsidRDefault="00745723" w:rsidP="00745723">
      <w:pPr>
        <w:shd w:val="clear" w:color="auto" w:fill="FFFFFF"/>
        <w:spacing w:before="100" w:beforeAutospacing="1" w:after="100" w:afterAutospacing="1" w:line="276" w:lineRule="auto"/>
        <w:jc w:val="both"/>
      </w:pPr>
    </w:p>
    <w:p w14:paraId="6B352826" w14:textId="420F2271" w:rsidR="003A703E" w:rsidRDefault="00DC600F" w:rsidP="00745723">
      <w:pPr>
        <w:shd w:val="clear" w:color="auto" w:fill="FFFFFF"/>
        <w:spacing w:before="100" w:beforeAutospacing="1" w:after="100" w:afterAutospacing="1" w:line="276" w:lineRule="auto"/>
        <w:jc w:val="both"/>
      </w:pPr>
      <w:r w:rsidRPr="00060F59">
        <w:t xml:space="preserve">The data shows </w:t>
      </w:r>
      <w:r w:rsidR="00BC14F4" w:rsidRPr="00060F59">
        <w:t>a very mixed picture in terms of average attainment levels across the different tariff bands</w:t>
      </w:r>
      <w:r w:rsidR="00D01789" w:rsidRPr="00060F59">
        <w:t xml:space="preserve"> </w:t>
      </w:r>
      <w:commentRangeStart w:id="7"/>
      <w:r w:rsidR="00D01789" w:rsidRPr="00060F59">
        <w:t>with</w:t>
      </w:r>
      <w:r w:rsidR="00770EDD">
        <w:t xml:space="preserve"> a broad</w:t>
      </w:r>
      <w:r w:rsidR="00BC14F4" w:rsidRPr="00060F59">
        <w:t xml:space="preserve"> correlation betw</w:t>
      </w:r>
      <w:r w:rsidR="00905274" w:rsidRPr="00060F59">
        <w:t>een attainment and entry tariff</w:t>
      </w:r>
      <w:commentRangeEnd w:id="7"/>
      <w:r w:rsidR="003B4F45">
        <w:t>,</w:t>
      </w:r>
      <w:r w:rsidR="00770EDD">
        <w:t xml:space="preserve"> particularly amongst the </w:t>
      </w:r>
      <w:r w:rsidR="00437233">
        <w:rPr>
          <w:rStyle w:val="CommentReference"/>
        </w:rPr>
        <w:commentReference w:id="7"/>
      </w:r>
      <w:r w:rsidR="00770EDD">
        <w:t>standard entrants</w:t>
      </w:r>
      <w:r w:rsidR="00905274" w:rsidRPr="00060F59">
        <w:t xml:space="preserve">. </w:t>
      </w:r>
      <w:r w:rsidR="00437233">
        <w:t>Overall</w:t>
      </w:r>
      <w:r w:rsidR="00A61614" w:rsidRPr="00060F59">
        <w:t>,</w:t>
      </w:r>
      <w:r w:rsidR="00BC14F4" w:rsidRPr="00060F59">
        <w:t xml:space="preserve"> the Standard Entrant students achieve the highest average performance across each of the tariff bands</w:t>
      </w:r>
      <w:r w:rsidR="00770EDD">
        <w:t>.</w:t>
      </w:r>
    </w:p>
    <w:p w14:paraId="0E1B6B66" w14:textId="2C0EF29C" w:rsidR="00546464" w:rsidRDefault="00B45678" w:rsidP="00CE7B77">
      <w:pPr>
        <w:shd w:val="clear" w:color="auto" w:fill="FFFFFF"/>
        <w:spacing w:beforeAutospacing="1" w:after="0" w:afterAutospacing="1" w:line="276" w:lineRule="auto"/>
        <w:jc w:val="both"/>
      </w:pPr>
      <w:r>
        <w:t>This</w:t>
      </w:r>
      <w:r w:rsidR="00A02CEC">
        <w:t xml:space="preserve"> data</w:t>
      </w:r>
      <w:r>
        <w:t xml:space="preserve"> </w:t>
      </w:r>
      <w:r w:rsidR="005D3461">
        <w:t xml:space="preserve">may </w:t>
      </w:r>
      <w:r w:rsidR="00932CF6">
        <w:t>suggest that</w:t>
      </w:r>
      <w:r w:rsidR="00546464">
        <w:t xml:space="preserve"> </w:t>
      </w:r>
      <w:r w:rsidR="00D17DF0">
        <w:t>MAP</w:t>
      </w:r>
      <w:r w:rsidR="00A02CEC">
        <w:t xml:space="preserve"> and WP Plus</w:t>
      </w:r>
      <w:r w:rsidR="00D17DF0">
        <w:t xml:space="preserve"> students </w:t>
      </w:r>
      <w:r w:rsidR="00374161">
        <w:t xml:space="preserve">have slightly lower overall average </w:t>
      </w:r>
      <w:r w:rsidR="00770EDD">
        <w:t>attainment</w:t>
      </w:r>
      <w:r w:rsidR="00374161">
        <w:t xml:space="preserve"> </w:t>
      </w:r>
      <w:r w:rsidR="005D3461">
        <w:t xml:space="preserve">when compared to </w:t>
      </w:r>
      <w:r w:rsidR="00DC600F">
        <w:t>S</w:t>
      </w:r>
      <w:r w:rsidR="00546464">
        <w:t xml:space="preserve">tandard </w:t>
      </w:r>
      <w:r w:rsidR="00DC600F">
        <w:t>E</w:t>
      </w:r>
      <w:r w:rsidR="00003E45">
        <w:t>ntrant students. H</w:t>
      </w:r>
      <w:r w:rsidR="005D3461">
        <w:t>owever</w:t>
      </w:r>
      <w:r w:rsidR="00003E45">
        <w:t>,</w:t>
      </w:r>
      <w:r w:rsidR="005D3461">
        <w:t xml:space="preserve"> </w:t>
      </w:r>
      <w:r>
        <w:t xml:space="preserve">the level of </w:t>
      </w:r>
      <w:r w:rsidR="00D71E5A">
        <w:t xml:space="preserve">difference </w:t>
      </w:r>
      <w:r w:rsidR="00770EDD">
        <w:t>wasn’t</w:t>
      </w:r>
      <w:r w:rsidR="005D3461">
        <w:t xml:space="preserve"> </w:t>
      </w:r>
      <w:r>
        <w:t xml:space="preserve">sufficient to stop them </w:t>
      </w:r>
      <w:r w:rsidR="00A02CEC">
        <w:t>achieving the required academic standards for the course</w:t>
      </w:r>
      <w:r w:rsidR="00374161">
        <w:t xml:space="preserve"> at the end of </w:t>
      </w:r>
      <w:r w:rsidR="00003E45">
        <w:t xml:space="preserve">the </w:t>
      </w:r>
      <w:r w:rsidR="00374161">
        <w:t>first year</w:t>
      </w:r>
      <w:r w:rsidR="00A02CEC">
        <w:t>.</w:t>
      </w:r>
    </w:p>
    <w:p w14:paraId="70816027" w14:textId="63E8E574" w:rsidR="00D11B3E" w:rsidRPr="00A02CEC" w:rsidRDefault="00D11B3E" w:rsidP="00CE7B77">
      <w:pPr>
        <w:shd w:val="clear" w:color="auto" w:fill="FFFFFF"/>
        <w:spacing w:beforeAutospacing="1" w:after="0" w:afterAutospacing="1" w:line="276" w:lineRule="auto"/>
        <w:jc w:val="both"/>
      </w:pPr>
      <w:r w:rsidRPr="00157827">
        <w:rPr>
          <w:b/>
          <w:u w:val="single"/>
        </w:rPr>
        <w:t>Continuation</w:t>
      </w:r>
    </w:p>
    <w:p w14:paraId="2E52BB38" w14:textId="5406B7B3" w:rsidR="00157827" w:rsidRDefault="00157827" w:rsidP="00AA6452">
      <w:pPr>
        <w:shd w:val="clear" w:color="auto" w:fill="FFFFFF"/>
        <w:spacing w:before="100" w:beforeAutospacing="1" w:after="100" w:afterAutospacing="1" w:line="276" w:lineRule="auto"/>
        <w:jc w:val="both"/>
      </w:pPr>
      <w:r w:rsidRPr="00157827">
        <w:t xml:space="preserve">The </w:t>
      </w:r>
      <w:r w:rsidR="00437233">
        <w:t xml:space="preserve">number and </w:t>
      </w:r>
      <w:r w:rsidRPr="00157827">
        <w:t>proportion of students continuing on to the second yea</w:t>
      </w:r>
      <w:r>
        <w:t>r of study is sh</w:t>
      </w:r>
      <w:r w:rsidR="00B85FD1">
        <w:t xml:space="preserve">own in </w:t>
      </w:r>
      <w:r w:rsidR="00437233">
        <w:t>T</w:t>
      </w:r>
      <w:r w:rsidR="00B85FD1">
        <w:t>able 4</w:t>
      </w:r>
      <w:r>
        <w:t xml:space="preserve">. </w:t>
      </w:r>
      <w:r w:rsidRPr="00157827">
        <w:t xml:space="preserve">The continuation rate is calculated according to the number </w:t>
      </w:r>
      <w:r w:rsidR="00FB6240">
        <w:t xml:space="preserve">of </w:t>
      </w:r>
      <w:r w:rsidRPr="00157827">
        <w:t>2019 entrant students registered in their second year of the of LLB (Hons) Bachelor of Laws on Dec 1</w:t>
      </w:r>
      <w:r w:rsidRPr="00157827">
        <w:rPr>
          <w:vertAlign w:val="superscript"/>
        </w:rPr>
        <w:t>st</w:t>
      </w:r>
      <w:r>
        <w:t xml:space="preserve"> 2020.</w:t>
      </w:r>
    </w:p>
    <w:tbl>
      <w:tblPr>
        <w:tblW w:w="6379" w:type="dxa"/>
        <w:jc w:val="center"/>
        <w:tblLook w:val="04A0" w:firstRow="1" w:lastRow="0" w:firstColumn="1" w:lastColumn="0" w:noHBand="0" w:noVBand="1"/>
      </w:tblPr>
      <w:tblGrid>
        <w:gridCol w:w="2260"/>
        <w:gridCol w:w="1142"/>
        <w:gridCol w:w="1276"/>
        <w:gridCol w:w="1701"/>
      </w:tblGrid>
      <w:tr w:rsidR="00AA6452" w:rsidRPr="00AA6452" w14:paraId="1ECECE89" w14:textId="77777777" w:rsidTr="00AA6452">
        <w:trPr>
          <w:trHeight w:val="300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49F1" w14:textId="77777777" w:rsidR="00AA6452" w:rsidRPr="00AA6452" w:rsidRDefault="00AA6452" w:rsidP="00AA6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1DA1B5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Registered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D15999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Continued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708F1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Continuation Rate</w:t>
            </w:r>
          </w:p>
        </w:tc>
      </w:tr>
      <w:tr w:rsidR="00AA6452" w:rsidRPr="00AA6452" w14:paraId="67084694" w14:textId="77777777" w:rsidTr="00AA6452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D60E18" w14:textId="77777777" w:rsidR="00AA6452" w:rsidRPr="00AA6452" w:rsidRDefault="00AA6452" w:rsidP="00AA64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MAP/WP Plus &amp; P2L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7B4FD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73AED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CA164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100.0%</w:t>
            </w:r>
          </w:p>
        </w:tc>
      </w:tr>
      <w:tr w:rsidR="00AA6452" w:rsidRPr="00AA6452" w14:paraId="4C429F88" w14:textId="77777777" w:rsidTr="00AA6452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888005" w14:textId="77777777" w:rsidR="00AA6452" w:rsidRPr="00AA6452" w:rsidRDefault="00AA6452" w:rsidP="00AA64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WP Plus/P2L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41B01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CD160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92BD0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93.9%</w:t>
            </w:r>
          </w:p>
        </w:tc>
      </w:tr>
      <w:tr w:rsidR="00AA6452" w:rsidRPr="00AA6452" w14:paraId="6AD4CF70" w14:textId="77777777" w:rsidTr="00AA6452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EFD7F" w14:textId="77777777" w:rsidR="00AA6452" w:rsidRPr="00AA6452" w:rsidRDefault="00AA6452" w:rsidP="00AA64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Standard Entrants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FC9DB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6F8C6E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48CD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94.1%</w:t>
            </w:r>
          </w:p>
        </w:tc>
      </w:tr>
      <w:tr w:rsidR="00AA6452" w:rsidRPr="00AA6452" w14:paraId="3BC9D878" w14:textId="77777777" w:rsidTr="00AA6452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6FC58" w14:textId="77777777" w:rsidR="00AA6452" w:rsidRPr="00AA6452" w:rsidRDefault="00AA6452" w:rsidP="00AA64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AB6ACC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2D021A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69DA0" w14:textId="77777777" w:rsidR="00AA6452" w:rsidRPr="00AA6452" w:rsidRDefault="00AA6452" w:rsidP="00AA64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A645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94.6%</w:t>
            </w:r>
          </w:p>
        </w:tc>
      </w:tr>
    </w:tbl>
    <w:p w14:paraId="50B4D07C" w14:textId="077F48CF" w:rsidR="00FF4B46" w:rsidRDefault="00FF4B46" w:rsidP="00AA6452">
      <w:pPr>
        <w:shd w:val="clear" w:color="auto" w:fill="FFFFFF"/>
        <w:spacing w:before="100" w:beforeAutospacing="1" w:after="100" w:afterAutospacing="1" w:line="276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7E0FF5" wp14:editId="6EAFB0BE">
                <wp:simplePos x="0" y="0"/>
                <wp:positionH relativeFrom="margin">
                  <wp:posOffset>716147</wp:posOffset>
                </wp:positionH>
                <wp:positionV relativeFrom="paragraph">
                  <wp:posOffset>2112</wp:posOffset>
                </wp:positionV>
                <wp:extent cx="4552950" cy="2286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5613" w14:textId="79D5CE6E" w:rsidR="007976D8" w:rsidRPr="00001984" w:rsidRDefault="007976D8" w:rsidP="001045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Table 4:</w:t>
                            </w:r>
                            <w:r w:rsidRPr="00001984">
                              <w:rPr>
                                <w:sz w:val="16"/>
                                <w:szCs w:val="16"/>
                              </w:rPr>
                              <w:t xml:space="preserve"> LLB (Hons) Bachelor of Laws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2019/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20  Yr1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– Yr2 continuation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0FF5" id="_x0000_s1034" type="#_x0000_t202" style="position:absolute;left:0;text-align:left;margin-left:56.4pt;margin-top:.15pt;width:358.5pt;height:1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" stroked="f">
                <v:textbox>
                  <w:txbxContent>
                    <w:p w14:paraId="41FF5613" w14:textId="79D5CE6E" w:rsidR="007976D8" w:rsidRPr="00001984" w:rsidRDefault="007976D8" w:rsidP="001045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Table 4:</w:t>
                      </w:r>
                      <w:r w:rsidRPr="00001984">
                        <w:rPr>
                          <w:sz w:val="16"/>
                          <w:szCs w:val="16"/>
                        </w:rPr>
                        <w:t xml:space="preserve"> LLB (Hons) Bachelor of Laws</w:t>
                      </w:r>
                      <w:r>
                        <w:rPr>
                          <w:sz w:val="16"/>
                          <w:szCs w:val="16"/>
                        </w:rPr>
                        <w:t xml:space="preserve"> 2019/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20  Yr1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– Yr2 continuation rates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30B01" w14:textId="4DAA17F3" w:rsidR="00397FF9" w:rsidRDefault="00A8157C" w:rsidP="00CE7B77">
      <w:pPr>
        <w:shd w:val="clear" w:color="auto" w:fill="FFFFFF"/>
        <w:spacing w:beforeAutospacing="1" w:after="0" w:afterAutospacing="1" w:line="276" w:lineRule="auto"/>
        <w:jc w:val="both"/>
      </w:pPr>
      <w:r>
        <w:t>The overall continuation ra</w:t>
      </w:r>
      <w:r w:rsidR="00CE7B77">
        <w:t xml:space="preserve">te of UK national students on to the second year of </w:t>
      </w:r>
      <w:r w:rsidR="00CE7B77" w:rsidRPr="00157827">
        <w:t>LLB</w:t>
      </w:r>
      <w:r w:rsidR="00CE7B77" w:rsidRPr="00783151">
        <w:t xml:space="preserve"> (Hons) Bachelor of Laws</w:t>
      </w:r>
      <w:r w:rsidR="00AA6452">
        <w:t xml:space="preserve"> was 94.6</w:t>
      </w:r>
      <w:r w:rsidR="00003E45">
        <w:t>%. The data shows 100% of</w:t>
      </w:r>
      <w:r w:rsidR="00CE7B77">
        <w:t xml:space="preserve"> </w:t>
      </w:r>
      <w:r w:rsidR="00AA6452" w:rsidRPr="00AA6452">
        <w:t xml:space="preserve">MAP/WP </w:t>
      </w:r>
      <w:proofErr w:type="gramStart"/>
      <w:r w:rsidR="00AA6452" w:rsidRPr="00AA6452">
        <w:t>Plus</w:t>
      </w:r>
      <w:proofErr w:type="gramEnd"/>
      <w:r w:rsidR="00AA6452" w:rsidRPr="00AA6452">
        <w:t xml:space="preserve"> &amp; P2L</w:t>
      </w:r>
      <w:r w:rsidR="00AA6452">
        <w:t xml:space="preserve"> </w:t>
      </w:r>
      <w:r w:rsidR="00003E45">
        <w:t xml:space="preserve">students </w:t>
      </w:r>
      <w:r w:rsidR="00AA6452">
        <w:t>(14</w:t>
      </w:r>
      <w:r w:rsidR="00CD3E01">
        <w:t xml:space="preserve">) </w:t>
      </w:r>
      <w:r w:rsidR="00CE7B77">
        <w:t>continued on to the second year of t</w:t>
      </w:r>
      <w:r w:rsidR="00AA6452">
        <w:t>heir course. This compares to 93</w:t>
      </w:r>
      <w:r w:rsidR="00FF4B46">
        <w:t>.9</w:t>
      </w:r>
      <w:r w:rsidR="00CE7B77">
        <w:t xml:space="preserve">% of WP </w:t>
      </w:r>
      <w:r w:rsidR="00FB6240">
        <w:t>Plus</w:t>
      </w:r>
      <w:r w:rsidR="00AA6452">
        <w:t>/P2L</w:t>
      </w:r>
      <w:r w:rsidR="00003E45">
        <w:t xml:space="preserve"> s</w:t>
      </w:r>
      <w:r w:rsidR="00FB6240">
        <w:t xml:space="preserve">tudents </w:t>
      </w:r>
      <w:r w:rsidR="00AA6452">
        <w:t>and 94.1</w:t>
      </w:r>
      <w:r w:rsidR="00CE7B77">
        <w:t xml:space="preserve">% of Standard Entrants. </w:t>
      </w:r>
      <w:r w:rsidR="00A602A0">
        <w:t>Again</w:t>
      </w:r>
      <w:r w:rsidR="00D94066">
        <w:t>,</w:t>
      </w:r>
      <w:r w:rsidR="00A602A0">
        <w:t xml:space="preserve"> the impact of the disruption linked to Covid19 may affect the data.</w:t>
      </w:r>
    </w:p>
    <w:p w14:paraId="2BCE68E3" w14:textId="77777777" w:rsidR="00AC5A9A" w:rsidRDefault="00AC5A9A" w:rsidP="00CE7B77">
      <w:pPr>
        <w:shd w:val="clear" w:color="auto" w:fill="FFFFFF"/>
        <w:spacing w:beforeAutospacing="1" w:after="0" w:afterAutospacing="1" w:line="276" w:lineRule="auto"/>
        <w:jc w:val="both"/>
        <w:rPr>
          <w:b/>
          <w:u w:val="single"/>
        </w:rPr>
      </w:pPr>
    </w:p>
    <w:p w14:paraId="0354A968" w14:textId="77777777" w:rsidR="00D71E5A" w:rsidRDefault="00D71E5A" w:rsidP="00CE7B77">
      <w:pPr>
        <w:shd w:val="clear" w:color="auto" w:fill="FFFFFF"/>
        <w:spacing w:beforeAutospacing="1" w:after="0" w:afterAutospacing="1" w:line="276" w:lineRule="auto"/>
        <w:jc w:val="both"/>
        <w:rPr>
          <w:b/>
          <w:u w:val="single"/>
        </w:rPr>
      </w:pPr>
    </w:p>
    <w:p w14:paraId="5845E0C9" w14:textId="547E10BB" w:rsidR="005C527F" w:rsidRPr="00397FF9" w:rsidRDefault="005C527F" w:rsidP="00CE7B77">
      <w:pPr>
        <w:shd w:val="clear" w:color="auto" w:fill="FFFFFF"/>
        <w:spacing w:beforeAutospacing="1" w:after="0" w:afterAutospacing="1" w:line="276" w:lineRule="auto"/>
        <w:jc w:val="both"/>
      </w:pPr>
      <w:r w:rsidRPr="00987E18">
        <w:rPr>
          <w:b/>
          <w:u w:val="single"/>
        </w:rPr>
        <w:lastRenderedPageBreak/>
        <w:t>Conclusion</w:t>
      </w:r>
    </w:p>
    <w:p w14:paraId="0BCD68D2" w14:textId="6C4B3C38" w:rsidR="005C527F" w:rsidRDefault="005C527F" w:rsidP="00CE7B77">
      <w:pPr>
        <w:shd w:val="clear" w:color="auto" w:fill="FFFFFF"/>
        <w:spacing w:beforeAutospacing="1" w:after="0" w:afterAutospacing="1" w:line="276" w:lineRule="auto"/>
        <w:jc w:val="both"/>
      </w:pPr>
      <w:r>
        <w:t>In the case of the MAP</w:t>
      </w:r>
      <w:r w:rsidR="006C76E1">
        <w:t xml:space="preserve"> and WP Plus</w:t>
      </w:r>
      <w:r>
        <w:t xml:space="preserve"> students on </w:t>
      </w:r>
      <w:r w:rsidRPr="00AC53EC">
        <w:t xml:space="preserve">2019 </w:t>
      </w:r>
      <w:r w:rsidRPr="00783151">
        <w:t>LLB (Hons) Bachelor of Laws</w:t>
      </w:r>
      <w:r w:rsidR="008316C4">
        <w:t>,</w:t>
      </w:r>
      <w:r w:rsidR="006C76E1">
        <w:t xml:space="preserve"> </w:t>
      </w:r>
      <w:r w:rsidR="0067454C">
        <w:t>a high proportion of the students</w:t>
      </w:r>
      <w:r w:rsidR="00A8157C">
        <w:t xml:space="preserve"> required a reduced</w:t>
      </w:r>
      <w:r>
        <w:t xml:space="preserve"> offer</w:t>
      </w:r>
      <w:r w:rsidR="00A8157C">
        <w:t xml:space="preserve"> of at least one grade</w:t>
      </w:r>
      <w:r>
        <w:t xml:space="preserve"> in order </w:t>
      </w:r>
      <w:r w:rsidR="00D94066">
        <w:t>to be accepted on to the course</w:t>
      </w:r>
      <w:r>
        <w:t xml:space="preserve"> and as such</w:t>
      </w:r>
      <w:r w:rsidR="00D94066">
        <w:t>,</w:t>
      </w:r>
      <w:r>
        <w:t xml:space="preserve"> the lower contextua</w:t>
      </w:r>
      <w:r w:rsidR="00A8157C">
        <w:t xml:space="preserve">l offer was instrumental to them being able to study Law at </w:t>
      </w:r>
      <w:proofErr w:type="spellStart"/>
      <w:r w:rsidR="00A8157C">
        <w:t>UoM</w:t>
      </w:r>
      <w:proofErr w:type="spellEnd"/>
      <w:r>
        <w:t>.</w:t>
      </w:r>
    </w:p>
    <w:p w14:paraId="623B060C" w14:textId="0B80BC1F" w:rsidR="005C527F" w:rsidRDefault="006C76E1" w:rsidP="00CE7B77">
      <w:pPr>
        <w:shd w:val="clear" w:color="auto" w:fill="FFFFFF"/>
        <w:spacing w:beforeAutospacing="1" w:after="0" w:afterAutospacing="1" w:line="276" w:lineRule="auto"/>
        <w:jc w:val="both"/>
      </w:pPr>
      <w:r>
        <w:t>However, despite these</w:t>
      </w:r>
      <w:r w:rsidR="005C527F">
        <w:t xml:space="preserve"> students having a lower </w:t>
      </w:r>
      <w:r w:rsidR="00622F96">
        <w:t xml:space="preserve">entry tariff </w:t>
      </w:r>
      <w:r w:rsidR="008316C4">
        <w:t>than the standard entrants, their first year attainment</w:t>
      </w:r>
      <w:r w:rsidR="00543C74">
        <w:t xml:space="preserve"> suggest</w:t>
      </w:r>
      <w:r w:rsidR="00FB6240">
        <w:t>s</w:t>
      </w:r>
      <w:r w:rsidR="00543C74">
        <w:t xml:space="preserve"> they are able to meet the acad</w:t>
      </w:r>
      <w:r w:rsidR="008316C4">
        <w:t>emic requirements of the course. A</w:t>
      </w:r>
      <w:r w:rsidR="008B005B">
        <w:t xml:space="preserve"> number of the students in</w:t>
      </w:r>
      <w:r w:rsidR="00543C74">
        <w:t xml:space="preserve"> the MAP</w:t>
      </w:r>
      <w:r w:rsidR="008B005B">
        <w:t xml:space="preserve"> and WP Plus groups</w:t>
      </w:r>
      <w:r w:rsidR="00543C74">
        <w:t xml:space="preserve"> outperformed students </w:t>
      </w:r>
      <w:r w:rsidR="00FB6240">
        <w:t xml:space="preserve">in the </w:t>
      </w:r>
      <w:r w:rsidR="00A602A0">
        <w:t>S</w:t>
      </w:r>
      <w:r w:rsidR="008B005B">
        <w:t xml:space="preserve">tandard </w:t>
      </w:r>
      <w:r w:rsidR="00A602A0">
        <w:t>E</w:t>
      </w:r>
      <w:r w:rsidR="008B005B">
        <w:t>ntrant</w:t>
      </w:r>
      <w:r w:rsidR="00543C74">
        <w:t xml:space="preserve"> group. In addition</w:t>
      </w:r>
      <w:r w:rsidR="00FB6240">
        <w:t>,</w:t>
      </w:r>
      <w:r w:rsidR="00543C74">
        <w:t xml:space="preserve"> the MAP</w:t>
      </w:r>
      <w:r w:rsidR="00DC600F">
        <w:t xml:space="preserve">/WP </w:t>
      </w:r>
      <w:proofErr w:type="gramStart"/>
      <w:r w:rsidR="00DC600F">
        <w:t>Plus</w:t>
      </w:r>
      <w:proofErr w:type="gramEnd"/>
      <w:r w:rsidR="00DC600F">
        <w:t xml:space="preserve"> &amp; P2L</w:t>
      </w:r>
      <w:r w:rsidR="00543C74">
        <w:t xml:space="preserve"> students had a higher continuation rate </w:t>
      </w:r>
      <w:r w:rsidR="00987E18">
        <w:t xml:space="preserve">than the </w:t>
      </w:r>
      <w:r w:rsidR="008B005B">
        <w:t>standard entrants</w:t>
      </w:r>
      <w:r w:rsidR="00987E18">
        <w:t>, with 100% progressing to their second year.</w:t>
      </w:r>
    </w:p>
    <w:p w14:paraId="5E7094A1" w14:textId="77777777" w:rsidR="00D71E5A" w:rsidRDefault="00D71E5A" w:rsidP="00CE7B77">
      <w:pPr>
        <w:shd w:val="clear" w:color="auto" w:fill="FFFFFF"/>
        <w:spacing w:beforeAutospacing="1" w:after="0" w:afterAutospacing="1" w:line="276" w:lineRule="auto"/>
        <w:jc w:val="both"/>
        <w:rPr>
          <w:b/>
          <w:u w:val="single"/>
        </w:rPr>
      </w:pPr>
    </w:p>
    <w:p w14:paraId="495789EF" w14:textId="61F3BB98" w:rsidR="00A602A0" w:rsidRPr="00770EDD" w:rsidRDefault="00A602A0" w:rsidP="00CE7B77">
      <w:pPr>
        <w:shd w:val="clear" w:color="auto" w:fill="FFFFFF"/>
        <w:spacing w:beforeAutospacing="1" w:after="0" w:afterAutospacing="1" w:line="276" w:lineRule="auto"/>
        <w:jc w:val="both"/>
        <w:rPr>
          <w:b/>
          <w:u w:val="single"/>
        </w:rPr>
      </w:pPr>
      <w:r w:rsidRPr="00770EDD">
        <w:rPr>
          <w:b/>
          <w:u w:val="single"/>
        </w:rPr>
        <w:t>Recommendation</w:t>
      </w:r>
    </w:p>
    <w:p w14:paraId="1EAEA06E" w14:textId="4C1E75A6" w:rsidR="00E6797F" w:rsidRDefault="00A602A0" w:rsidP="00CE7B77">
      <w:pPr>
        <w:shd w:val="clear" w:color="auto" w:fill="FFFFFF"/>
        <w:spacing w:beforeAutospacing="1" w:after="0" w:afterAutospacing="1" w:line="276" w:lineRule="auto"/>
        <w:jc w:val="both"/>
      </w:pPr>
      <w:r>
        <w:t>T</w:t>
      </w:r>
      <w:r w:rsidR="005D5AA7">
        <w:t xml:space="preserve">he </w:t>
      </w:r>
      <w:r w:rsidR="00F17800">
        <w:t>extrapolation of this type of analysis</w:t>
      </w:r>
      <w:r w:rsidR="0067454C">
        <w:t xml:space="preserve"> currently poses a numb</w:t>
      </w:r>
      <w:r w:rsidR="00003E45">
        <w:t>er of challenges. Even th</w:t>
      </w:r>
      <w:r w:rsidR="0067454C">
        <w:t>ough this report</w:t>
      </w:r>
      <w:r w:rsidR="00003E45">
        <w:t xml:space="preserve"> only looks</w:t>
      </w:r>
      <w:r w:rsidR="0067454C">
        <w:t xml:space="preserve"> at the attainment of UK nationals entrants on</w:t>
      </w:r>
      <w:r w:rsidR="00003E45">
        <w:t xml:space="preserve"> one course</w:t>
      </w:r>
      <w:r w:rsidR="005306B9">
        <w:t xml:space="preserve"> in one year, it still took a number of days</w:t>
      </w:r>
      <w:r w:rsidR="00D94066">
        <w:t xml:space="preserve"> to</w:t>
      </w:r>
      <w:commentRangeStart w:id="8"/>
      <w:r w:rsidR="005306B9">
        <w:t xml:space="preserve"> </w:t>
      </w:r>
      <w:r w:rsidR="008316C4">
        <w:t>compile the</w:t>
      </w:r>
      <w:r w:rsidR="0067454C">
        <w:t xml:space="preserve"> dataset</w:t>
      </w:r>
      <w:commentRangeEnd w:id="8"/>
      <w:r w:rsidR="00A32853">
        <w:rPr>
          <w:rStyle w:val="CommentReference"/>
        </w:rPr>
        <w:commentReference w:id="8"/>
      </w:r>
      <w:r w:rsidR="0067454C">
        <w:t>. Determining a student’s</w:t>
      </w:r>
      <w:r w:rsidR="00003E45">
        <w:t xml:space="preserve"> entry tariff</w:t>
      </w:r>
      <w:r w:rsidR="0067454C">
        <w:t xml:space="preserve"> and whether they were made a contextually lower offer was a </w:t>
      </w:r>
      <w:r w:rsidR="00003E45">
        <w:t>manual process</w:t>
      </w:r>
      <w:r w:rsidR="0067454C">
        <w:t xml:space="preserve"> and in some case</w:t>
      </w:r>
      <w:r w:rsidR="00003E45">
        <w:t>s,</w:t>
      </w:r>
      <w:r w:rsidR="0067454C">
        <w:t xml:space="preserve"> very difficult to determine</w:t>
      </w:r>
      <w:r w:rsidR="00F17800">
        <w:t>. Detailed knowledge of the entry requirements of each course</w:t>
      </w:r>
      <w:r w:rsidR="0067454C">
        <w:t xml:space="preserve"> and the different pathways </w:t>
      </w:r>
      <w:r w:rsidR="00B60DE2">
        <w:t xml:space="preserve">to entry </w:t>
      </w:r>
      <w:r w:rsidR="00003E45">
        <w:t>was</w:t>
      </w:r>
      <w:r w:rsidR="00B60DE2">
        <w:t xml:space="preserve"> required to </w:t>
      </w:r>
      <w:r w:rsidR="00060F59">
        <w:t>conclude</w:t>
      </w:r>
      <w:r w:rsidR="00B82F72">
        <w:t xml:space="preserve"> if a contextual o</w:t>
      </w:r>
      <w:r w:rsidR="00003E45">
        <w:t xml:space="preserve">ffer had been made </w:t>
      </w:r>
      <w:r w:rsidR="00B82F72">
        <w:t>and whether the student had met their entry requirements. In order to effectively scale up this work</w:t>
      </w:r>
      <w:r w:rsidR="00003E45">
        <w:t>,</w:t>
      </w:r>
      <w:r w:rsidR="00B82F72">
        <w:t xml:space="preserve"> a flag</w:t>
      </w:r>
      <w:r>
        <w:t xml:space="preserve"> or indicator</w:t>
      </w:r>
      <w:r w:rsidR="00B82F72">
        <w:t xml:space="preserve"> </w:t>
      </w:r>
      <w:r>
        <w:t>would</w:t>
      </w:r>
      <w:r w:rsidR="00003E45" w:rsidRPr="006337B6">
        <w:t xml:space="preserve"> allow </w:t>
      </w:r>
      <w:r w:rsidR="00060F59" w:rsidRPr="006337B6">
        <w:t>quick</w:t>
      </w:r>
      <w:r w:rsidR="00B82F72">
        <w:t xml:space="preserve"> </w:t>
      </w:r>
      <w:r w:rsidR="006337B6">
        <w:t>identification of</w:t>
      </w:r>
      <w:r w:rsidR="00B82F72">
        <w:t xml:space="preserve"> students</w:t>
      </w:r>
      <w:r w:rsidR="00644AB5">
        <w:t xml:space="preserve"> </w:t>
      </w:r>
      <w:r>
        <w:t xml:space="preserve">accepted onto </w:t>
      </w:r>
      <w:r w:rsidR="00644AB5">
        <w:t>a course via the lower contextual o</w:t>
      </w:r>
      <w:r w:rsidR="00003E45">
        <w:t xml:space="preserve">ffer. This </w:t>
      </w:r>
      <w:r>
        <w:t xml:space="preserve">would </w:t>
      </w:r>
      <w:r w:rsidR="00003E45">
        <w:t xml:space="preserve">also </w:t>
      </w:r>
      <w:r>
        <w:t xml:space="preserve">enable better </w:t>
      </w:r>
      <w:r w:rsidR="00A32853">
        <w:t xml:space="preserve">tracking and </w:t>
      </w:r>
      <w:r>
        <w:t>evaluation of outcomes across the student journey</w:t>
      </w:r>
      <w:r w:rsidR="00D94066">
        <w:t>,</w:t>
      </w:r>
      <w:r>
        <w:t xml:space="preserve"> i.e. from first year attainment,</w:t>
      </w:r>
      <w:r w:rsidR="00644AB5">
        <w:t xml:space="preserve"> continuation</w:t>
      </w:r>
      <w:r>
        <w:t xml:space="preserve">, </w:t>
      </w:r>
      <w:r w:rsidR="00644AB5">
        <w:t xml:space="preserve">final degree award, </w:t>
      </w:r>
      <w:r>
        <w:t xml:space="preserve">and </w:t>
      </w:r>
      <w:r w:rsidR="005306B9">
        <w:t>graduate outcomes. This data is due to be fed in to an</w:t>
      </w:r>
      <w:r w:rsidR="00B6151C">
        <w:t xml:space="preserve"> overall view of a student’</w:t>
      </w:r>
      <w:r w:rsidR="00D94066">
        <w:t>s journey through the U</w:t>
      </w:r>
      <w:r w:rsidR="005306B9">
        <w:t>niversity via the Student 360 project. H</w:t>
      </w:r>
      <w:r w:rsidR="00B6151C">
        <w:t>aving a contextual offers flag will allow quick identification of student</w:t>
      </w:r>
      <w:r w:rsidR="005306B9">
        <w:t>s with lower entry</w:t>
      </w:r>
      <w:r w:rsidR="00D94066">
        <w:t xml:space="preserve"> requirements at various points</w:t>
      </w:r>
      <w:r w:rsidR="005306B9">
        <w:t xml:space="preserve"> and allow comparison to their peers. This would allow a fuller understanding of whether a lower contextual offer caused some students to be disadvantaged.</w:t>
      </w:r>
    </w:p>
    <w:p w14:paraId="6AF079B8" w14:textId="47942F74" w:rsidR="002524D0" w:rsidRPr="002524D0" w:rsidRDefault="00F21A8C" w:rsidP="00F21A8C">
      <w:pPr>
        <w:shd w:val="clear" w:color="auto" w:fill="FFFFFF"/>
        <w:spacing w:beforeAutospacing="1" w:after="0" w:afterAutospacing="1" w:line="276" w:lineRule="auto"/>
        <w:jc w:val="both"/>
      </w:pPr>
      <w:r>
        <w:t>If a contextual offer flag could be developed</w:t>
      </w:r>
      <w:r w:rsidR="00D94066">
        <w:t>,</w:t>
      </w:r>
      <w:r>
        <w:t xml:space="preserve"> it would be possible to expand the analysis to l</w:t>
      </w:r>
      <w:r w:rsidR="002524D0" w:rsidRPr="002524D0">
        <w:t>ook at the impact of the lower offer over a range of disciplines</w:t>
      </w:r>
      <w:r w:rsidR="00FE1AD6">
        <w:t xml:space="preserve"> and f</w:t>
      </w:r>
      <w:bookmarkStart w:id="9" w:name="_GoBack"/>
      <w:bookmarkEnd w:id="9"/>
      <w:r w:rsidR="00FE1AD6">
        <w:t>aculties</w:t>
      </w:r>
      <w:r>
        <w:t xml:space="preserve"> and analyse a student’s attainment across</w:t>
      </w:r>
      <w:r w:rsidR="00B60DE2">
        <w:t xml:space="preserve"> multiple years and levels as the data</w:t>
      </w:r>
      <w:r w:rsidR="002524D0" w:rsidRPr="002524D0">
        <w:t xml:space="preserve"> becomes available</w:t>
      </w:r>
      <w:r>
        <w:t>. With the expansion of the data set</w:t>
      </w:r>
      <w:r w:rsidR="00003E45">
        <w:t>,</w:t>
      </w:r>
      <w:r>
        <w:t xml:space="preserve"> it would be possible to c</w:t>
      </w:r>
      <w:r w:rsidR="002524D0" w:rsidRPr="002524D0">
        <w:t>onduct a more in-depth statistical analysis of the data using regression analysis</w:t>
      </w:r>
      <w:r w:rsidR="00003E45">
        <w:t xml:space="preserve"> </w:t>
      </w:r>
      <w:r w:rsidR="00003E45" w:rsidRPr="006337B6">
        <w:t xml:space="preserve">and use </w:t>
      </w:r>
      <w:r w:rsidR="00A8157C" w:rsidRPr="006337B6">
        <w:t>a range</w:t>
      </w:r>
      <w:r w:rsidR="00A8157C">
        <w:t xml:space="preserve"> of variables</w:t>
      </w:r>
      <w:r w:rsidR="002524D0" w:rsidRPr="002524D0">
        <w:t xml:space="preserve"> to ensure that firm conclusions can be drawn</w:t>
      </w:r>
      <w:r>
        <w:t xml:space="preserve">. </w:t>
      </w:r>
      <w:r w:rsidR="002524D0" w:rsidRPr="002524D0">
        <w:t xml:space="preserve">  </w:t>
      </w:r>
    </w:p>
    <w:p w14:paraId="267A795D" w14:textId="67AC5B18" w:rsidR="00C434E0" w:rsidRPr="00770EDD" w:rsidRDefault="000A62BC" w:rsidP="000A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</w:rPr>
      </w:pPr>
      <w:r w:rsidRPr="00770EDD">
        <w:rPr>
          <w:b/>
        </w:rPr>
        <w:t>Discussion</w:t>
      </w:r>
    </w:p>
    <w:p w14:paraId="02D48C51" w14:textId="0C60F769" w:rsidR="000A62BC" w:rsidRDefault="000A62BC" w:rsidP="000A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Do members of TLG have any feedback on the data or recommendation for a flag/indicator to enable identification and evaluation of outcomes for students who have been accepted on to a course with lower entry </w:t>
      </w:r>
      <w:proofErr w:type="gramStart"/>
      <w:r>
        <w:t>requirements.</w:t>
      </w:r>
      <w:proofErr w:type="gramEnd"/>
    </w:p>
    <w:p w14:paraId="456C5748" w14:textId="77777777" w:rsidR="000A62BC" w:rsidRDefault="000A62BC" w:rsidP="000A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701F7DC5" w14:textId="70E782AE" w:rsidR="00DC29EC" w:rsidRDefault="00DC29EC" w:rsidP="00CE7B77">
      <w:pPr>
        <w:spacing w:line="276" w:lineRule="auto"/>
      </w:pPr>
    </w:p>
    <w:sectPr w:rsidR="00DC2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drew Peet" w:date="2021-06-30T17:04:00Z" w:initials="AP">
    <w:p w14:paraId="1583F083" w14:textId="1DFD53D2" w:rsidR="007902FF" w:rsidRDefault="007902FF">
      <w:pPr>
        <w:pStyle w:val="CommentText"/>
      </w:pPr>
      <w:r>
        <w:rPr>
          <w:rStyle w:val="CommentReference"/>
        </w:rPr>
        <w:annotationRef/>
      </w:r>
    </w:p>
    <w:p w14:paraId="1A856055" w14:textId="77E2B3B7" w:rsidR="007902FF" w:rsidRDefault="007902FF">
      <w:pPr>
        <w:pStyle w:val="CommentText"/>
      </w:pPr>
      <w:r>
        <w:t>Added grade reduction eligibility</w:t>
      </w:r>
    </w:p>
  </w:comment>
  <w:comment w:id="2" w:author="Andrew Peet" w:date="2021-06-25T15:38:00Z" w:initials="AP">
    <w:p w14:paraId="38BF28B4" w14:textId="525E4F39" w:rsidR="007976D8" w:rsidRDefault="007976D8">
      <w:pPr>
        <w:pStyle w:val="CommentText"/>
      </w:pPr>
      <w:r>
        <w:rPr>
          <w:rStyle w:val="CommentReference"/>
        </w:rPr>
        <w:annotationRef/>
      </w:r>
      <w:r>
        <w:t>With the student with &lt;128 points removed, the average tariff is 134.15</w:t>
      </w:r>
    </w:p>
  </w:comment>
  <w:comment w:id="1" w:author="Mandy Crow" w:date="2021-06-29T11:21:00Z" w:initials="MC">
    <w:p w14:paraId="1475FDC5" w14:textId="03A5B877" w:rsidR="00E6389B" w:rsidRDefault="00E6389B">
      <w:pPr>
        <w:pStyle w:val="CommentText"/>
      </w:pPr>
      <w:r>
        <w:rPr>
          <w:rStyle w:val="CommentReference"/>
        </w:rPr>
        <w:annotationRef/>
      </w:r>
      <w:r>
        <w:t>The average tariff here is for MAP/P2L &amp; WP Plus?</w:t>
      </w:r>
    </w:p>
    <w:p w14:paraId="07A2516D" w14:textId="791A6BCE" w:rsidR="0004061B" w:rsidRDefault="0004061B">
      <w:pPr>
        <w:pStyle w:val="CommentText"/>
      </w:pPr>
    </w:p>
    <w:p w14:paraId="05A6BA4C" w14:textId="3BC77A67" w:rsidR="0004061B" w:rsidRDefault="0004061B">
      <w:pPr>
        <w:pStyle w:val="CommentText"/>
      </w:pPr>
      <w:r>
        <w:t xml:space="preserve">Andy – Yes. Corrected the label from MAP to </w:t>
      </w:r>
      <w:r w:rsidR="001E5FAA">
        <w:t>MAP/</w:t>
      </w:r>
      <w:r>
        <w:t xml:space="preserve"> WP Plus</w:t>
      </w:r>
      <w:r w:rsidR="001E5FAA">
        <w:t xml:space="preserve"> &amp; P2L</w:t>
      </w:r>
    </w:p>
  </w:comment>
  <w:comment w:id="3" w:author="Mandy Crow" w:date="2021-06-29T11:26:00Z" w:initials="MC">
    <w:p w14:paraId="1419ADF8" w14:textId="4872B722" w:rsidR="00E6389B" w:rsidRDefault="00E6389B">
      <w:pPr>
        <w:pStyle w:val="CommentText"/>
      </w:pPr>
      <w:r>
        <w:rPr>
          <w:rStyle w:val="CommentReference"/>
        </w:rPr>
        <w:annotationRef/>
      </w:r>
      <w:r w:rsidR="00D04DB5">
        <w:t xml:space="preserve">As grouped MAP </w:t>
      </w:r>
      <w:r w:rsidR="00816909">
        <w:t>/WP Plus &amp; P2L is it possible to include all students eligible for a 2 gr</w:t>
      </w:r>
      <w:r w:rsidR="001E5FAA">
        <w:t>ade reduction in this analysis?</w:t>
      </w:r>
    </w:p>
    <w:p w14:paraId="73E86193" w14:textId="34F43685" w:rsidR="001E5FAA" w:rsidRDefault="001E5FAA">
      <w:pPr>
        <w:pStyle w:val="CommentText"/>
      </w:pPr>
    </w:p>
    <w:p w14:paraId="17DC585F" w14:textId="2350E25F" w:rsidR="001E5FAA" w:rsidRDefault="001E5FAA">
      <w:pPr>
        <w:pStyle w:val="CommentText"/>
      </w:pPr>
      <w:r>
        <w:t>Andy – Updated to include WP Plus &amp; P2L</w:t>
      </w:r>
    </w:p>
  </w:comment>
  <w:comment w:id="4" w:author="Mandy Crow" w:date="2021-06-29T11:47:00Z" w:initials="MC">
    <w:p w14:paraId="38388D0C" w14:textId="77777777" w:rsidR="00E7417C" w:rsidRDefault="00E7417C" w:rsidP="00E7417C">
      <w:pPr>
        <w:pStyle w:val="CommentText"/>
      </w:pPr>
      <w:r>
        <w:rPr>
          <w:rStyle w:val="CommentReference"/>
        </w:rPr>
        <w:annotationRef/>
      </w:r>
      <w:r>
        <w:t xml:space="preserve">Is this offer conditions </w:t>
      </w:r>
      <w:proofErr w:type="spellStart"/>
      <w:r>
        <w:t>where</w:t>
      </w:r>
      <w:proofErr w:type="spellEnd"/>
      <w:r>
        <w:t xml:space="preserve"> eligible for a lower offer?</w:t>
      </w:r>
    </w:p>
    <w:p w14:paraId="6C87CC3D" w14:textId="77777777" w:rsidR="00E7417C" w:rsidRDefault="00E7417C" w:rsidP="00E7417C">
      <w:pPr>
        <w:pStyle w:val="CommentText"/>
      </w:pPr>
    </w:p>
    <w:p w14:paraId="30B339EB" w14:textId="77777777" w:rsidR="00E7417C" w:rsidRDefault="00E7417C" w:rsidP="00E7417C">
      <w:pPr>
        <w:pStyle w:val="CommentText"/>
      </w:pPr>
      <w:r>
        <w:t>This table shows 8 MAP/WP Plus &amp; P2L students met their offer condition.  However the table above show 13?</w:t>
      </w:r>
    </w:p>
    <w:p w14:paraId="66C1CCA7" w14:textId="77777777" w:rsidR="00E7417C" w:rsidRDefault="00E7417C" w:rsidP="00E7417C">
      <w:pPr>
        <w:pStyle w:val="CommentText"/>
      </w:pPr>
    </w:p>
    <w:p w14:paraId="33D50C2B" w14:textId="79659921" w:rsidR="00E7417C" w:rsidRDefault="00E7417C" w:rsidP="00E7417C">
      <w:pPr>
        <w:pStyle w:val="CommentText"/>
      </w:pPr>
      <w:r>
        <w:t>Andy – Updated table with new groups and based on all available tariff points.</w:t>
      </w:r>
    </w:p>
  </w:comment>
  <w:comment w:id="5" w:author="Mandy Crow" w:date="2021-06-29T11:46:00Z" w:initials="MC">
    <w:p w14:paraId="1A9826BE" w14:textId="73B5BC3D" w:rsidR="00213E58" w:rsidRDefault="00213E58">
      <w:pPr>
        <w:pStyle w:val="CommentText"/>
      </w:pPr>
      <w:r>
        <w:rPr>
          <w:rStyle w:val="CommentReference"/>
        </w:rPr>
        <w:annotationRef/>
      </w:r>
      <w:proofErr w:type="gramStart"/>
      <w:r>
        <w:t>for</w:t>
      </w:r>
      <w:proofErr w:type="gramEnd"/>
      <w:r>
        <w:t xml:space="preserve"> top 3 subjects?</w:t>
      </w:r>
    </w:p>
    <w:p w14:paraId="1E0355EB" w14:textId="3F6BE7C9" w:rsidR="00A602A0" w:rsidRDefault="00A602A0">
      <w:pPr>
        <w:pStyle w:val="CommentText"/>
      </w:pPr>
      <w:r>
        <w:t>Some students may have been accepted onto the course because of their overall tariff e.g. if taking more than 3 A level equivalent</w:t>
      </w:r>
    </w:p>
  </w:comment>
  <w:comment w:id="6" w:author="Mandy Crow" w:date="2021-06-29T12:26:00Z" w:initials="MC">
    <w:p w14:paraId="267B3597" w14:textId="00BC3660" w:rsidR="00104871" w:rsidRDefault="00104871">
      <w:pPr>
        <w:pStyle w:val="CommentText"/>
      </w:pPr>
      <w:r>
        <w:rPr>
          <w:rStyle w:val="CommentReference"/>
        </w:rPr>
        <w:annotationRef/>
      </w:r>
      <w:r>
        <w:t>To check – this figure is not by tariff band?</w:t>
      </w:r>
    </w:p>
    <w:p w14:paraId="4F7EC429" w14:textId="4D383715" w:rsidR="00067A89" w:rsidRDefault="00067A89">
      <w:pPr>
        <w:pStyle w:val="CommentText"/>
      </w:pPr>
    </w:p>
    <w:p w14:paraId="00A5EBF0" w14:textId="153818E7" w:rsidR="00067A89" w:rsidRDefault="00067A89">
      <w:pPr>
        <w:pStyle w:val="CommentText"/>
      </w:pPr>
      <w:r>
        <w:t xml:space="preserve">Andy – </w:t>
      </w:r>
      <w:r w:rsidR="00B6151C">
        <w:t xml:space="preserve">Checked. </w:t>
      </w:r>
      <w:r>
        <w:t>This is all students an</w:t>
      </w:r>
      <w:r w:rsidR="007902FF">
        <w:t>d all</w:t>
      </w:r>
      <w:r>
        <w:t xml:space="preserve"> tariffs</w:t>
      </w:r>
    </w:p>
  </w:comment>
  <w:comment w:id="7" w:author="Mandy Crow" w:date="2021-06-29T12:44:00Z" w:initials="MC">
    <w:p w14:paraId="580E95D7" w14:textId="3C8835BB" w:rsidR="00437233" w:rsidRDefault="00437233">
      <w:pPr>
        <w:pStyle w:val="CommentText"/>
      </w:pPr>
      <w:r>
        <w:rPr>
          <w:rStyle w:val="CommentReference"/>
        </w:rPr>
        <w:annotationRef/>
      </w:r>
      <w:r>
        <w:t>I disagree – my interpretation of the data is that in general as tariff on entry increases, average attainment increases?</w:t>
      </w:r>
    </w:p>
    <w:p w14:paraId="50820BB8" w14:textId="280861F2" w:rsidR="00770EDD" w:rsidRDefault="00770EDD">
      <w:pPr>
        <w:pStyle w:val="CommentText"/>
      </w:pPr>
    </w:p>
    <w:p w14:paraId="64A23B0E" w14:textId="7D12939E" w:rsidR="00770EDD" w:rsidRDefault="00770EDD">
      <w:pPr>
        <w:pStyle w:val="CommentText"/>
      </w:pPr>
      <w:r>
        <w:t xml:space="preserve">Amended the text slightly. Standard entrants show a correlation, but other groups show a more mixed picture.  </w:t>
      </w:r>
    </w:p>
  </w:comment>
  <w:comment w:id="8" w:author="Mandy Crow" w:date="2021-06-29T13:09:00Z" w:initials="MC">
    <w:p w14:paraId="67DB8FC1" w14:textId="6FB47725" w:rsidR="00A32853" w:rsidRDefault="00A32853">
      <w:pPr>
        <w:pStyle w:val="CommentText"/>
      </w:pPr>
      <w:r>
        <w:rPr>
          <w:rStyle w:val="CommentReference"/>
        </w:rPr>
        <w:annotationRef/>
      </w:r>
      <w:r>
        <w:t>Are you able to provide an estimate of your time</w:t>
      </w:r>
    </w:p>
    <w:p w14:paraId="794BA9A5" w14:textId="66B80BA9" w:rsidR="00A32853" w:rsidRDefault="00A32853">
      <w:pPr>
        <w:pStyle w:val="CommentText"/>
      </w:pPr>
    </w:p>
    <w:p w14:paraId="176A2998" w14:textId="187FA231" w:rsidR="003B4F45" w:rsidRDefault="00A32853">
      <w:pPr>
        <w:pStyle w:val="CommentText"/>
      </w:pPr>
      <w:r>
        <w:t>E.g. for a dataset of 148 students it has taken approximately XX hours of time?</w:t>
      </w:r>
    </w:p>
    <w:p w14:paraId="737E00D9" w14:textId="43F376DF" w:rsidR="005306B9" w:rsidRDefault="005306B9">
      <w:pPr>
        <w:pStyle w:val="CommentText"/>
      </w:pPr>
    </w:p>
    <w:p w14:paraId="6E243488" w14:textId="6AF92D2F" w:rsidR="005306B9" w:rsidRDefault="005306B9">
      <w:pPr>
        <w:pStyle w:val="CommentText"/>
      </w:pPr>
      <w:r>
        <w:t xml:space="preserve">Andy – </w:t>
      </w:r>
      <w:proofErr w:type="gramStart"/>
      <w:r>
        <w:t>I  honestly</w:t>
      </w:r>
      <w:proofErr w:type="gramEnd"/>
      <w:r>
        <w:t xml:space="preserve"> </w:t>
      </w:r>
      <w:r w:rsidR="00B842E3">
        <w:t>can</w:t>
      </w:r>
      <w:r>
        <w:t xml:space="preserve">’t remember the number of hours. I think it took about 2-3 days to do the compiling and analysis, corrections etc. </w:t>
      </w:r>
      <w:r w:rsidR="00006BB7">
        <w:t xml:space="preserve">Writing the report was extra. It took longer because this was the first time dealing with this sort of admissions data. </w:t>
      </w:r>
    </w:p>
    <w:p w14:paraId="05524F1F" w14:textId="77777777" w:rsidR="00A32853" w:rsidRDefault="00A32853">
      <w:pPr>
        <w:pStyle w:val="CommentText"/>
      </w:pPr>
    </w:p>
    <w:p w14:paraId="4A464246" w14:textId="6D26D1FA" w:rsidR="00A32853" w:rsidRDefault="00A3285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856055" w15:done="0"/>
  <w15:commentEx w15:paraId="38BF28B4" w15:done="0"/>
  <w15:commentEx w15:paraId="05A6BA4C" w15:done="0"/>
  <w15:commentEx w15:paraId="17DC585F" w15:done="0"/>
  <w15:commentEx w15:paraId="33D50C2B" w15:done="0"/>
  <w15:commentEx w15:paraId="1E0355EB" w15:done="0"/>
  <w15:commentEx w15:paraId="00A5EBF0" w15:done="0"/>
  <w15:commentEx w15:paraId="64A23B0E" w15:done="0"/>
  <w15:commentEx w15:paraId="4A46424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0E400" w14:textId="77777777" w:rsidR="007976D8" w:rsidRDefault="007976D8" w:rsidP="005D3461">
      <w:pPr>
        <w:spacing w:after="0" w:line="240" w:lineRule="auto"/>
      </w:pPr>
      <w:r>
        <w:separator/>
      </w:r>
    </w:p>
  </w:endnote>
  <w:endnote w:type="continuationSeparator" w:id="0">
    <w:p w14:paraId="0367F8D8" w14:textId="77777777" w:rsidR="007976D8" w:rsidRDefault="007976D8" w:rsidP="005D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64941" w14:textId="77777777" w:rsidR="007976D8" w:rsidRDefault="007976D8" w:rsidP="005D3461">
      <w:pPr>
        <w:spacing w:after="0" w:line="240" w:lineRule="auto"/>
      </w:pPr>
      <w:r>
        <w:separator/>
      </w:r>
    </w:p>
  </w:footnote>
  <w:footnote w:type="continuationSeparator" w:id="0">
    <w:p w14:paraId="2961163A" w14:textId="77777777" w:rsidR="007976D8" w:rsidRDefault="007976D8" w:rsidP="005D3461">
      <w:pPr>
        <w:spacing w:after="0" w:line="240" w:lineRule="auto"/>
      </w:pPr>
      <w:r>
        <w:continuationSeparator/>
      </w:r>
    </w:p>
  </w:footnote>
  <w:footnote w:id="1">
    <w:p w14:paraId="62A953A4" w14:textId="77777777" w:rsidR="008432BA" w:rsidRDefault="008432BA" w:rsidP="008432BA">
      <w:pPr>
        <w:pStyle w:val="FootnoteText"/>
      </w:pPr>
      <w:r>
        <w:rPr>
          <w:rStyle w:val="FootnoteReference"/>
        </w:rPr>
        <w:footnoteRef/>
      </w:r>
      <w:r>
        <w:t xml:space="preserve"> Planning and Resources Committee (PRC), June 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671"/>
    <w:multiLevelType w:val="multilevel"/>
    <w:tmpl w:val="47FA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82838"/>
    <w:multiLevelType w:val="hybridMultilevel"/>
    <w:tmpl w:val="3760B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3CA9"/>
    <w:multiLevelType w:val="multilevel"/>
    <w:tmpl w:val="B288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Peet">
    <w15:presenceInfo w15:providerId="AD" w15:userId="S-1-5-21-1715567821-1957994488-725345543-209788"/>
  </w15:person>
  <w15:person w15:author="Mandy Crow">
    <w15:presenceInfo w15:providerId="AD" w15:userId="S-1-5-21-1715567821-1957994488-725345543-16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6A"/>
    <w:rsid w:val="00001081"/>
    <w:rsid w:val="00001984"/>
    <w:rsid w:val="00003E45"/>
    <w:rsid w:val="00006BB7"/>
    <w:rsid w:val="00026B28"/>
    <w:rsid w:val="00031671"/>
    <w:rsid w:val="0004061B"/>
    <w:rsid w:val="00060F59"/>
    <w:rsid w:val="00067A89"/>
    <w:rsid w:val="000826A9"/>
    <w:rsid w:val="0008390F"/>
    <w:rsid w:val="00095BAA"/>
    <w:rsid w:val="000A62BC"/>
    <w:rsid w:val="000B3C3C"/>
    <w:rsid w:val="000D39CB"/>
    <w:rsid w:val="000E23A4"/>
    <w:rsid w:val="001045EB"/>
    <w:rsid w:val="00104871"/>
    <w:rsid w:val="00135CDF"/>
    <w:rsid w:val="001377D8"/>
    <w:rsid w:val="00153003"/>
    <w:rsid w:val="00157827"/>
    <w:rsid w:val="00171122"/>
    <w:rsid w:val="00186984"/>
    <w:rsid w:val="001C2EC5"/>
    <w:rsid w:val="001D0EE4"/>
    <w:rsid w:val="001D3581"/>
    <w:rsid w:val="001E5EAA"/>
    <w:rsid w:val="001E5FAA"/>
    <w:rsid w:val="00213E58"/>
    <w:rsid w:val="00217655"/>
    <w:rsid w:val="00227D3F"/>
    <w:rsid w:val="002524D0"/>
    <w:rsid w:val="00257020"/>
    <w:rsid w:val="002654E0"/>
    <w:rsid w:val="002909A4"/>
    <w:rsid w:val="002C1B8F"/>
    <w:rsid w:val="002C6A78"/>
    <w:rsid w:val="002D0A37"/>
    <w:rsid w:val="002E289D"/>
    <w:rsid w:val="002E54FD"/>
    <w:rsid w:val="00311C79"/>
    <w:rsid w:val="0034006A"/>
    <w:rsid w:val="00356A44"/>
    <w:rsid w:val="00374161"/>
    <w:rsid w:val="003811B7"/>
    <w:rsid w:val="00385EEC"/>
    <w:rsid w:val="00393A52"/>
    <w:rsid w:val="00397FF9"/>
    <w:rsid w:val="003A1A11"/>
    <w:rsid w:val="003A703E"/>
    <w:rsid w:val="003B4F45"/>
    <w:rsid w:val="003D0754"/>
    <w:rsid w:val="003E3A0E"/>
    <w:rsid w:val="003F0A34"/>
    <w:rsid w:val="0042053F"/>
    <w:rsid w:val="00437233"/>
    <w:rsid w:val="004431B2"/>
    <w:rsid w:val="00461CDE"/>
    <w:rsid w:val="004654FE"/>
    <w:rsid w:val="00472CAE"/>
    <w:rsid w:val="004919C4"/>
    <w:rsid w:val="004A20D6"/>
    <w:rsid w:val="004B6F49"/>
    <w:rsid w:val="0050080C"/>
    <w:rsid w:val="005050B4"/>
    <w:rsid w:val="005212C5"/>
    <w:rsid w:val="00523305"/>
    <w:rsid w:val="005306B9"/>
    <w:rsid w:val="00530DA9"/>
    <w:rsid w:val="00543C74"/>
    <w:rsid w:val="00546464"/>
    <w:rsid w:val="00553B8E"/>
    <w:rsid w:val="00572DB3"/>
    <w:rsid w:val="0057305C"/>
    <w:rsid w:val="00580082"/>
    <w:rsid w:val="00591DA7"/>
    <w:rsid w:val="005954C8"/>
    <w:rsid w:val="005A698A"/>
    <w:rsid w:val="005B10CA"/>
    <w:rsid w:val="005C527F"/>
    <w:rsid w:val="005D3461"/>
    <w:rsid w:val="005D5AA7"/>
    <w:rsid w:val="005E55A8"/>
    <w:rsid w:val="005F1D38"/>
    <w:rsid w:val="006103BF"/>
    <w:rsid w:val="00622F96"/>
    <w:rsid w:val="006337B6"/>
    <w:rsid w:val="00641336"/>
    <w:rsid w:val="00644099"/>
    <w:rsid w:val="00644AB5"/>
    <w:rsid w:val="0067454C"/>
    <w:rsid w:val="00693513"/>
    <w:rsid w:val="006A4647"/>
    <w:rsid w:val="006B3A3F"/>
    <w:rsid w:val="006B68E4"/>
    <w:rsid w:val="006C76E1"/>
    <w:rsid w:val="006D502A"/>
    <w:rsid w:val="006E5306"/>
    <w:rsid w:val="006E5EC3"/>
    <w:rsid w:val="00710E32"/>
    <w:rsid w:val="00725669"/>
    <w:rsid w:val="00745723"/>
    <w:rsid w:val="007506CD"/>
    <w:rsid w:val="00751322"/>
    <w:rsid w:val="00770EDD"/>
    <w:rsid w:val="0078034E"/>
    <w:rsid w:val="00783151"/>
    <w:rsid w:val="007902FF"/>
    <w:rsid w:val="007976D8"/>
    <w:rsid w:val="007C12F0"/>
    <w:rsid w:val="007D6B4F"/>
    <w:rsid w:val="007D6BEA"/>
    <w:rsid w:val="007E7B2D"/>
    <w:rsid w:val="0081034C"/>
    <w:rsid w:val="00816909"/>
    <w:rsid w:val="008316C4"/>
    <w:rsid w:val="00833621"/>
    <w:rsid w:val="008432BA"/>
    <w:rsid w:val="00847C54"/>
    <w:rsid w:val="00867010"/>
    <w:rsid w:val="00881C64"/>
    <w:rsid w:val="00896E05"/>
    <w:rsid w:val="008A34AE"/>
    <w:rsid w:val="008B005B"/>
    <w:rsid w:val="008B7294"/>
    <w:rsid w:val="008D0276"/>
    <w:rsid w:val="008D1A0C"/>
    <w:rsid w:val="008D26B7"/>
    <w:rsid w:val="008D3517"/>
    <w:rsid w:val="009033C4"/>
    <w:rsid w:val="00905274"/>
    <w:rsid w:val="00910F2C"/>
    <w:rsid w:val="00932CF6"/>
    <w:rsid w:val="00937144"/>
    <w:rsid w:val="00940921"/>
    <w:rsid w:val="009603A3"/>
    <w:rsid w:val="009668E6"/>
    <w:rsid w:val="00987E18"/>
    <w:rsid w:val="009A6BD7"/>
    <w:rsid w:val="009A739C"/>
    <w:rsid w:val="009B14E9"/>
    <w:rsid w:val="009B20B1"/>
    <w:rsid w:val="009B4369"/>
    <w:rsid w:val="009C0BF4"/>
    <w:rsid w:val="009F175D"/>
    <w:rsid w:val="00A02CEC"/>
    <w:rsid w:val="00A11E77"/>
    <w:rsid w:val="00A32853"/>
    <w:rsid w:val="00A3392C"/>
    <w:rsid w:val="00A5341F"/>
    <w:rsid w:val="00A602A0"/>
    <w:rsid w:val="00A61614"/>
    <w:rsid w:val="00A63BB3"/>
    <w:rsid w:val="00A8157C"/>
    <w:rsid w:val="00A86ED8"/>
    <w:rsid w:val="00A933D3"/>
    <w:rsid w:val="00A968F1"/>
    <w:rsid w:val="00AA0877"/>
    <w:rsid w:val="00AA6452"/>
    <w:rsid w:val="00AB3A33"/>
    <w:rsid w:val="00AB68B4"/>
    <w:rsid w:val="00AC2544"/>
    <w:rsid w:val="00AC53EC"/>
    <w:rsid w:val="00AC5A9A"/>
    <w:rsid w:val="00AF0AD1"/>
    <w:rsid w:val="00B043C6"/>
    <w:rsid w:val="00B2737C"/>
    <w:rsid w:val="00B439D0"/>
    <w:rsid w:val="00B45678"/>
    <w:rsid w:val="00B60DE2"/>
    <w:rsid w:val="00B6151C"/>
    <w:rsid w:val="00B81FE5"/>
    <w:rsid w:val="00B82F72"/>
    <w:rsid w:val="00B842E3"/>
    <w:rsid w:val="00B85FD1"/>
    <w:rsid w:val="00B91C24"/>
    <w:rsid w:val="00BB6C9E"/>
    <w:rsid w:val="00BC14F4"/>
    <w:rsid w:val="00BF1DD8"/>
    <w:rsid w:val="00BF1F26"/>
    <w:rsid w:val="00BF53DB"/>
    <w:rsid w:val="00C0096C"/>
    <w:rsid w:val="00C06D74"/>
    <w:rsid w:val="00C15E00"/>
    <w:rsid w:val="00C31678"/>
    <w:rsid w:val="00C32855"/>
    <w:rsid w:val="00C40588"/>
    <w:rsid w:val="00C434E0"/>
    <w:rsid w:val="00C55351"/>
    <w:rsid w:val="00C711F6"/>
    <w:rsid w:val="00C77445"/>
    <w:rsid w:val="00C912CB"/>
    <w:rsid w:val="00CD3E01"/>
    <w:rsid w:val="00CE32B3"/>
    <w:rsid w:val="00CE7B77"/>
    <w:rsid w:val="00D01789"/>
    <w:rsid w:val="00D03B83"/>
    <w:rsid w:val="00D04C06"/>
    <w:rsid w:val="00D04DB5"/>
    <w:rsid w:val="00D11B3E"/>
    <w:rsid w:val="00D17DF0"/>
    <w:rsid w:val="00D2680D"/>
    <w:rsid w:val="00D7054F"/>
    <w:rsid w:val="00D71E5A"/>
    <w:rsid w:val="00D94066"/>
    <w:rsid w:val="00DA5FDB"/>
    <w:rsid w:val="00DB44CF"/>
    <w:rsid w:val="00DB5A0D"/>
    <w:rsid w:val="00DB661F"/>
    <w:rsid w:val="00DB6A9B"/>
    <w:rsid w:val="00DC0EC5"/>
    <w:rsid w:val="00DC29EC"/>
    <w:rsid w:val="00DC3A76"/>
    <w:rsid w:val="00DC600F"/>
    <w:rsid w:val="00DE6F65"/>
    <w:rsid w:val="00E15138"/>
    <w:rsid w:val="00E155B1"/>
    <w:rsid w:val="00E231E2"/>
    <w:rsid w:val="00E306C0"/>
    <w:rsid w:val="00E6389B"/>
    <w:rsid w:val="00E6797F"/>
    <w:rsid w:val="00E7417C"/>
    <w:rsid w:val="00E87ACF"/>
    <w:rsid w:val="00E91EC7"/>
    <w:rsid w:val="00EA56CC"/>
    <w:rsid w:val="00EC4CF9"/>
    <w:rsid w:val="00ED13C0"/>
    <w:rsid w:val="00EE4380"/>
    <w:rsid w:val="00EE54E2"/>
    <w:rsid w:val="00F03BF2"/>
    <w:rsid w:val="00F17800"/>
    <w:rsid w:val="00F21A8C"/>
    <w:rsid w:val="00F260E5"/>
    <w:rsid w:val="00F5346D"/>
    <w:rsid w:val="00FB172C"/>
    <w:rsid w:val="00FB425D"/>
    <w:rsid w:val="00FB6240"/>
    <w:rsid w:val="00FE1AD6"/>
    <w:rsid w:val="00FE46A5"/>
    <w:rsid w:val="00FE60CE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D8B1"/>
  <w15:chartTrackingRefBased/>
  <w15:docId w15:val="{40902212-3A5C-434A-8C01-AF41AE4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34E0"/>
    <w:rPr>
      <w:b/>
      <w:bCs/>
    </w:rPr>
  </w:style>
  <w:style w:type="character" w:styleId="Hyperlink">
    <w:name w:val="Hyperlink"/>
    <w:basedOn w:val="DefaultParagraphFont"/>
    <w:uiPriority w:val="99"/>
    <w:unhideWhenUsed/>
    <w:rsid w:val="00FE46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E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6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B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133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D34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4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346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0F"/>
  </w:style>
  <w:style w:type="paragraph" w:styleId="Footer">
    <w:name w:val="footer"/>
    <w:basedOn w:val="Normal"/>
    <w:link w:val="FooterChar"/>
    <w:uiPriority w:val="99"/>
    <w:unhideWhenUsed/>
    <w:rsid w:val="00DC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4/relationships/chartEx" Target="charts/chartEx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4/relationships/chartEx" Target="charts/chartEx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-ac-man-ss7\vol7\pso\Projects\Data%20Analysis\Data%20Requests\Mandy%20Crow%20-%20Contextual%20Offers\2019%20Law%20Entrants%20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T:\Projects\Data%20Analysis\Data%20Requests\Mandy%20Crow%20-%20Contextual%20Offers\2019%20Law%20Entrants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T:\Projects\Data%20Analysis\Data%20Requests\Mandy%20Crow%20-%20Contextual%20Offers\2019%20Law%20Entrants.xlsx" TargetMode="External"/><Relationship Id="rId4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03783902012249"/>
          <c:y val="5.0925925925925923E-2"/>
          <c:w val="0.75578627828097689"/>
          <c:h val="0.67476596675415568"/>
        </c:manualLayout>
      </c:layout>
      <c:barChart>
        <c:barDir val="col"/>
        <c:grouping val="stacked"/>
        <c:varyColors val="1"/>
        <c:ser>
          <c:idx val="0"/>
          <c:order val="0"/>
          <c:tx>
            <c:strRef>
              <c:f>Graphs!$D$4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0A2-4FA7-848D-B5548FDC492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0A2-4FA7-848D-B5548FDC492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0A2-4FA7-848D-B5548FDC492A}"/>
              </c:ext>
            </c:extLst>
          </c:dPt>
          <c:cat>
            <c:strRef>
              <c:f>Graphs!$C$5:$C$7</c:f>
              <c:strCache>
                <c:ptCount val="3"/>
                <c:pt idx="0">
                  <c:v>MAP/WP Plus &amp; P2L
(Eligible for a two grade reduction)</c:v>
                </c:pt>
                <c:pt idx="1">
                  <c:v>WP Plus/Pathways to Law (Eligible for a one grade reduction)</c:v>
                </c:pt>
                <c:pt idx="2">
                  <c:v>Standard Entrant</c:v>
                </c:pt>
              </c:strCache>
            </c:strRef>
          </c:cat>
          <c:val>
            <c:numRef>
              <c:f>Graphs!$D$5:$D$7</c:f>
              <c:numCache>
                <c:formatCode>General</c:formatCode>
                <c:ptCount val="3"/>
                <c:pt idx="0">
                  <c:v>14</c:v>
                </c:pt>
                <c:pt idx="1">
                  <c:v>33</c:v>
                </c:pt>
                <c:pt idx="2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A2-4FA7-848D-B5548FDC49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595017080"/>
        <c:axId val="595021344"/>
      </c:barChart>
      <c:catAx>
        <c:axId val="595017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2019</a:t>
                </a:r>
                <a:r>
                  <a:rPr lang="en-GB" baseline="0"/>
                  <a:t> Entrants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47743538320757922"/>
              <c:y val="0.922836468358121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5021344"/>
        <c:crosses val="autoZero"/>
        <c:auto val="1"/>
        <c:lblAlgn val="ctr"/>
        <c:lblOffset val="100"/>
        <c:noMultiLvlLbl val="0"/>
      </c:catAx>
      <c:valAx>
        <c:axId val="59502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No.</a:t>
                </a:r>
                <a:r>
                  <a:rPr lang="en-GB" baseline="0"/>
                  <a:t> of Students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3.0784995625546808E-2"/>
              <c:y val="0.290670020414114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5017080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/>
      </a:pPr>
      <a:endParaRPr lang="en-U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Graphs!$C$69:$C$164</cx:f>
        <cx:lvl ptCount="96" formatCode="General">
          <cx:pt idx="0">69</cx:pt>
          <cx:pt idx="1">69</cx:pt>
          <cx:pt idx="2">68.5</cx:pt>
          <cx:pt idx="3">66.5</cx:pt>
          <cx:pt idx="4">66.5</cx:pt>
          <cx:pt idx="5">66.5</cx:pt>
          <cx:pt idx="6">66.5</cx:pt>
          <cx:pt idx="7">62.5</cx:pt>
          <cx:pt idx="8">61.75</cx:pt>
          <cx:pt idx="9">61.25</cx:pt>
          <cx:pt idx="10">60.5</cx:pt>
          <cx:pt idx="11">59.5</cx:pt>
          <cx:pt idx="12">58.75</cx:pt>
          <cx:pt idx="13">51.75</cx:pt>
        </cx:lvl>
      </cx:numDim>
    </cx:data>
    <cx:data id="1">
      <cx:numDim type="val">
        <cx:f>Graphs!$D$69:$D$164</cx:f>
        <cx:lvl ptCount="96" formatCode="General">
          <cx:pt idx="0">74.25</cx:pt>
          <cx:pt idx="1">70</cx:pt>
          <cx:pt idx="2">69.75</cx:pt>
          <cx:pt idx="3">69.5</cx:pt>
          <cx:pt idx="4">69.25</cx:pt>
          <cx:pt idx="5">67.75</cx:pt>
          <cx:pt idx="6">67.25</cx:pt>
          <cx:pt idx="7">67.25</cx:pt>
          <cx:pt idx="8">65.25</cx:pt>
          <cx:pt idx="9">65.25</cx:pt>
          <cx:pt idx="10">65</cx:pt>
          <cx:pt idx="11">64</cx:pt>
          <cx:pt idx="12">64</cx:pt>
          <cx:pt idx="13">63.5</cx:pt>
          <cx:pt idx="14">63.25</cx:pt>
          <cx:pt idx="15">62</cx:pt>
          <cx:pt idx="16">62</cx:pt>
          <cx:pt idx="17">61.25</cx:pt>
          <cx:pt idx="18">61.25</cx:pt>
          <cx:pt idx="19">61.25</cx:pt>
          <cx:pt idx="20">60.25</cx:pt>
          <cx:pt idx="21">60</cx:pt>
          <cx:pt idx="22">58.75</cx:pt>
          <cx:pt idx="23">57.25</cx:pt>
          <cx:pt idx="24">55</cx:pt>
          <cx:pt idx="25">53.5</cx:pt>
          <cx:pt idx="26">52</cx:pt>
          <cx:pt idx="27">52</cx:pt>
          <cx:pt idx="28">51.5</cx:pt>
          <cx:pt idx="29">50</cx:pt>
          <cx:pt idx="30">49.5</cx:pt>
          <cx:pt idx="31">47</cx:pt>
        </cx:lvl>
      </cx:numDim>
    </cx:data>
    <cx:data id="2">
      <cx:numDim type="val">
        <cx:f>Graphs!$E$69:$E$164</cx:f>
        <cx:lvl ptCount="96" formatCode="General">
          <cx:pt idx="0">76.75</cx:pt>
          <cx:pt idx="1">76.75</cx:pt>
          <cx:pt idx="2">75.75</cx:pt>
          <cx:pt idx="3">75.5</cx:pt>
          <cx:pt idx="4">75</cx:pt>
          <cx:pt idx="5">75</cx:pt>
          <cx:pt idx="6">75</cx:pt>
          <cx:pt idx="7">74.75</cx:pt>
          <cx:pt idx="8">74.25</cx:pt>
          <cx:pt idx="9">74</cx:pt>
          <cx:pt idx="10">73.25</cx:pt>
          <cx:pt idx="11">73</cx:pt>
          <cx:pt idx="12">72.75</cx:pt>
          <cx:pt idx="13">72.25</cx:pt>
          <cx:pt idx="14">72</cx:pt>
          <cx:pt idx="15">72</cx:pt>
          <cx:pt idx="16">72</cx:pt>
          <cx:pt idx="17">71.5</cx:pt>
          <cx:pt idx="18">71.5</cx:pt>
          <cx:pt idx="19">71.25</cx:pt>
          <cx:pt idx="20">71</cx:pt>
          <cx:pt idx="21">71</cx:pt>
          <cx:pt idx="22">70.5</cx:pt>
          <cx:pt idx="23">70.5</cx:pt>
          <cx:pt idx="24">70.25</cx:pt>
          <cx:pt idx="25">70.25</cx:pt>
          <cx:pt idx="26">70</cx:pt>
          <cx:pt idx="27">69.75</cx:pt>
          <cx:pt idx="28">69.75</cx:pt>
          <cx:pt idx="29">69.5</cx:pt>
          <cx:pt idx="30">69.25</cx:pt>
          <cx:pt idx="31">69.25</cx:pt>
          <cx:pt idx="32">69.25</cx:pt>
          <cx:pt idx="33">69</cx:pt>
          <cx:pt idx="34">68.75</cx:pt>
          <cx:pt idx="35">68.75</cx:pt>
          <cx:pt idx="36">68.25</cx:pt>
          <cx:pt idx="37">68.25</cx:pt>
          <cx:pt idx="38">68.25</cx:pt>
          <cx:pt idx="39">68</cx:pt>
          <cx:pt idx="40">68</cx:pt>
          <cx:pt idx="41">67.75</cx:pt>
          <cx:pt idx="42">67.5</cx:pt>
          <cx:pt idx="43">67.25</cx:pt>
          <cx:pt idx="44">67.25</cx:pt>
          <cx:pt idx="45">67</cx:pt>
          <cx:pt idx="46">66.75</cx:pt>
          <cx:pt idx="47">66.5</cx:pt>
          <cx:pt idx="48">66.5</cx:pt>
          <cx:pt idx="49">66</cx:pt>
          <cx:pt idx="50">66</cx:pt>
          <cx:pt idx="51">65.75</cx:pt>
          <cx:pt idx="52">65.75</cx:pt>
          <cx:pt idx="53">65.75</cx:pt>
          <cx:pt idx="54">65.25</cx:pt>
          <cx:pt idx="55">64.75</cx:pt>
          <cx:pt idx="56">64.75</cx:pt>
          <cx:pt idx="57">64.5</cx:pt>
          <cx:pt idx="58">64.5</cx:pt>
          <cx:pt idx="59">64.25</cx:pt>
          <cx:pt idx="60">64.25</cx:pt>
          <cx:pt idx="61">63.75</cx:pt>
          <cx:pt idx="62">63.5</cx:pt>
          <cx:pt idx="63">63.5</cx:pt>
          <cx:pt idx="64">63.25</cx:pt>
          <cx:pt idx="65">62.75</cx:pt>
          <cx:pt idx="66">62.75</cx:pt>
          <cx:pt idx="67">62.5</cx:pt>
          <cx:pt idx="68">62.5</cx:pt>
          <cx:pt idx="69">61.75</cx:pt>
          <cx:pt idx="70">61.75</cx:pt>
          <cx:pt idx="71">61.75</cx:pt>
          <cx:pt idx="72">61.25</cx:pt>
          <cx:pt idx="73">60.75</cx:pt>
          <cx:pt idx="74">60.5</cx:pt>
          <cx:pt idx="75">60.25</cx:pt>
          <cx:pt idx="76">60.25</cx:pt>
          <cx:pt idx="77">60</cx:pt>
          <cx:pt idx="78">59.75</cx:pt>
          <cx:pt idx="79">59.5</cx:pt>
          <cx:pt idx="80">59.25</cx:pt>
          <cx:pt idx="81">59.25</cx:pt>
          <cx:pt idx="82">58.75</cx:pt>
          <cx:pt idx="83">57.5</cx:pt>
          <cx:pt idx="84">57.5</cx:pt>
          <cx:pt idx="85">56.75</cx:pt>
          <cx:pt idx="86">56.25</cx:pt>
          <cx:pt idx="87">55.75</cx:pt>
          <cx:pt idx="88">55.75</cx:pt>
          <cx:pt idx="89">55.25</cx:pt>
          <cx:pt idx="90">54</cx:pt>
          <cx:pt idx="91">53.75</cx:pt>
          <cx:pt idx="92">52.25</cx:pt>
          <cx:pt idx="93">51.75</cx:pt>
          <cx:pt idx="94">50</cx:pt>
          <cx:pt idx="95">45.332999999999998</cx:pt>
        </cx:lvl>
      </cx:numDim>
    </cx:data>
  </cx:chartData>
  <cx:chart>
    <cx:plotArea>
      <cx:plotAreaRegion>
        <cx:series layoutId="boxWhisker" uniqueId="{89BB94AA-B951-4E52-B5D2-0170010AF82A}">
          <cx:tx>
            <cx:txData>
              <cx:f>Graphs!$C$68</cx:f>
              <cx:v>MAP/WP Plus &amp; P2L</cx:v>
            </cx:txData>
          </cx:tx>
          <cx:dataId val="0"/>
          <cx:layoutPr>
            <cx:statistics quartileMethod="exclusive"/>
          </cx:layoutPr>
        </cx:series>
        <cx:series layoutId="boxWhisker" uniqueId="{253C0159-E616-4916-A533-8E3473FBC051}">
          <cx:tx>
            <cx:txData>
              <cx:f>Graphs!$D$68</cx:f>
              <cx:v>WP Plus/Pathways to Law</cx:v>
            </cx:txData>
          </cx:tx>
          <cx:dataId val="1"/>
          <cx:layoutPr>
            <cx:statistics quartileMethod="exclusive"/>
          </cx:layoutPr>
        </cx:series>
        <cx:series layoutId="boxWhisker" uniqueId="{4BA44D9D-9712-472E-920B-290D70CD9C0E}">
          <cx:tx>
            <cx:txData>
              <cx:f>Graphs!$E$68</cx:f>
              <cx:v>Standard Entrant</cx:v>
            </cx:txData>
          </cx:tx>
          <cx:spPr>
            <a:solidFill>
              <a:schemeClr val="accent6">
                <a:lumMod val="60000"/>
                <a:lumOff val="40000"/>
              </a:schemeClr>
            </a:solidFill>
          </cx:spPr>
          <cx:dataId val="2"/>
          <cx:layoutPr>
            <cx:statistics quartileMethod="exclusive"/>
          </cx:layoutPr>
        </cx:series>
      </cx:plotAreaRegion>
      <cx:axis id="0" hidden="1">
        <cx:catScaling gapWidth="0.200000003"/>
        <cx:tickLabels/>
      </cx:axis>
      <cx:axis id="1">
        <cx:valScaling min="40"/>
        <cx:title>
          <cx:tx>
            <cx:rich>
              <a:bodyPr spcFirstLastPara="1" vertOverflow="ellipsis" wrap="square" lIns="0" tIns="0" rIns="0" bIns="0" anchor="ctr" anchorCtr="1"/>
              <a:lstStyle/>
              <a:p>
                <a:pPr algn="ctr">
                  <a:defRPr lang="en-US" sz="800" b="0" i="0" u="none" strike="noStrike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Calibri" panose="020F0502020204030204"/>
                  </a:defRPr>
                </a:pPr>
                <a:r>
                  <a:rPr lang="en-US" sz="800" b="0"/>
                  <a:t>1st Year Attainment</a:t>
                </a:r>
              </a:p>
            </cx:rich>
          </cx:tx>
        </cx:title>
        <cx:majorGridlines/>
        <cx:tickLabels/>
        <cx:txPr>
          <a:bodyPr rot="-60000000" spcFirstLastPara="1" vertOverflow="ellipsis" vert="horz" wrap="square" lIns="0" tIns="0" rIns="0" bIns="0" anchor="ctr" anchorCtr="1"/>
          <a:lstStyle/>
          <a:p>
            <a:pPr>
              <a:defRPr lang="en-US" sz="8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/>
              </a:defRPr>
            </a:pPr>
            <a:endParaRPr lang="en-US" sz="800" b="1"/>
          </a:p>
        </cx:txPr>
      </cx:axis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Graphs!$C$170:$C$242</cx:f>
        <cx:lvl ptCount="73" formatCode="General">
          <cx:pt idx="0">66.5</cx:pt>
          <cx:pt idx="1">66.5</cx:pt>
          <cx:pt idx="2">69</cx:pt>
          <cx:pt idx="3">69</cx:pt>
          <cx:pt idx="4">51.75</cx:pt>
          <cx:pt idx="5">62.5</cx:pt>
          <cx:pt idx="6">60.5</cx:pt>
          <cx:pt idx="7">61.25</cx:pt>
          <cx:pt idx="8">66.5</cx:pt>
          <cx:pt idx="9">66.5</cx:pt>
          <cx:pt idx="10">61.75</cx:pt>
          <cx:pt idx="11">59.5</cx:pt>
          <cx:pt idx="12">68.5</cx:pt>
        </cx:lvl>
      </cx:numDim>
    </cx:data>
    <cx:data id="1">
      <cx:numDim type="val">
        <cx:f>Graphs!$D$170:$D$242</cx:f>
        <cx:lvl ptCount="73" formatCode="General">
          <cx:pt idx="0">60.25</cx:pt>
          <cx:pt idx="1">69.25</cx:pt>
          <cx:pt idx="2">60</cx:pt>
          <cx:pt idx="3">74.25</cx:pt>
          <cx:pt idx="4">67.75</cx:pt>
          <cx:pt idx="5">67.25</cx:pt>
          <cx:pt idx="6">63.5</cx:pt>
          <cx:pt idx="7">67.25</cx:pt>
          <cx:pt idx="8">65.25</cx:pt>
          <cx:pt idx="9">69.75</cx:pt>
          <cx:pt idx="10">65</cx:pt>
          <cx:pt idx="11">63.25</cx:pt>
          <cx:pt idx="12">57.25</cx:pt>
          <cx:pt idx="13">61.25</cx:pt>
          <cx:pt idx="14">69.5</cx:pt>
          <cx:pt idx="15">61.25</cx:pt>
          <cx:pt idx="16">70</cx:pt>
          <cx:pt idx="17">65.25</cx:pt>
        </cx:lvl>
      </cx:numDim>
    </cx:data>
    <cx:data id="2">
      <cx:numDim type="val">
        <cx:f>Graphs!$E$170:$E$242</cx:f>
        <cx:lvl ptCount="73" formatCode="General">
          <cx:pt idx="0">59.25</cx:pt>
          <cx:pt idx="1">70.25</cx:pt>
          <cx:pt idx="2">64.25</cx:pt>
          <cx:pt idx="3">66.75</cx:pt>
          <cx:pt idx="4">63.5</cx:pt>
          <cx:pt idx="5">70</cx:pt>
          <cx:pt idx="6">60</cx:pt>
          <cx:pt idx="7">63.5</cx:pt>
          <cx:pt idx="8">68.25</cx:pt>
          <cx:pt idx="9">69.5</cx:pt>
          <cx:pt idx="10">66.5</cx:pt>
          <cx:pt idx="11">57.5</cx:pt>
          <cx:pt idx="12">65.25</cx:pt>
          <cx:pt idx="13">66</cx:pt>
          <cx:pt idx="14">72</cx:pt>
          <cx:pt idx="15">69</cx:pt>
          <cx:pt idx="16">66.5</cx:pt>
          <cx:pt idx="17">71.5</cx:pt>
          <cx:pt idx="18">64.75</cx:pt>
          <cx:pt idx="19">63.25</cx:pt>
          <cx:pt idx="20">68.25</cx:pt>
          <cx:pt idx="21">68</cx:pt>
          <cx:pt idx="22">61.25</cx:pt>
          <cx:pt idx="23">72.25</cx:pt>
          <cx:pt idx="24">67</cx:pt>
          <cx:pt idx="25">76.75</cx:pt>
          <cx:pt idx="26">69.75</cx:pt>
          <cx:pt idx="27">67.25</cx:pt>
          <cx:pt idx="28">68.25</cx:pt>
          <cx:pt idx="29">70.5</cx:pt>
          <cx:pt idx="30">64.5</cx:pt>
          <cx:pt idx="31">55.25</cx:pt>
          <cx:pt idx="32">61.75</cx:pt>
          <cx:pt idx="33">64.75</cx:pt>
          <cx:pt idx="34">69.75</cx:pt>
          <cx:pt idx="35">75</cx:pt>
          <cx:pt idx="36">73.25</cx:pt>
          <cx:pt idx="37">64.5</cx:pt>
          <cx:pt idx="38">69.25</cx:pt>
          <cx:pt idx="39">74.75</cx:pt>
          <cx:pt idx="40">73</cx:pt>
          <cx:pt idx="41">76.75</cx:pt>
          <cx:pt idx="42">74.25</cx:pt>
          <cx:pt idx="43">71.25</cx:pt>
          <cx:pt idx="44">66</cx:pt>
          <cx:pt idx="45">70.25</cx:pt>
          <cx:pt idx="46">75.75</cx:pt>
          <cx:pt idx="47">54</cx:pt>
          <cx:pt idx="48">68</cx:pt>
          <cx:pt idx="49">71</cx:pt>
          <cx:pt idx="50">50</cx:pt>
          <cx:pt idx="51">56.75</cx:pt>
          <cx:pt idx="52">62.75</cx:pt>
          <cx:pt idx="53">59.25</cx:pt>
          <cx:pt idx="54">58.75</cx:pt>
          <cx:pt idx="55">67.5</cx:pt>
          <cx:pt idx="56">74</cx:pt>
          <cx:pt idx="57">63.75</cx:pt>
          <cx:pt idx="58">60.5</cx:pt>
          <cx:pt idx="59">67.25</cx:pt>
          <cx:pt idx="60">57.5</cx:pt>
          <cx:pt idx="61">60.25</cx:pt>
          <cx:pt idx="62">75</cx:pt>
          <cx:pt idx="63">61.75</cx:pt>
          <cx:pt idx="64">72.75</cx:pt>
          <cx:pt idx="65">69.25</cx:pt>
          <cx:pt idx="66">71.5</cx:pt>
          <cx:pt idx="67">62.5</cx:pt>
          <cx:pt idx="68">67.75</cx:pt>
          <cx:pt idx="69">75.5</cx:pt>
          <cx:pt idx="70">65.75</cx:pt>
          <cx:pt idx="71">56.25</cx:pt>
          <cx:pt idx="72">68.75</cx:pt>
        </cx:lvl>
      </cx:numDim>
    </cx:data>
  </cx:chartData>
  <cx:chart>
    <cx:plotArea>
      <cx:plotAreaRegion>
        <cx:series layoutId="boxWhisker" uniqueId="{DFEB12F8-F3F8-4C37-9DB8-AA032A82304A}">
          <cx:tx>
            <cx:txData>
              <cx:f>Graphs!$C$169</cx:f>
              <cx:v>MAP/WP Plus &amp; P2L</cx:v>
            </cx:txData>
          </cx:tx>
          <cx:dataId val="0"/>
          <cx:layoutPr>
            <cx:statistics quartileMethod="exclusive"/>
          </cx:layoutPr>
        </cx:series>
        <cx:series layoutId="boxWhisker" uniqueId="{CB986D6A-C911-42E6-9630-19D123D0F824}">
          <cx:tx>
            <cx:txData>
              <cx:f>Graphs!$D$169</cx:f>
              <cx:v>WP Plus/P2L</cx:v>
            </cx:txData>
          </cx:tx>
          <cx:dataId val="1"/>
          <cx:layoutPr>
            <cx:statistics quartileMethod="exclusive"/>
          </cx:layoutPr>
        </cx:series>
        <cx:series layoutId="boxWhisker" uniqueId="{3843857D-107A-4126-95B1-1ADD009912C9}">
          <cx:tx>
            <cx:txData>
              <cx:f>Graphs!$E$169</cx:f>
              <cx:v>Standard Entrant</cx:v>
            </cx:txData>
          </cx:tx>
          <cx:spPr>
            <a:solidFill>
              <a:schemeClr val="accent6">
                <a:lumMod val="60000"/>
                <a:lumOff val="40000"/>
              </a:schemeClr>
            </a:solidFill>
          </cx:spPr>
          <cx:dataId val="2"/>
          <cx:layoutPr>
            <cx:statistics quartileMethod="exclusive"/>
          </cx:layoutPr>
        </cx:series>
      </cx:plotAreaRegion>
      <cx:axis id="0" hidden="1">
        <cx:catScaling gapWidth="0.200000003"/>
        <cx:tickLabels/>
      </cx:axis>
      <cx:axis id="1">
        <cx:valScaling min="40"/>
        <cx:title>
          <cx:tx>
            <cx:rich>
              <a:bodyPr spcFirstLastPara="1" vertOverflow="ellipsis" wrap="square" lIns="0" tIns="0" rIns="0" bIns="0" anchor="ctr" anchorCtr="1"/>
              <a:lstStyle/>
              <a:p>
                <a:pPr algn="ctr">
                  <a:defRPr lang="en-US" sz="800" b="0" i="0" u="none" strike="noStrike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Calibri" panose="020F0502020204030204"/>
                  </a:defRPr>
                </a:pPr>
                <a:r>
                  <a:rPr lang="en-US" sz="800" b="0"/>
                  <a:t>1st Year Attainment</a:t>
                </a:r>
              </a:p>
            </cx:rich>
          </cx:tx>
        </cx:title>
        <cx:majorGridlines/>
        <cx:tickLabels/>
        <cx:txPr>
          <a:bodyPr rot="-60000000" spcFirstLastPara="1" vertOverflow="ellipsis" vert="horz" wrap="square" lIns="0" tIns="0" rIns="0" bIns="0" anchor="ctr" anchorCtr="1"/>
          <a:lstStyle/>
          <a:p>
            <a:pPr>
              <a:defRPr lang="en-US" sz="8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/>
              </a:defRPr>
            </a:pPr>
            <a:endParaRPr lang="en-US" sz="800" b="1"/>
          </a:p>
        </cx:txPr>
      </cx:axis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  <cs:bodyPr rot="-60000000" vert="horz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  <cs:bodyPr rot="0" vert="horz"/>
  </cs:title>
  <cs:trendline>
    <cs:lnRef idx="0"/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  <cs:bodyPr rot="-60000000" vert="horz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  <cs:bodyPr rot="-60000000" vert="horz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  <cs:bodyPr rot="0" vert="horz"/>
  </cs:title>
  <cs:trendline>
    <cs:lnRef idx="0"/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  <cs:bodyPr rot="-60000000" vert="horz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888A-ADA2-4B2F-901B-EA13D8DB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Peet</dc:creator>
  <cp:keywords/>
  <dc:description/>
  <cp:lastModifiedBy>Andrew Peet</cp:lastModifiedBy>
  <cp:revision>8</cp:revision>
  <dcterms:created xsi:type="dcterms:W3CDTF">2021-06-30T12:20:00Z</dcterms:created>
  <dcterms:modified xsi:type="dcterms:W3CDTF">2021-07-01T07:59:00Z</dcterms:modified>
</cp:coreProperties>
</file>