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2DE91" w14:textId="5D8C3D18" w:rsidR="00B73F1A" w:rsidRDefault="00B73F1A" w:rsidP="00C93CB7">
      <w:pPr>
        <w:spacing w:after="0"/>
        <w:rPr>
          <w:rFonts w:cs="Arial"/>
          <w:b/>
        </w:rPr>
      </w:pPr>
      <w:r>
        <w:rPr>
          <w:rFonts w:ascii="Verdana" w:hAnsi="Verdana" w:cs="Arial"/>
          <w:noProof/>
          <w:color w:val="7F7F7F"/>
          <w:kern w:val="28"/>
          <w:lang w:eastAsia="en-GB"/>
        </w:rPr>
        <w:drawing>
          <wp:anchor distT="0" distB="0" distL="114300" distR="114300" simplePos="0" relativeHeight="251657728" behindDoc="1" locked="0" layoutInCell="1" allowOverlap="1" wp14:anchorId="7526F300" wp14:editId="1BD8DB78">
            <wp:simplePos x="0" y="0"/>
            <wp:positionH relativeFrom="margin">
              <wp:posOffset>-415291</wp:posOffset>
            </wp:positionH>
            <wp:positionV relativeFrom="paragraph">
              <wp:posOffset>-424815</wp:posOffset>
            </wp:positionV>
            <wp:extent cx="1193223" cy="504825"/>
            <wp:effectExtent l="0" t="0" r="6985" b="0"/>
            <wp:wrapNone/>
            <wp:docPr id="5"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cstate="print"/>
                    <a:srcRect/>
                    <a:stretch>
                      <a:fillRect/>
                    </a:stretch>
                  </pic:blipFill>
                  <pic:spPr bwMode="auto">
                    <a:xfrm>
                      <a:off x="0" y="0"/>
                      <a:ext cx="1195328" cy="505716"/>
                    </a:xfrm>
                    <a:prstGeom prst="rect">
                      <a:avLst/>
                    </a:prstGeom>
                    <a:noFill/>
                  </pic:spPr>
                </pic:pic>
              </a:graphicData>
            </a:graphic>
            <wp14:sizeRelH relativeFrom="margin">
              <wp14:pctWidth>0</wp14:pctWidth>
            </wp14:sizeRelH>
            <wp14:sizeRelV relativeFrom="margin">
              <wp14:pctHeight>0</wp14:pctHeight>
            </wp14:sizeRelV>
          </wp:anchor>
        </w:drawing>
      </w:r>
    </w:p>
    <w:p w14:paraId="5301A0C1" w14:textId="43DBAD18" w:rsidR="00C93CB7" w:rsidRDefault="005E1651" w:rsidP="00C93CB7">
      <w:pPr>
        <w:spacing w:after="0"/>
        <w:rPr>
          <w:rFonts w:cs="Arial"/>
          <w:b/>
        </w:rPr>
      </w:pPr>
      <w:r w:rsidRPr="0024370C">
        <w:rPr>
          <w:rFonts w:cs="Arial"/>
          <w:b/>
        </w:rPr>
        <w:t>Title</w:t>
      </w:r>
      <w:r w:rsidRPr="0024370C">
        <w:rPr>
          <w:rFonts w:cs="Arial"/>
          <w:b/>
        </w:rPr>
        <w:tab/>
      </w:r>
      <w:r>
        <w:rPr>
          <w:rFonts w:cs="Arial"/>
          <w:b/>
        </w:rPr>
        <w:tab/>
      </w:r>
      <w:r>
        <w:rPr>
          <w:rFonts w:cs="Arial"/>
          <w:b/>
        </w:rPr>
        <w:tab/>
      </w:r>
      <w:r w:rsidR="00CE2C52" w:rsidRPr="00CE2C52">
        <w:rPr>
          <w:rFonts w:cs="Arial"/>
        </w:rPr>
        <w:t>Differential offer</w:t>
      </w:r>
      <w:r w:rsidR="00CE2C52">
        <w:rPr>
          <w:rFonts w:cs="Arial"/>
        </w:rPr>
        <w:t xml:space="preserve"> analysis and contextual data evaluation </w:t>
      </w:r>
      <w:r w:rsidR="00CE2C52">
        <w:t xml:space="preserve"> </w:t>
      </w:r>
    </w:p>
    <w:p w14:paraId="0080EDE6" w14:textId="5D740226" w:rsidR="00C73BAF" w:rsidRPr="00C93CB7" w:rsidRDefault="00C73BAF" w:rsidP="00C93CB7">
      <w:pPr>
        <w:spacing w:after="0"/>
        <w:rPr>
          <w:rFonts w:cs="Arial"/>
          <w:b/>
        </w:rPr>
      </w:pPr>
      <w:r w:rsidRPr="00B174DD">
        <w:rPr>
          <w:rFonts w:cs="Arial"/>
          <w:b/>
        </w:rPr>
        <w:t>Circulation</w:t>
      </w:r>
      <w:r w:rsidRPr="0024370C">
        <w:rPr>
          <w:rFonts w:cs="Arial"/>
          <w:b/>
        </w:rPr>
        <w:tab/>
      </w:r>
      <w:r>
        <w:rPr>
          <w:rFonts w:cs="Arial"/>
          <w:b/>
        </w:rPr>
        <w:tab/>
      </w:r>
      <w:r w:rsidR="00A04C9B">
        <w:t>Teaching and Learning Executive Committee</w:t>
      </w:r>
    </w:p>
    <w:p w14:paraId="6D33459A" w14:textId="77777777" w:rsidR="00C73BAF" w:rsidRDefault="00C73BAF" w:rsidP="00CE2C52">
      <w:pPr>
        <w:spacing w:after="0"/>
        <w:ind w:left="-567"/>
        <w:rPr>
          <w:rFonts w:cs="Arial"/>
        </w:rPr>
      </w:pPr>
      <w:r>
        <w:rPr>
          <w:rFonts w:cs="Arial"/>
          <w:b/>
        </w:rPr>
        <w:tab/>
      </w:r>
      <w:r w:rsidRPr="0024370C">
        <w:rPr>
          <w:rFonts w:cs="Arial"/>
          <w:b/>
        </w:rPr>
        <w:t>From</w:t>
      </w:r>
      <w:r w:rsidRPr="0024370C">
        <w:rPr>
          <w:rFonts w:cs="Arial"/>
          <w:b/>
        </w:rPr>
        <w:tab/>
      </w:r>
      <w:r w:rsidRPr="0024370C">
        <w:rPr>
          <w:rFonts w:cs="Arial"/>
          <w:b/>
        </w:rPr>
        <w:tab/>
      </w:r>
      <w:r w:rsidRPr="0024370C">
        <w:rPr>
          <w:rFonts w:cs="Arial"/>
          <w:b/>
        </w:rPr>
        <w:tab/>
      </w:r>
      <w:r w:rsidRPr="0024370C">
        <w:rPr>
          <w:rFonts w:cs="Arial"/>
        </w:rPr>
        <w:t>Stephanie Lee, Head of Widening Participation and Outreach</w:t>
      </w:r>
    </w:p>
    <w:p w14:paraId="630215DD" w14:textId="3DD56E17" w:rsidR="00C73BAF" w:rsidRDefault="00C73BAF" w:rsidP="00C73BAF">
      <w:pPr>
        <w:pStyle w:val="BodyText"/>
        <w:spacing w:line="276" w:lineRule="auto"/>
        <w:ind w:hanging="567"/>
        <w:rPr>
          <w:rFonts w:asciiTheme="minorHAnsi" w:hAnsiTheme="minorHAnsi" w:cs="Arial"/>
          <w:szCs w:val="22"/>
        </w:rPr>
      </w:pPr>
      <w:r>
        <w:rPr>
          <w:rFonts w:asciiTheme="minorHAnsi" w:hAnsiTheme="minorHAnsi" w:cs="Arial"/>
          <w:b/>
          <w:szCs w:val="22"/>
        </w:rPr>
        <w:tab/>
        <w:t>Date</w:t>
      </w:r>
      <w:r w:rsidRPr="0024370C">
        <w:rPr>
          <w:rFonts w:asciiTheme="minorHAnsi" w:hAnsiTheme="minorHAnsi" w:cs="Arial"/>
          <w:b/>
          <w:szCs w:val="22"/>
        </w:rPr>
        <w:t xml:space="preserve">         </w:t>
      </w:r>
      <w:r>
        <w:rPr>
          <w:rFonts w:asciiTheme="minorHAnsi" w:hAnsiTheme="minorHAnsi" w:cs="Arial"/>
          <w:b/>
          <w:szCs w:val="22"/>
        </w:rPr>
        <w:tab/>
      </w:r>
      <w:r>
        <w:rPr>
          <w:rFonts w:asciiTheme="minorHAnsi" w:hAnsiTheme="minorHAnsi" w:cs="Arial"/>
          <w:b/>
          <w:szCs w:val="22"/>
        </w:rPr>
        <w:tab/>
      </w:r>
      <w:r w:rsidR="00A04C9B">
        <w:rPr>
          <w:rFonts w:asciiTheme="minorHAnsi" w:hAnsiTheme="minorHAnsi" w:cs="Arial"/>
          <w:szCs w:val="22"/>
        </w:rPr>
        <w:t>December</w:t>
      </w:r>
      <w:r w:rsidR="00F30757">
        <w:rPr>
          <w:rFonts w:asciiTheme="minorHAnsi" w:hAnsiTheme="minorHAnsi" w:cs="Arial"/>
          <w:szCs w:val="22"/>
        </w:rPr>
        <w:t xml:space="preserve"> </w:t>
      </w:r>
      <w:r>
        <w:rPr>
          <w:rFonts w:asciiTheme="minorHAnsi" w:hAnsiTheme="minorHAnsi" w:cs="Arial"/>
          <w:szCs w:val="22"/>
        </w:rPr>
        <w:t>201</w:t>
      </w:r>
      <w:r w:rsidR="003963D4">
        <w:rPr>
          <w:rFonts w:asciiTheme="minorHAnsi" w:hAnsiTheme="minorHAnsi" w:cs="Arial"/>
          <w:szCs w:val="22"/>
        </w:rPr>
        <w:t>9</w:t>
      </w:r>
    </w:p>
    <w:p w14:paraId="620D9A79" w14:textId="77777777" w:rsidR="00C73BAF" w:rsidRPr="00D61643" w:rsidRDefault="00C73BAF" w:rsidP="003963D4">
      <w:pPr>
        <w:pStyle w:val="BodyText"/>
        <w:spacing w:line="276" w:lineRule="auto"/>
        <w:ind w:left="2160" w:hanging="2160"/>
        <w:rPr>
          <w:rFonts w:asciiTheme="minorHAnsi" w:hAnsiTheme="minorHAnsi" w:cs="Arial"/>
          <w:szCs w:val="22"/>
        </w:rPr>
      </w:pPr>
      <w:r w:rsidRPr="002B0FFC">
        <w:rPr>
          <w:rFonts w:asciiTheme="minorHAnsi" w:hAnsiTheme="minorHAnsi" w:cs="Arial"/>
          <w:b/>
          <w:szCs w:val="22"/>
        </w:rPr>
        <w:t>Summary</w:t>
      </w:r>
      <w:r>
        <w:rPr>
          <w:rFonts w:asciiTheme="minorHAnsi" w:hAnsiTheme="minorHAnsi" w:cs="Arial"/>
          <w:b/>
          <w:szCs w:val="22"/>
        </w:rPr>
        <w:tab/>
      </w:r>
      <w:r w:rsidR="00CE2C52">
        <w:rPr>
          <w:rFonts w:asciiTheme="minorHAnsi" w:hAnsiTheme="minorHAnsi" w:cs="Arial"/>
          <w:szCs w:val="22"/>
        </w:rPr>
        <w:t xml:space="preserve">An analysis of differential offers for 2018 and 2019 entry and qualitative feedback on the University’s 2019 contextual offer process. </w:t>
      </w:r>
      <w:r w:rsidR="00F30757">
        <w:rPr>
          <w:rFonts w:asciiTheme="minorHAnsi" w:hAnsiTheme="minorHAnsi" w:cs="Arial"/>
          <w:szCs w:val="22"/>
        </w:rPr>
        <w:t xml:space="preserve"> </w:t>
      </w:r>
    </w:p>
    <w:p w14:paraId="3EEBEFF8" w14:textId="77777777" w:rsidR="00C73BAF" w:rsidRDefault="00C73BAF" w:rsidP="00C73BAF">
      <w:pPr>
        <w:pStyle w:val="BodyText"/>
        <w:spacing w:line="276" w:lineRule="auto"/>
        <w:ind w:left="-567"/>
        <w:rPr>
          <w:rFonts w:asciiTheme="minorHAnsi" w:eastAsiaTheme="minorEastAsia" w:hAnsiTheme="minorHAnsi" w:cstheme="minorBidi"/>
          <w:szCs w:val="22"/>
          <w:lang w:eastAsia="zh-CN"/>
        </w:rPr>
      </w:pPr>
      <w:r>
        <w:rPr>
          <w:rFonts w:asciiTheme="minorHAnsi" w:eastAsiaTheme="minorEastAsia" w:hAnsiTheme="minorHAnsi" w:cstheme="minorBidi"/>
          <w:b/>
          <w:szCs w:val="22"/>
          <w:lang w:eastAsia="zh-CN"/>
        </w:rPr>
        <w:tab/>
      </w:r>
      <w:r w:rsidRPr="00D61643">
        <w:rPr>
          <w:rFonts w:asciiTheme="minorHAnsi" w:eastAsiaTheme="minorEastAsia" w:hAnsiTheme="minorHAnsi" w:cstheme="minorBidi"/>
          <w:b/>
          <w:szCs w:val="22"/>
          <w:lang w:eastAsia="zh-CN"/>
        </w:rPr>
        <w:t>Action</w:t>
      </w:r>
      <w:r w:rsidRPr="00D61643">
        <w:rPr>
          <w:rFonts w:asciiTheme="minorHAnsi" w:eastAsiaTheme="minorEastAsia" w:hAnsiTheme="minorHAnsi" w:cstheme="minorBidi"/>
          <w:szCs w:val="22"/>
          <w:lang w:eastAsia="zh-CN"/>
        </w:rPr>
        <w:tab/>
      </w:r>
      <w:r>
        <w:rPr>
          <w:rFonts w:asciiTheme="minorHAnsi" w:eastAsiaTheme="minorEastAsia" w:hAnsiTheme="minorHAnsi" w:cstheme="minorBidi"/>
          <w:szCs w:val="22"/>
          <w:lang w:eastAsia="zh-CN"/>
        </w:rPr>
        <w:tab/>
      </w:r>
      <w:r>
        <w:rPr>
          <w:rFonts w:asciiTheme="minorHAnsi" w:eastAsiaTheme="minorEastAsia" w:hAnsiTheme="minorHAnsi" w:cstheme="minorBidi"/>
          <w:szCs w:val="22"/>
          <w:lang w:eastAsia="zh-CN"/>
        </w:rPr>
        <w:tab/>
      </w:r>
      <w:r w:rsidR="00624529">
        <w:rPr>
          <w:rFonts w:asciiTheme="minorHAnsi" w:eastAsiaTheme="minorEastAsia" w:hAnsiTheme="minorHAnsi" w:cstheme="minorBidi"/>
          <w:szCs w:val="22"/>
          <w:lang w:eastAsia="zh-CN"/>
        </w:rPr>
        <w:t>For</w:t>
      </w:r>
      <w:r w:rsidR="00F30757">
        <w:rPr>
          <w:rFonts w:asciiTheme="minorHAnsi" w:eastAsiaTheme="minorEastAsia" w:hAnsiTheme="minorHAnsi" w:cstheme="minorBidi"/>
          <w:szCs w:val="22"/>
          <w:lang w:eastAsia="zh-CN"/>
        </w:rPr>
        <w:t xml:space="preserve"> discussion </w:t>
      </w:r>
      <w:r w:rsidR="00F662AF">
        <w:rPr>
          <w:rFonts w:asciiTheme="minorHAnsi" w:eastAsiaTheme="minorEastAsia" w:hAnsiTheme="minorHAnsi" w:cstheme="minorBidi"/>
          <w:szCs w:val="22"/>
          <w:lang w:eastAsia="zh-CN"/>
        </w:rPr>
        <w:t xml:space="preserve"> </w:t>
      </w:r>
    </w:p>
    <w:p w14:paraId="7C61D907" w14:textId="77777777" w:rsidR="00633DEF" w:rsidRDefault="00633DEF" w:rsidP="00C73BAF">
      <w:pPr>
        <w:pStyle w:val="BodyText"/>
        <w:spacing w:line="276" w:lineRule="auto"/>
        <w:ind w:left="-567"/>
        <w:rPr>
          <w:rFonts w:asciiTheme="minorHAnsi" w:eastAsiaTheme="minorEastAsia" w:hAnsiTheme="minorHAnsi" w:cstheme="minorBidi"/>
          <w:szCs w:val="22"/>
          <w:lang w:eastAsia="zh-CN"/>
        </w:rPr>
      </w:pPr>
    </w:p>
    <w:p w14:paraId="50CFDCE0" w14:textId="77777777" w:rsidR="00624529" w:rsidRDefault="00CE2C52" w:rsidP="00D770D5">
      <w:pPr>
        <w:numPr>
          <w:ilvl w:val="0"/>
          <w:numId w:val="1"/>
        </w:numPr>
        <w:spacing w:after="0"/>
        <w:ind w:left="0" w:hanging="567"/>
        <w:rPr>
          <w:rFonts w:cs="Arial"/>
        </w:rPr>
      </w:pPr>
      <w:r>
        <w:rPr>
          <w:rFonts w:cs="Arial"/>
          <w:b/>
        </w:rPr>
        <w:t xml:space="preserve">Differential offer-making </w:t>
      </w:r>
      <w:r w:rsidR="00D770D5">
        <w:rPr>
          <w:rFonts w:cs="Arial"/>
          <w:b/>
        </w:rPr>
        <w:t xml:space="preserve">analysis </w:t>
      </w:r>
    </w:p>
    <w:p w14:paraId="5159569D" w14:textId="77777777" w:rsidR="00624529" w:rsidRDefault="00624529" w:rsidP="00624529">
      <w:pPr>
        <w:spacing w:after="0"/>
        <w:rPr>
          <w:rFonts w:cs="Arial"/>
        </w:rPr>
      </w:pPr>
    </w:p>
    <w:p w14:paraId="6B5CABAF" w14:textId="77777777" w:rsidR="00CE2C52" w:rsidRDefault="00624529" w:rsidP="00CE2C52">
      <w:pPr>
        <w:pStyle w:val="BodyText"/>
        <w:spacing w:line="276" w:lineRule="auto"/>
        <w:ind w:hanging="567"/>
        <w:rPr>
          <w:rFonts w:asciiTheme="minorHAnsi" w:eastAsiaTheme="minorHAnsi" w:hAnsiTheme="minorHAnsi" w:cs="Arial"/>
          <w:szCs w:val="22"/>
        </w:rPr>
      </w:pPr>
      <w:r w:rsidRPr="00F30757">
        <w:rPr>
          <w:rFonts w:asciiTheme="minorHAnsi" w:eastAsiaTheme="minorHAnsi" w:hAnsiTheme="minorHAnsi" w:cs="Arial"/>
          <w:szCs w:val="22"/>
        </w:rPr>
        <w:t>1.1</w:t>
      </w:r>
      <w:r w:rsidRPr="00F30757">
        <w:rPr>
          <w:rFonts w:asciiTheme="minorHAnsi" w:eastAsiaTheme="minorHAnsi" w:hAnsiTheme="minorHAnsi" w:cs="Arial"/>
          <w:szCs w:val="22"/>
        </w:rPr>
        <w:tab/>
      </w:r>
      <w:r w:rsidR="00CE2C52">
        <w:rPr>
          <w:rFonts w:asciiTheme="minorHAnsi" w:eastAsiaTheme="minorHAnsi" w:hAnsiTheme="minorHAnsi" w:cs="Arial"/>
          <w:szCs w:val="22"/>
        </w:rPr>
        <w:t>The University introduced contextual offer-making for students</w:t>
      </w:r>
      <w:r w:rsidR="00D770D5">
        <w:rPr>
          <w:rFonts w:asciiTheme="minorHAnsi" w:eastAsiaTheme="minorHAnsi" w:hAnsiTheme="minorHAnsi" w:cs="Arial"/>
          <w:szCs w:val="22"/>
        </w:rPr>
        <w:t xml:space="preserve"> flagged as WP+</w:t>
      </w:r>
      <w:r w:rsidR="00CE2C52">
        <w:rPr>
          <w:rFonts w:asciiTheme="minorHAnsi" w:eastAsiaTheme="minorHAnsi" w:hAnsiTheme="minorHAnsi" w:cs="Arial"/>
          <w:szCs w:val="22"/>
        </w:rPr>
        <w:t xml:space="preserve"> for 2019 entry, reducing offers for eligible students by </w:t>
      </w:r>
      <w:r w:rsidR="00D770D5">
        <w:rPr>
          <w:rFonts w:asciiTheme="minorHAnsi" w:eastAsiaTheme="minorHAnsi" w:hAnsiTheme="minorHAnsi" w:cs="Arial"/>
          <w:szCs w:val="22"/>
        </w:rPr>
        <w:t>one</w:t>
      </w:r>
      <w:r w:rsidR="00CE2C52">
        <w:rPr>
          <w:rFonts w:asciiTheme="minorHAnsi" w:eastAsiaTheme="minorHAnsi" w:hAnsiTheme="minorHAnsi" w:cs="Arial"/>
          <w:szCs w:val="22"/>
        </w:rPr>
        <w:t xml:space="preserve"> grade. Whilst this increased the proportion of WP</w:t>
      </w:r>
      <w:r w:rsidR="00D770D5">
        <w:rPr>
          <w:rFonts w:asciiTheme="minorHAnsi" w:eastAsiaTheme="minorHAnsi" w:hAnsiTheme="minorHAnsi" w:cs="Arial"/>
          <w:szCs w:val="22"/>
        </w:rPr>
        <w:t>+</w:t>
      </w:r>
      <w:r w:rsidR="00CE2C52">
        <w:rPr>
          <w:rFonts w:asciiTheme="minorHAnsi" w:eastAsiaTheme="minorHAnsi" w:hAnsiTheme="minorHAnsi" w:cs="Arial"/>
          <w:szCs w:val="22"/>
        </w:rPr>
        <w:t xml:space="preserve"> students being made offers</w:t>
      </w:r>
      <w:r w:rsidR="006F5C18">
        <w:rPr>
          <w:rFonts w:asciiTheme="minorHAnsi" w:eastAsiaTheme="minorHAnsi" w:hAnsiTheme="minorHAnsi" w:cs="Arial"/>
          <w:szCs w:val="22"/>
        </w:rPr>
        <w:t xml:space="preserve"> (15.9% of CF offer holders were flagged as WP+ in 2019 compared with 14.6% in 2018)</w:t>
      </w:r>
      <w:r w:rsidR="00CE2C52">
        <w:rPr>
          <w:rFonts w:asciiTheme="minorHAnsi" w:eastAsiaTheme="minorHAnsi" w:hAnsiTheme="minorHAnsi" w:cs="Arial"/>
          <w:szCs w:val="22"/>
        </w:rPr>
        <w:t xml:space="preserve">, it did not made a significant difference to the proportion of WP students being accepted into the University for 2019 </w:t>
      </w:r>
      <w:proofErr w:type="gramStart"/>
      <w:r w:rsidR="00CE2C52">
        <w:rPr>
          <w:rFonts w:asciiTheme="minorHAnsi" w:eastAsiaTheme="minorHAnsi" w:hAnsiTheme="minorHAnsi" w:cs="Arial"/>
          <w:szCs w:val="22"/>
        </w:rPr>
        <w:t>entry</w:t>
      </w:r>
      <w:proofErr w:type="gramEnd"/>
      <w:r w:rsidR="00CE2C52">
        <w:rPr>
          <w:rFonts w:asciiTheme="minorHAnsi" w:eastAsiaTheme="minorHAnsi" w:hAnsiTheme="minorHAnsi" w:cs="Arial"/>
          <w:szCs w:val="22"/>
        </w:rPr>
        <w:t>. Further analysis shows that around 60 more WP</w:t>
      </w:r>
      <w:r w:rsidR="00D770D5">
        <w:rPr>
          <w:rFonts w:asciiTheme="minorHAnsi" w:eastAsiaTheme="minorHAnsi" w:hAnsiTheme="minorHAnsi" w:cs="Arial"/>
          <w:szCs w:val="22"/>
        </w:rPr>
        <w:t>+</w:t>
      </w:r>
      <w:r w:rsidR="00CE2C52">
        <w:rPr>
          <w:rFonts w:asciiTheme="minorHAnsi" w:eastAsiaTheme="minorHAnsi" w:hAnsiTheme="minorHAnsi" w:cs="Arial"/>
          <w:szCs w:val="22"/>
        </w:rPr>
        <w:t xml:space="preserve"> students could have entered the University if they had been admitted with a further one grade drop. Admitting students with a further two grade drop would have resulted in around 100 more WP</w:t>
      </w:r>
      <w:r w:rsidR="00D770D5">
        <w:rPr>
          <w:rFonts w:asciiTheme="minorHAnsi" w:eastAsiaTheme="minorHAnsi" w:hAnsiTheme="minorHAnsi" w:cs="Arial"/>
          <w:szCs w:val="22"/>
        </w:rPr>
        <w:t>+</w:t>
      </w:r>
      <w:r w:rsidR="00CE2C52">
        <w:rPr>
          <w:rFonts w:asciiTheme="minorHAnsi" w:eastAsiaTheme="minorHAnsi" w:hAnsiTheme="minorHAnsi" w:cs="Arial"/>
          <w:szCs w:val="22"/>
        </w:rPr>
        <w:t xml:space="preserve"> students being accepted. This additional flexibility would therefore have made substantial progress towards our access target where we need to be admitting an additional 282 students by 2024/25.</w:t>
      </w:r>
      <w:r w:rsidR="00CE2C52">
        <w:rPr>
          <w:rStyle w:val="FootnoteReference"/>
          <w:rFonts w:asciiTheme="minorHAnsi" w:eastAsiaTheme="minorHAnsi" w:hAnsiTheme="minorHAnsi" w:cs="Arial"/>
          <w:szCs w:val="22"/>
        </w:rPr>
        <w:footnoteReference w:id="1"/>
      </w:r>
      <w:r w:rsidR="00CE2C52">
        <w:rPr>
          <w:rFonts w:asciiTheme="minorHAnsi" w:eastAsiaTheme="minorHAnsi" w:hAnsiTheme="minorHAnsi" w:cs="Arial"/>
          <w:szCs w:val="22"/>
        </w:rPr>
        <w:t xml:space="preserve"> </w:t>
      </w:r>
    </w:p>
    <w:p w14:paraId="5D3352EE" w14:textId="77777777" w:rsidR="00CE2C52" w:rsidRDefault="00CE2C52" w:rsidP="00CE2C52">
      <w:pPr>
        <w:pStyle w:val="BodyText"/>
        <w:spacing w:line="276" w:lineRule="auto"/>
        <w:ind w:hanging="567"/>
        <w:rPr>
          <w:rFonts w:asciiTheme="minorHAnsi" w:eastAsiaTheme="minorHAnsi" w:hAnsiTheme="minorHAnsi" w:cs="Arial"/>
          <w:szCs w:val="22"/>
        </w:rPr>
      </w:pPr>
    </w:p>
    <w:p w14:paraId="15016621" w14:textId="53EECF2D" w:rsidR="00CE2C52" w:rsidRDefault="00CE2C52" w:rsidP="00CE2C52">
      <w:pPr>
        <w:pStyle w:val="BodyText"/>
        <w:spacing w:line="276" w:lineRule="auto"/>
        <w:ind w:hanging="567"/>
        <w:rPr>
          <w:rFonts w:asciiTheme="minorHAnsi" w:eastAsiaTheme="minorHAnsi" w:hAnsiTheme="minorHAnsi" w:cs="Arial"/>
          <w:szCs w:val="22"/>
        </w:rPr>
      </w:pPr>
      <w:r>
        <w:rPr>
          <w:rFonts w:asciiTheme="minorHAnsi" w:eastAsiaTheme="minorHAnsi" w:hAnsiTheme="minorHAnsi" w:cs="Arial"/>
          <w:szCs w:val="22"/>
        </w:rPr>
        <w:t>1.2</w:t>
      </w:r>
      <w:r>
        <w:rPr>
          <w:rFonts w:asciiTheme="minorHAnsi" w:eastAsiaTheme="minorHAnsi" w:hAnsiTheme="minorHAnsi" w:cs="Arial"/>
          <w:szCs w:val="22"/>
        </w:rPr>
        <w:tab/>
      </w:r>
      <w:r w:rsidR="00D770D5">
        <w:rPr>
          <w:rFonts w:asciiTheme="minorHAnsi" w:eastAsiaTheme="minorHAnsi" w:hAnsiTheme="minorHAnsi" w:cs="Arial"/>
          <w:szCs w:val="22"/>
        </w:rPr>
        <w:t>A detailed analysis undertaken by the Planning Office is provided in Appendix 1. This shows that a third of students who were eligible for a one-grade reduced offer achieved these grades</w:t>
      </w:r>
      <w:r w:rsidR="0073383C">
        <w:rPr>
          <w:rFonts w:asciiTheme="minorHAnsi" w:eastAsiaTheme="minorHAnsi" w:hAnsiTheme="minorHAnsi" w:cs="Arial"/>
          <w:szCs w:val="22"/>
        </w:rPr>
        <w:t xml:space="preserve">.  </w:t>
      </w:r>
      <w:r w:rsidR="00D770D5">
        <w:rPr>
          <w:rFonts w:asciiTheme="minorHAnsi" w:eastAsiaTheme="minorHAnsi" w:hAnsiTheme="minorHAnsi" w:cs="Arial"/>
          <w:szCs w:val="22"/>
        </w:rPr>
        <w:t xml:space="preserve">55% of students </w:t>
      </w:r>
      <w:r w:rsidR="0073383C">
        <w:rPr>
          <w:rFonts w:asciiTheme="minorHAnsi" w:eastAsiaTheme="minorHAnsi" w:hAnsiTheme="minorHAnsi" w:cs="Arial"/>
          <w:szCs w:val="22"/>
        </w:rPr>
        <w:t>achieved</w:t>
      </w:r>
      <w:r w:rsidR="00D770D5">
        <w:rPr>
          <w:rFonts w:asciiTheme="minorHAnsi" w:eastAsiaTheme="minorHAnsi" w:hAnsiTheme="minorHAnsi" w:cs="Arial"/>
          <w:szCs w:val="22"/>
        </w:rPr>
        <w:t xml:space="preserve"> grades </w:t>
      </w:r>
      <w:r w:rsidR="0073383C">
        <w:rPr>
          <w:rFonts w:asciiTheme="minorHAnsi" w:eastAsiaTheme="minorHAnsi" w:hAnsiTheme="minorHAnsi" w:cs="Arial"/>
          <w:szCs w:val="22"/>
        </w:rPr>
        <w:t xml:space="preserve">that </w:t>
      </w:r>
      <w:r w:rsidR="00D770D5">
        <w:rPr>
          <w:rFonts w:asciiTheme="minorHAnsi" w:eastAsiaTheme="minorHAnsi" w:hAnsiTheme="minorHAnsi" w:cs="Arial"/>
          <w:szCs w:val="22"/>
        </w:rPr>
        <w:t xml:space="preserve">were more than one grade below the published typical offer. </w:t>
      </w:r>
      <w:r w:rsidR="0073383C">
        <w:rPr>
          <w:rFonts w:asciiTheme="minorHAnsi" w:eastAsiaTheme="minorHAnsi" w:hAnsiTheme="minorHAnsi" w:cs="Arial"/>
          <w:szCs w:val="22"/>
        </w:rPr>
        <w:t xml:space="preserve">In terms of </w:t>
      </w:r>
      <w:r w:rsidR="00461013">
        <w:rPr>
          <w:rFonts w:asciiTheme="minorHAnsi" w:eastAsiaTheme="minorHAnsi" w:hAnsiTheme="minorHAnsi" w:cs="Arial"/>
          <w:szCs w:val="22"/>
        </w:rPr>
        <w:t xml:space="preserve">acceptances, </w:t>
      </w:r>
      <w:r w:rsidR="0073383C">
        <w:rPr>
          <w:rFonts w:asciiTheme="minorHAnsi" w:eastAsiaTheme="minorHAnsi" w:hAnsiTheme="minorHAnsi" w:cs="Arial"/>
          <w:szCs w:val="22"/>
        </w:rPr>
        <w:t>9</w:t>
      </w:r>
      <w:r w:rsidR="00D770D5" w:rsidRPr="00D770D5">
        <w:rPr>
          <w:rFonts w:asciiTheme="minorHAnsi" w:eastAsiaTheme="minorHAnsi" w:hAnsiTheme="minorHAnsi" w:cs="Arial"/>
          <w:szCs w:val="22"/>
        </w:rPr>
        <w:t xml:space="preserve">6% of CF WP Plus applicants in the 2019 cycle who met or </w:t>
      </w:r>
      <w:r w:rsidR="00461013">
        <w:rPr>
          <w:rFonts w:asciiTheme="minorHAnsi" w:eastAsiaTheme="minorHAnsi" w:hAnsiTheme="minorHAnsi" w:cs="Arial"/>
          <w:szCs w:val="22"/>
        </w:rPr>
        <w:t xml:space="preserve">exceeded their contextual offer were admitted </w:t>
      </w:r>
      <w:r w:rsidR="00D770D5" w:rsidRPr="00D770D5">
        <w:rPr>
          <w:rFonts w:asciiTheme="minorHAnsi" w:eastAsiaTheme="minorHAnsi" w:hAnsiTheme="minorHAnsi" w:cs="Arial"/>
          <w:szCs w:val="22"/>
        </w:rPr>
        <w:t>(n = 306). Just under half of CF WP Plus applicants in 2019 who missed their contextual offer by one grade (i.e. two grades below the typical minimum offer)</w:t>
      </w:r>
      <w:r w:rsidR="00461013">
        <w:rPr>
          <w:rFonts w:asciiTheme="minorHAnsi" w:eastAsiaTheme="minorHAnsi" w:hAnsiTheme="minorHAnsi" w:cs="Arial"/>
          <w:szCs w:val="22"/>
        </w:rPr>
        <w:t xml:space="preserve"> were</w:t>
      </w:r>
      <w:r w:rsidR="00DA7D79">
        <w:rPr>
          <w:rFonts w:asciiTheme="minorHAnsi" w:eastAsiaTheme="minorHAnsi" w:hAnsiTheme="minorHAnsi" w:cs="Arial"/>
          <w:szCs w:val="22"/>
        </w:rPr>
        <w:t xml:space="preserve"> </w:t>
      </w:r>
      <w:bookmarkStart w:id="0" w:name="_GoBack"/>
      <w:bookmarkEnd w:id="0"/>
      <w:r w:rsidR="00433DD0">
        <w:rPr>
          <w:rFonts w:asciiTheme="minorHAnsi" w:eastAsiaTheme="minorHAnsi" w:hAnsiTheme="minorHAnsi" w:cs="Arial"/>
          <w:szCs w:val="22"/>
        </w:rPr>
        <w:t>admitted (n = 61).</w:t>
      </w:r>
    </w:p>
    <w:p w14:paraId="71B7C884" w14:textId="77777777" w:rsidR="00D770D5" w:rsidRDefault="00D770D5" w:rsidP="00CE2C52">
      <w:pPr>
        <w:pStyle w:val="BodyText"/>
        <w:spacing w:line="276" w:lineRule="auto"/>
        <w:ind w:hanging="567"/>
        <w:rPr>
          <w:rFonts w:asciiTheme="minorHAnsi" w:eastAsiaTheme="minorHAnsi" w:hAnsiTheme="minorHAnsi" w:cs="Arial"/>
          <w:szCs w:val="22"/>
        </w:rPr>
      </w:pPr>
    </w:p>
    <w:p w14:paraId="32946990" w14:textId="7F0D6F95" w:rsidR="00D770D5" w:rsidRPr="00D770D5" w:rsidRDefault="00D770D5" w:rsidP="00D770D5">
      <w:pPr>
        <w:pStyle w:val="BodyText"/>
        <w:ind w:hanging="567"/>
        <w:rPr>
          <w:rFonts w:asciiTheme="minorHAnsi" w:eastAsiaTheme="minorHAnsi" w:hAnsiTheme="minorHAnsi" w:cs="Arial"/>
          <w:szCs w:val="22"/>
        </w:rPr>
      </w:pPr>
      <w:r>
        <w:rPr>
          <w:rFonts w:asciiTheme="minorHAnsi" w:eastAsiaTheme="minorHAnsi" w:hAnsiTheme="minorHAnsi" w:cs="Arial"/>
          <w:szCs w:val="22"/>
        </w:rPr>
        <w:t>1.3</w:t>
      </w:r>
      <w:r>
        <w:rPr>
          <w:rFonts w:asciiTheme="minorHAnsi" w:eastAsiaTheme="minorHAnsi" w:hAnsiTheme="minorHAnsi" w:cs="Arial"/>
          <w:szCs w:val="22"/>
        </w:rPr>
        <w:tab/>
      </w:r>
      <w:r w:rsidR="00461013">
        <w:rPr>
          <w:rFonts w:asciiTheme="minorHAnsi" w:eastAsiaTheme="minorHAnsi" w:hAnsiTheme="minorHAnsi" w:cs="Arial"/>
          <w:szCs w:val="22"/>
        </w:rPr>
        <w:t>The analysis also looked at the</w:t>
      </w:r>
      <w:r w:rsidR="006F5C18">
        <w:rPr>
          <w:rFonts w:asciiTheme="minorHAnsi" w:eastAsiaTheme="minorHAnsi" w:hAnsiTheme="minorHAnsi" w:cs="Arial"/>
          <w:szCs w:val="22"/>
        </w:rPr>
        <w:t xml:space="preserve"> acceptance rates of students who have completed the Manchester Access Programme, comparing 2018 and 2019 entry data.</w:t>
      </w:r>
      <w:r w:rsidR="00461013">
        <w:rPr>
          <w:rFonts w:asciiTheme="minorHAnsi" w:eastAsiaTheme="minorHAnsi" w:hAnsiTheme="minorHAnsi" w:cs="Arial"/>
          <w:szCs w:val="22"/>
        </w:rPr>
        <w:t xml:space="preserve"> </w:t>
      </w:r>
      <w:r w:rsidRPr="00D770D5">
        <w:rPr>
          <w:rFonts w:asciiTheme="minorHAnsi" w:eastAsiaTheme="minorHAnsi" w:hAnsiTheme="minorHAnsi" w:cs="Arial"/>
          <w:szCs w:val="22"/>
        </w:rPr>
        <w:t xml:space="preserve">Due to the caveats of the data highlighted </w:t>
      </w:r>
      <w:r w:rsidR="006F5C18">
        <w:rPr>
          <w:rFonts w:asciiTheme="minorHAnsi" w:eastAsiaTheme="minorHAnsi" w:hAnsiTheme="minorHAnsi" w:cs="Arial"/>
          <w:szCs w:val="22"/>
        </w:rPr>
        <w:t>at the start of appendix 1</w:t>
      </w:r>
      <w:r w:rsidRPr="00D770D5">
        <w:rPr>
          <w:rFonts w:asciiTheme="minorHAnsi" w:eastAsiaTheme="minorHAnsi" w:hAnsiTheme="minorHAnsi" w:cs="Arial"/>
          <w:szCs w:val="22"/>
        </w:rPr>
        <w:t xml:space="preserve">, the MAP analysis includes 81 students whereas data held by the MAP team shows that 147 MAP students </w:t>
      </w:r>
      <w:r w:rsidR="006F5C18">
        <w:rPr>
          <w:rFonts w:asciiTheme="minorHAnsi" w:eastAsiaTheme="minorHAnsi" w:hAnsiTheme="minorHAnsi" w:cs="Arial"/>
          <w:szCs w:val="22"/>
        </w:rPr>
        <w:t>were accepted by t</w:t>
      </w:r>
      <w:r w:rsidRPr="00D770D5">
        <w:rPr>
          <w:rFonts w:asciiTheme="minorHAnsi" w:eastAsiaTheme="minorHAnsi" w:hAnsiTheme="minorHAnsi" w:cs="Arial"/>
          <w:szCs w:val="22"/>
        </w:rPr>
        <w:t xml:space="preserve">he University </w:t>
      </w:r>
      <w:r w:rsidR="006F5C18">
        <w:rPr>
          <w:rFonts w:asciiTheme="minorHAnsi" w:eastAsiaTheme="minorHAnsi" w:hAnsiTheme="minorHAnsi" w:cs="Arial"/>
          <w:szCs w:val="22"/>
        </w:rPr>
        <w:t xml:space="preserve">for 2019 </w:t>
      </w:r>
      <w:proofErr w:type="gramStart"/>
      <w:r w:rsidR="006F5C18">
        <w:rPr>
          <w:rFonts w:asciiTheme="minorHAnsi" w:eastAsiaTheme="minorHAnsi" w:hAnsiTheme="minorHAnsi" w:cs="Arial"/>
          <w:szCs w:val="22"/>
        </w:rPr>
        <w:t>entry</w:t>
      </w:r>
      <w:proofErr w:type="gramEnd"/>
      <w:r w:rsidR="00B73F1A">
        <w:rPr>
          <w:rStyle w:val="FootnoteReference"/>
          <w:rFonts w:asciiTheme="minorHAnsi" w:eastAsiaTheme="minorHAnsi" w:hAnsiTheme="minorHAnsi" w:cs="Arial"/>
          <w:szCs w:val="22"/>
        </w:rPr>
        <w:footnoteReference w:id="2"/>
      </w:r>
      <w:r w:rsidR="006F5C18">
        <w:rPr>
          <w:rFonts w:asciiTheme="minorHAnsi" w:eastAsiaTheme="minorHAnsi" w:hAnsiTheme="minorHAnsi" w:cs="Arial"/>
          <w:szCs w:val="22"/>
        </w:rPr>
        <w:t xml:space="preserve">. Of the MAP students included in the analysis: </w:t>
      </w:r>
    </w:p>
    <w:p w14:paraId="02A28BAA" w14:textId="77777777" w:rsidR="006F5C18" w:rsidRDefault="00D770D5" w:rsidP="006F5C18">
      <w:pPr>
        <w:pStyle w:val="BodyText"/>
        <w:numPr>
          <w:ilvl w:val="0"/>
          <w:numId w:val="8"/>
        </w:numPr>
        <w:rPr>
          <w:rFonts w:asciiTheme="minorHAnsi" w:eastAsiaTheme="minorHAnsi" w:hAnsiTheme="minorHAnsi" w:cs="Arial"/>
          <w:szCs w:val="22"/>
        </w:rPr>
      </w:pPr>
      <w:r w:rsidRPr="00D770D5">
        <w:rPr>
          <w:rFonts w:asciiTheme="minorHAnsi" w:eastAsiaTheme="minorHAnsi" w:hAnsiTheme="minorHAnsi" w:cs="Arial"/>
          <w:szCs w:val="22"/>
        </w:rPr>
        <w:t xml:space="preserve">39% of CF MAP applicants in met or exceeded their lower offer (reduced by 2 grades), compared to 46% in 2018. </w:t>
      </w:r>
    </w:p>
    <w:p w14:paraId="30D49DC6" w14:textId="77777777" w:rsidR="006F5C18" w:rsidRDefault="00D770D5" w:rsidP="006F5C18">
      <w:pPr>
        <w:pStyle w:val="BodyText"/>
        <w:numPr>
          <w:ilvl w:val="0"/>
          <w:numId w:val="8"/>
        </w:numPr>
        <w:rPr>
          <w:rFonts w:asciiTheme="minorHAnsi" w:eastAsiaTheme="minorHAnsi" w:hAnsiTheme="minorHAnsi" w:cs="Arial"/>
          <w:szCs w:val="22"/>
        </w:rPr>
      </w:pPr>
      <w:r w:rsidRPr="00D770D5">
        <w:rPr>
          <w:rFonts w:asciiTheme="minorHAnsi" w:eastAsiaTheme="minorHAnsi" w:hAnsiTheme="minorHAnsi" w:cs="Arial"/>
          <w:szCs w:val="22"/>
        </w:rPr>
        <w:t>In 2019, 13% of MAP students met the typical minimum offer for the course (i.e. 2 grades higher than their MAP o</w:t>
      </w:r>
      <w:r w:rsidR="006F5C18">
        <w:rPr>
          <w:rFonts w:asciiTheme="minorHAnsi" w:eastAsiaTheme="minorHAnsi" w:hAnsiTheme="minorHAnsi" w:cs="Arial"/>
          <w:szCs w:val="22"/>
        </w:rPr>
        <w:t>ffer), compared to 19% in 2018.</w:t>
      </w:r>
    </w:p>
    <w:p w14:paraId="67B5846E" w14:textId="77777777" w:rsidR="006F5C18" w:rsidRDefault="00D770D5" w:rsidP="006F5C18">
      <w:pPr>
        <w:pStyle w:val="BodyText"/>
        <w:numPr>
          <w:ilvl w:val="0"/>
          <w:numId w:val="8"/>
        </w:numPr>
        <w:rPr>
          <w:rFonts w:asciiTheme="minorHAnsi" w:eastAsiaTheme="minorHAnsi" w:hAnsiTheme="minorHAnsi" w:cs="Arial"/>
          <w:szCs w:val="22"/>
        </w:rPr>
      </w:pPr>
      <w:r w:rsidRPr="006F5C18">
        <w:rPr>
          <w:rFonts w:asciiTheme="minorHAnsi" w:eastAsiaTheme="minorHAnsi" w:hAnsiTheme="minorHAnsi" w:cs="Arial"/>
          <w:szCs w:val="22"/>
        </w:rPr>
        <w:t xml:space="preserve">86% of 2019 MAP applicants who met or exceeded their MAP offer (2 grade reduction) are known to have been admitted </w:t>
      </w:r>
      <w:r w:rsidR="006F5C18">
        <w:rPr>
          <w:rFonts w:asciiTheme="minorHAnsi" w:eastAsiaTheme="minorHAnsi" w:hAnsiTheme="minorHAnsi" w:cs="Arial"/>
          <w:szCs w:val="22"/>
        </w:rPr>
        <w:t>which is equal to the f</w:t>
      </w:r>
      <w:r w:rsidRPr="006F5C18">
        <w:rPr>
          <w:rFonts w:asciiTheme="minorHAnsi" w:eastAsiaTheme="minorHAnsi" w:hAnsiTheme="minorHAnsi" w:cs="Arial"/>
          <w:szCs w:val="22"/>
        </w:rPr>
        <w:t>igure for 2018.</w:t>
      </w:r>
    </w:p>
    <w:p w14:paraId="39A65617" w14:textId="77777777" w:rsidR="00D770D5" w:rsidRPr="006F5C18" w:rsidRDefault="00D770D5" w:rsidP="006F5C18">
      <w:pPr>
        <w:pStyle w:val="BodyText"/>
        <w:numPr>
          <w:ilvl w:val="0"/>
          <w:numId w:val="8"/>
        </w:numPr>
        <w:rPr>
          <w:rFonts w:asciiTheme="minorHAnsi" w:eastAsiaTheme="minorHAnsi" w:hAnsiTheme="minorHAnsi" w:cs="Arial"/>
          <w:szCs w:val="22"/>
        </w:rPr>
      </w:pPr>
      <w:r w:rsidRPr="006F5C18">
        <w:rPr>
          <w:rFonts w:asciiTheme="minorHAnsi" w:eastAsiaTheme="minorHAnsi" w:hAnsiTheme="minorHAnsi" w:cs="Arial"/>
          <w:szCs w:val="22"/>
        </w:rPr>
        <w:t>Only 6% of MAP applicants in 2019 who missed their MAP offer by an additional grade (3 grades below the typical minimum) were adm</w:t>
      </w:r>
      <w:r w:rsidR="006F5C18">
        <w:rPr>
          <w:rFonts w:asciiTheme="minorHAnsi" w:eastAsiaTheme="minorHAnsi" w:hAnsiTheme="minorHAnsi" w:cs="Arial"/>
          <w:szCs w:val="22"/>
        </w:rPr>
        <w:t>itted, compared to 19% in 2018.</w:t>
      </w:r>
      <w:r w:rsidRPr="006F5C18">
        <w:rPr>
          <w:rFonts w:asciiTheme="minorHAnsi" w:eastAsiaTheme="minorHAnsi" w:hAnsiTheme="minorHAnsi" w:cs="Arial"/>
          <w:szCs w:val="22"/>
        </w:rPr>
        <w:t xml:space="preserve"> </w:t>
      </w:r>
    </w:p>
    <w:p w14:paraId="3D4179EF" w14:textId="404F6FB5" w:rsidR="00B01858" w:rsidRDefault="00B01858" w:rsidP="00B01858">
      <w:pPr>
        <w:pStyle w:val="BodyText"/>
        <w:spacing w:line="276" w:lineRule="auto"/>
        <w:rPr>
          <w:rFonts w:asciiTheme="minorHAnsi" w:eastAsiaTheme="minorHAnsi" w:hAnsiTheme="minorHAnsi" w:cs="Arial"/>
          <w:szCs w:val="22"/>
        </w:rPr>
      </w:pPr>
    </w:p>
    <w:p w14:paraId="427D458D" w14:textId="14D568FB" w:rsidR="00B73F1A" w:rsidRDefault="00B73F1A" w:rsidP="00B01858">
      <w:pPr>
        <w:pStyle w:val="BodyText"/>
        <w:spacing w:line="276" w:lineRule="auto"/>
        <w:rPr>
          <w:rFonts w:asciiTheme="minorHAnsi" w:eastAsiaTheme="minorHAnsi" w:hAnsiTheme="minorHAnsi" w:cs="Arial"/>
          <w:szCs w:val="22"/>
        </w:rPr>
      </w:pPr>
    </w:p>
    <w:p w14:paraId="5A2931C2" w14:textId="7D222779" w:rsidR="00B73F1A" w:rsidRDefault="00B73F1A" w:rsidP="00B01858">
      <w:pPr>
        <w:pStyle w:val="BodyText"/>
        <w:spacing w:line="276" w:lineRule="auto"/>
        <w:rPr>
          <w:rFonts w:asciiTheme="minorHAnsi" w:eastAsiaTheme="minorHAnsi" w:hAnsiTheme="minorHAnsi" w:cs="Arial"/>
          <w:szCs w:val="22"/>
        </w:rPr>
      </w:pPr>
    </w:p>
    <w:p w14:paraId="22514C43" w14:textId="77777777" w:rsidR="00B73F1A" w:rsidRDefault="00B73F1A" w:rsidP="00B01858">
      <w:pPr>
        <w:pStyle w:val="BodyText"/>
        <w:spacing w:line="276" w:lineRule="auto"/>
        <w:rPr>
          <w:rFonts w:asciiTheme="minorHAnsi" w:eastAsiaTheme="minorHAnsi" w:hAnsiTheme="minorHAnsi" w:cs="Arial"/>
          <w:szCs w:val="22"/>
        </w:rPr>
      </w:pPr>
    </w:p>
    <w:p w14:paraId="13EFADE7" w14:textId="77777777" w:rsidR="00B01858" w:rsidRDefault="00D770D5" w:rsidP="00B01858">
      <w:pPr>
        <w:pStyle w:val="BodyText"/>
        <w:spacing w:line="276" w:lineRule="auto"/>
        <w:ind w:hanging="567"/>
        <w:rPr>
          <w:rFonts w:asciiTheme="minorHAnsi" w:eastAsiaTheme="minorHAnsi" w:hAnsiTheme="minorHAnsi" w:cs="Arial"/>
          <w:b/>
          <w:szCs w:val="22"/>
        </w:rPr>
      </w:pPr>
      <w:r w:rsidRPr="00B01858">
        <w:rPr>
          <w:rFonts w:asciiTheme="minorHAnsi" w:eastAsiaTheme="minorHAnsi" w:hAnsiTheme="minorHAnsi" w:cs="Arial"/>
          <w:b/>
          <w:szCs w:val="22"/>
        </w:rPr>
        <w:lastRenderedPageBreak/>
        <w:t xml:space="preserve">2. </w:t>
      </w:r>
      <w:r w:rsidRPr="00B01858">
        <w:rPr>
          <w:rFonts w:asciiTheme="minorHAnsi" w:eastAsiaTheme="minorHAnsi" w:hAnsiTheme="minorHAnsi" w:cs="Arial"/>
          <w:b/>
          <w:szCs w:val="22"/>
        </w:rPr>
        <w:tab/>
      </w:r>
      <w:r w:rsidR="00B01858" w:rsidRPr="00B01858">
        <w:rPr>
          <w:rFonts w:asciiTheme="minorHAnsi" w:eastAsiaTheme="minorHAnsi" w:hAnsiTheme="minorHAnsi" w:cs="Arial"/>
          <w:b/>
          <w:szCs w:val="22"/>
        </w:rPr>
        <w:t>Qualitative feedback on the contextual offer process</w:t>
      </w:r>
    </w:p>
    <w:p w14:paraId="6CEF35DB" w14:textId="77777777" w:rsidR="00B01858" w:rsidRPr="00B01858" w:rsidRDefault="00B01858" w:rsidP="00B01858">
      <w:pPr>
        <w:pStyle w:val="BodyText"/>
        <w:spacing w:line="276" w:lineRule="auto"/>
        <w:ind w:hanging="567"/>
        <w:rPr>
          <w:rFonts w:asciiTheme="minorHAnsi" w:eastAsiaTheme="minorHAnsi" w:hAnsiTheme="minorHAnsi" w:cs="Arial"/>
          <w:b/>
          <w:szCs w:val="22"/>
        </w:rPr>
      </w:pPr>
    </w:p>
    <w:p w14:paraId="2FF20294" w14:textId="309C65FB" w:rsidR="00B01858" w:rsidRDefault="00B01858" w:rsidP="00B01858">
      <w:pPr>
        <w:pStyle w:val="BodyText"/>
        <w:spacing w:line="276" w:lineRule="auto"/>
        <w:ind w:hanging="567"/>
        <w:rPr>
          <w:rFonts w:asciiTheme="minorHAnsi" w:eastAsiaTheme="minorHAnsi" w:hAnsiTheme="minorHAnsi" w:cs="Arial"/>
          <w:szCs w:val="22"/>
        </w:rPr>
      </w:pPr>
      <w:r>
        <w:rPr>
          <w:rFonts w:asciiTheme="minorHAnsi" w:eastAsiaTheme="minorHAnsi" w:hAnsiTheme="minorHAnsi" w:cs="Arial"/>
          <w:szCs w:val="22"/>
        </w:rPr>
        <w:t>2.1</w:t>
      </w:r>
      <w:r>
        <w:rPr>
          <w:rFonts w:asciiTheme="minorHAnsi" w:eastAsiaTheme="minorHAnsi" w:hAnsiTheme="minorHAnsi" w:cs="Arial"/>
          <w:szCs w:val="22"/>
        </w:rPr>
        <w:tab/>
      </w:r>
      <w:r w:rsidR="006F5C18">
        <w:rPr>
          <w:rFonts w:asciiTheme="minorHAnsi" w:eastAsiaTheme="minorHAnsi" w:hAnsiTheme="minorHAnsi" w:cs="Arial"/>
          <w:szCs w:val="22"/>
        </w:rPr>
        <w:t xml:space="preserve">Alongside analysis of the impact </w:t>
      </w:r>
      <w:r>
        <w:rPr>
          <w:rFonts w:asciiTheme="minorHAnsi" w:eastAsiaTheme="minorHAnsi" w:hAnsiTheme="minorHAnsi" w:cs="Arial"/>
          <w:szCs w:val="22"/>
        </w:rPr>
        <w:t xml:space="preserve">of </w:t>
      </w:r>
      <w:r w:rsidR="006F5C18">
        <w:rPr>
          <w:rFonts w:asciiTheme="minorHAnsi" w:eastAsiaTheme="minorHAnsi" w:hAnsiTheme="minorHAnsi" w:cs="Arial"/>
          <w:szCs w:val="22"/>
        </w:rPr>
        <w:t>contextual offers on admissions</w:t>
      </w:r>
      <w:r>
        <w:rPr>
          <w:rFonts w:asciiTheme="minorHAnsi" w:eastAsiaTheme="minorHAnsi" w:hAnsiTheme="minorHAnsi" w:cs="Arial"/>
          <w:szCs w:val="22"/>
        </w:rPr>
        <w:t xml:space="preserve"> data, qualitative evaluation with students has been undertaken through a survey and focus groups. The key findings are included below, the full report is available </w:t>
      </w:r>
      <w:r w:rsidR="00B855C3">
        <w:rPr>
          <w:rFonts w:asciiTheme="minorHAnsi" w:eastAsiaTheme="minorHAnsi" w:hAnsiTheme="minorHAnsi" w:cs="Arial"/>
          <w:szCs w:val="22"/>
        </w:rPr>
        <w:t>in the APSG section of</w:t>
      </w:r>
      <w:r>
        <w:rPr>
          <w:rFonts w:asciiTheme="minorHAnsi" w:eastAsiaTheme="minorHAnsi" w:hAnsiTheme="minorHAnsi" w:cs="Arial"/>
          <w:szCs w:val="22"/>
        </w:rPr>
        <w:t xml:space="preserve"> </w:t>
      </w:r>
      <w:hyperlink r:id="rId9" w:history="1">
        <w:r w:rsidRPr="00B855C3">
          <w:rPr>
            <w:rStyle w:val="Hyperlink"/>
            <w:rFonts w:asciiTheme="minorHAnsi" w:eastAsiaTheme="minorHAnsi" w:hAnsiTheme="minorHAnsi" w:cs="Arial"/>
            <w:szCs w:val="22"/>
          </w:rPr>
          <w:t>SharePoint</w:t>
        </w:r>
      </w:hyperlink>
      <w:r w:rsidR="00A04C9B">
        <w:rPr>
          <w:rStyle w:val="FootnoteReference"/>
          <w:rFonts w:asciiTheme="minorHAnsi" w:eastAsiaTheme="minorHAnsi" w:hAnsiTheme="minorHAnsi" w:cs="Arial"/>
          <w:color w:val="0000FF" w:themeColor="hyperlink"/>
          <w:szCs w:val="22"/>
          <w:u w:val="single"/>
        </w:rPr>
        <w:footnoteReference w:id="3"/>
      </w:r>
      <w:r>
        <w:rPr>
          <w:rFonts w:asciiTheme="minorHAnsi" w:eastAsiaTheme="minorHAnsi" w:hAnsiTheme="minorHAnsi" w:cs="Arial"/>
          <w:szCs w:val="22"/>
        </w:rPr>
        <w:t xml:space="preserve">. </w:t>
      </w:r>
    </w:p>
    <w:p w14:paraId="4218D9DF" w14:textId="77777777" w:rsidR="00B73F1A" w:rsidRDefault="00B73F1A" w:rsidP="00B01858">
      <w:pPr>
        <w:pStyle w:val="BodyText"/>
        <w:spacing w:line="276" w:lineRule="auto"/>
        <w:ind w:hanging="567"/>
        <w:rPr>
          <w:rFonts w:asciiTheme="minorHAnsi" w:eastAsiaTheme="minorHAnsi" w:hAnsiTheme="minorHAnsi" w:cs="Arial"/>
          <w:szCs w:val="22"/>
        </w:rPr>
      </w:pPr>
    </w:p>
    <w:p w14:paraId="7259B085" w14:textId="77777777" w:rsidR="00B01858" w:rsidRDefault="00B01858" w:rsidP="00B01858">
      <w:pPr>
        <w:pStyle w:val="BodyText"/>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b/>
          <w:szCs w:val="22"/>
        </w:rPr>
      </w:pPr>
      <w:r>
        <w:rPr>
          <w:rFonts w:asciiTheme="minorHAnsi" w:eastAsiaTheme="minorHAnsi" w:hAnsiTheme="minorHAnsi" w:cs="Arial"/>
          <w:b/>
          <w:szCs w:val="22"/>
        </w:rPr>
        <w:t xml:space="preserve">Key Findings from the survey and focus groups undertaken with students who were eligible for a contextual offer – includes accepters and decliners. </w:t>
      </w:r>
    </w:p>
    <w:p w14:paraId="75D5C677" w14:textId="77777777" w:rsidR="00B01858" w:rsidRDefault="00B01858" w:rsidP="00B01858">
      <w:pPr>
        <w:pStyle w:val="BodyText"/>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b/>
          <w:szCs w:val="22"/>
        </w:rPr>
      </w:pPr>
    </w:p>
    <w:p w14:paraId="252BAFA7" w14:textId="77777777" w:rsidR="00B01858" w:rsidRPr="00B01858" w:rsidRDefault="00B01858" w:rsidP="00B01858">
      <w:pPr>
        <w:pStyle w:val="BodyText"/>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b/>
          <w:szCs w:val="22"/>
        </w:rPr>
      </w:pPr>
      <w:r>
        <w:rPr>
          <w:rFonts w:asciiTheme="minorHAnsi" w:eastAsiaTheme="minorHAnsi" w:hAnsiTheme="minorHAnsi" w:cs="Arial"/>
          <w:b/>
          <w:szCs w:val="22"/>
        </w:rPr>
        <w:t xml:space="preserve">1) </w:t>
      </w:r>
      <w:r w:rsidRPr="00B01858">
        <w:rPr>
          <w:rFonts w:asciiTheme="minorHAnsi" w:eastAsiaTheme="minorHAnsi" w:hAnsiTheme="minorHAnsi" w:cs="Arial"/>
          <w:b/>
          <w:szCs w:val="22"/>
        </w:rPr>
        <w:t>What are students’ perceptions of Contextual Offers?</w:t>
      </w:r>
    </w:p>
    <w:p w14:paraId="17FE6D37" w14:textId="77777777" w:rsidR="00B01858" w:rsidRDefault="00B01858" w:rsidP="00B01858">
      <w:pPr>
        <w:pStyle w:val="BodyText"/>
        <w:numPr>
          <w:ilvl w:val="0"/>
          <w:numId w:val="9"/>
        </w:num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szCs w:val="22"/>
        </w:rPr>
      </w:pPr>
      <w:r w:rsidRPr="00B01858">
        <w:rPr>
          <w:rFonts w:asciiTheme="minorHAnsi" w:eastAsiaTheme="minorHAnsi" w:hAnsiTheme="minorHAnsi" w:cs="Arial"/>
          <w:szCs w:val="22"/>
        </w:rPr>
        <w:t xml:space="preserve">The Contextual Offer scheme has been well received and consequently </w:t>
      </w:r>
      <w:proofErr w:type="spellStart"/>
      <w:r w:rsidRPr="00B01858">
        <w:rPr>
          <w:rFonts w:asciiTheme="minorHAnsi" w:eastAsiaTheme="minorHAnsi" w:hAnsiTheme="minorHAnsi" w:cs="Arial"/>
          <w:szCs w:val="22"/>
        </w:rPr>
        <w:t>UoM</w:t>
      </w:r>
      <w:proofErr w:type="spellEnd"/>
      <w:r w:rsidRPr="00B01858">
        <w:rPr>
          <w:rFonts w:asciiTheme="minorHAnsi" w:eastAsiaTheme="minorHAnsi" w:hAnsiTheme="minorHAnsi" w:cs="Arial"/>
          <w:szCs w:val="22"/>
        </w:rPr>
        <w:t xml:space="preserve"> is perceived as Welcoming, Fair and Inclusive – especially among accepters</w:t>
      </w:r>
      <w:r>
        <w:rPr>
          <w:rFonts w:asciiTheme="minorHAnsi" w:eastAsiaTheme="minorHAnsi" w:hAnsiTheme="minorHAnsi" w:cs="Arial"/>
          <w:szCs w:val="22"/>
        </w:rPr>
        <w:t>.</w:t>
      </w:r>
    </w:p>
    <w:p w14:paraId="16B09EC4" w14:textId="77777777" w:rsidR="00B01858" w:rsidRDefault="00B01858" w:rsidP="00B01858">
      <w:pPr>
        <w:pStyle w:val="BodyText"/>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szCs w:val="22"/>
        </w:rPr>
      </w:pPr>
    </w:p>
    <w:p w14:paraId="10C77922" w14:textId="77777777" w:rsidR="00B01858" w:rsidRPr="00B01858" w:rsidRDefault="00B01858" w:rsidP="00B01858">
      <w:pPr>
        <w:pStyle w:val="BodyText"/>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b/>
          <w:szCs w:val="22"/>
        </w:rPr>
      </w:pPr>
      <w:r w:rsidRPr="00B01858">
        <w:rPr>
          <w:rFonts w:asciiTheme="minorHAnsi" w:eastAsiaTheme="minorHAnsi" w:hAnsiTheme="minorHAnsi" w:cs="Arial"/>
          <w:b/>
          <w:szCs w:val="22"/>
        </w:rPr>
        <w:t>2) What impact do Contextual Offers have on university choice?</w:t>
      </w:r>
    </w:p>
    <w:p w14:paraId="4F7EBC1B" w14:textId="77777777" w:rsidR="00B01858" w:rsidRDefault="00B01858" w:rsidP="00B01858">
      <w:pPr>
        <w:pStyle w:val="BodyText"/>
        <w:numPr>
          <w:ilvl w:val="0"/>
          <w:numId w:val="9"/>
        </w:num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szCs w:val="22"/>
        </w:rPr>
      </w:pPr>
      <w:r w:rsidRPr="00B01858">
        <w:rPr>
          <w:rFonts w:asciiTheme="minorHAnsi" w:eastAsiaTheme="minorHAnsi" w:hAnsiTheme="minorHAnsi" w:cs="Arial"/>
          <w:szCs w:val="22"/>
        </w:rPr>
        <w:t>Receiving a Contextual Offer is often important but not the only factor in a student’s decision on which university to attend</w:t>
      </w:r>
      <w:r>
        <w:rPr>
          <w:rFonts w:asciiTheme="minorHAnsi" w:eastAsiaTheme="minorHAnsi" w:hAnsiTheme="minorHAnsi" w:cs="Arial"/>
          <w:szCs w:val="22"/>
        </w:rPr>
        <w:t>.</w:t>
      </w:r>
    </w:p>
    <w:p w14:paraId="4C033ED6" w14:textId="77777777" w:rsidR="00B01858" w:rsidRDefault="00B01858" w:rsidP="00B01858">
      <w:pPr>
        <w:pStyle w:val="BodyText"/>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szCs w:val="22"/>
        </w:rPr>
      </w:pPr>
    </w:p>
    <w:p w14:paraId="338E6837" w14:textId="77777777" w:rsidR="00B01858" w:rsidRPr="00B01858" w:rsidRDefault="00B01858" w:rsidP="00B01858">
      <w:pPr>
        <w:pStyle w:val="BodyText"/>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b/>
          <w:szCs w:val="22"/>
        </w:rPr>
      </w:pPr>
      <w:r w:rsidRPr="00B01858">
        <w:rPr>
          <w:rFonts w:asciiTheme="minorHAnsi" w:eastAsiaTheme="minorHAnsi" w:hAnsiTheme="minorHAnsi" w:cs="Arial"/>
          <w:b/>
          <w:szCs w:val="22"/>
        </w:rPr>
        <w:t>3) How can the Contextual Offer process be improved?</w:t>
      </w:r>
    </w:p>
    <w:p w14:paraId="7940E2F7" w14:textId="77777777" w:rsidR="00B01858" w:rsidRDefault="00B01858" w:rsidP="00B01858">
      <w:pPr>
        <w:pStyle w:val="BodyText"/>
        <w:numPr>
          <w:ilvl w:val="0"/>
          <w:numId w:val="9"/>
        </w:num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szCs w:val="22"/>
        </w:rPr>
      </w:pPr>
      <w:r w:rsidRPr="00B01858">
        <w:rPr>
          <w:rFonts w:asciiTheme="minorHAnsi" w:eastAsiaTheme="minorHAnsi" w:hAnsiTheme="minorHAnsi" w:cs="Arial"/>
          <w:szCs w:val="22"/>
        </w:rPr>
        <w:t>Driv</w:t>
      </w:r>
      <w:r>
        <w:rPr>
          <w:rFonts w:asciiTheme="minorHAnsi" w:eastAsiaTheme="minorHAnsi" w:hAnsiTheme="minorHAnsi" w:cs="Arial"/>
          <w:szCs w:val="22"/>
        </w:rPr>
        <w:t>e awareness earlier in the cycle</w:t>
      </w:r>
    </w:p>
    <w:p w14:paraId="49500787" w14:textId="77777777" w:rsidR="00B01858" w:rsidRDefault="00B01858" w:rsidP="00B01858">
      <w:pPr>
        <w:pStyle w:val="BodyText"/>
        <w:numPr>
          <w:ilvl w:val="0"/>
          <w:numId w:val="9"/>
        </w:num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szCs w:val="22"/>
        </w:rPr>
      </w:pPr>
      <w:r w:rsidRPr="00B01858">
        <w:rPr>
          <w:rFonts w:asciiTheme="minorHAnsi" w:eastAsiaTheme="minorHAnsi" w:hAnsiTheme="minorHAnsi" w:cs="Arial"/>
          <w:szCs w:val="22"/>
        </w:rPr>
        <w:t>Explain what a Contextual Offer is</w:t>
      </w:r>
    </w:p>
    <w:p w14:paraId="1E3DB22B" w14:textId="77777777" w:rsidR="00B01858" w:rsidRDefault="00B01858" w:rsidP="00B01858">
      <w:pPr>
        <w:pStyle w:val="BodyText"/>
        <w:numPr>
          <w:ilvl w:val="0"/>
          <w:numId w:val="9"/>
        </w:num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szCs w:val="22"/>
        </w:rPr>
      </w:pPr>
      <w:r w:rsidRPr="00B01858">
        <w:rPr>
          <w:rFonts w:asciiTheme="minorHAnsi" w:eastAsiaTheme="minorHAnsi" w:hAnsiTheme="minorHAnsi" w:cs="Arial"/>
          <w:szCs w:val="22"/>
        </w:rPr>
        <w:t>Clarify to applicants who is eligible</w:t>
      </w:r>
    </w:p>
    <w:p w14:paraId="3FE8D338" w14:textId="77777777" w:rsidR="00B01858" w:rsidRDefault="00B01858" w:rsidP="00B01858">
      <w:pPr>
        <w:pStyle w:val="BodyText"/>
        <w:numPr>
          <w:ilvl w:val="0"/>
          <w:numId w:val="9"/>
        </w:num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szCs w:val="22"/>
        </w:rPr>
      </w:pPr>
      <w:r w:rsidRPr="00B01858">
        <w:rPr>
          <w:rFonts w:asciiTheme="minorHAnsi" w:eastAsiaTheme="minorHAnsi" w:hAnsiTheme="minorHAnsi" w:cs="Arial"/>
          <w:szCs w:val="22"/>
        </w:rPr>
        <w:t>Students would have preferred to have been informed</w:t>
      </w:r>
      <w:r>
        <w:rPr>
          <w:rFonts w:asciiTheme="minorHAnsi" w:eastAsiaTheme="minorHAnsi" w:hAnsiTheme="minorHAnsi" w:cs="Arial"/>
          <w:szCs w:val="22"/>
        </w:rPr>
        <w:t xml:space="preserve"> about the availability of the contextual offer process via e</w:t>
      </w:r>
      <w:r w:rsidRPr="00B01858">
        <w:rPr>
          <w:rFonts w:asciiTheme="minorHAnsi" w:eastAsiaTheme="minorHAnsi" w:hAnsiTheme="minorHAnsi" w:cs="Arial"/>
          <w:szCs w:val="22"/>
        </w:rPr>
        <w:t>mail</w:t>
      </w:r>
    </w:p>
    <w:p w14:paraId="61FBDCA4" w14:textId="77777777" w:rsidR="00B01858" w:rsidRPr="00B01858" w:rsidRDefault="00B01858" w:rsidP="00B01858">
      <w:pPr>
        <w:pStyle w:val="BodyText"/>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b/>
          <w:szCs w:val="22"/>
        </w:rPr>
      </w:pPr>
    </w:p>
    <w:p w14:paraId="164C5C7E" w14:textId="77777777" w:rsidR="00B01858" w:rsidRPr="00B01858" w:rsidRDefault="00B01858" w:rsidP="00B01858">
      <w:pPr>
        <w:pStyle w:val="BodyText"/>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b/>
          <w:szCs w:val="22"/>
        </w:rPr>
      </w:pPr>
      <w:r w:rsidRPr="00B01858">
        <w:rPr>
          <w:rFonts w:asciiTheme="minorHAnsi" w:eastAsiaTheme="minorHAnsi" w:hAnsiTheme="minorHAnsi" w:cs="Arial"/>
          <w:b/>
          <w:szCs w:val="22"/>
        </w:rPr>
        <w:t>4) Can the Contextual Offer be made more inclusive?</w:t>
      </w:r>
    </w:p>
    <w:p w14:paraId="0A850A3F" w14:textId="77777777" w:rsidR="00B01858" w:rsidRPr="00B01858" w:rsidRDefault="00B01858" w:rsidP="00B01858">
      <w:pPr>
        <w:pStyle w:val="BodyText"/>
        <w:numPr>
          <w:ilvl w:val="0"/>
          <w:numId w:val="12"/>
        </w:num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szCs w:val="22"/>
        </w:rPr>
      </w:pPr>
      <w:r w:rsidRPr="00B01858">
        <w:rPr>
          <w:rFonts w:asciiTheme="minorHAnsi" w:eastAsiaTheme="minorHAnsi" w:hAnsiTheme="minorHAnsi" w:cs="Arial"/>
          <w:szCs w:val="22"/>
        </w:rPr>
        <w:t xml:space="preserve">Removing the condition that applicants have to firm </w:t>
      </w:r>
      <w:proofErr w:type="spellStart"/>
      <w:r w:rsidRPr="00B01858">
        <w:rPr>
          <w:rFonts w:asciiTheme="minorHAnsi" w:eastAsiaTheme="minorHAnsi" w:hAnsiTheme="minorHAnsi" w:cs="Arial"/>
          <w:szCs w:val="22"/>
        </w:rPr>
        <w:t>UoM</w:t>
      </w:r>
      <w:proofErr w:type="spellEnd"/>
      <w:r w:rsidRPr="00B01858">
        <w:rPr>
          <w:rFonts w:asciiTheme="minorHAnsi" w:eastAsiaTheme="minorHAnsi" w:hAnsiTheme="minorHAnsi" w:cs="Arial"/>
          <w:szCs w:val="22"/>
        </w:rPr>
        <w:t xml:space="preserve"> to be eligible could help attract more high achieving WP students</w:t>
      </w:r>
    </w:p>
    <w:p w14:paraId="2CE6B667" w14:textId="77777777" w:rsidR="00D770D5" w:rsidRDefault="00B01858" w:rsidP="00B01858">
      <w:pPr>
        <w:pStyle w:val="BodyText"/>
        <w:numPr>
          <w:ilvl w:val="0"/>
          <w:numId w:val="12"/>
        </w:num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szCs w:val="22"/>
        </w:rPr>
      </w:pPr>
      <w:r w:rsidRPr="00B01858">
        <w:rPr>
          <w:rFonts w:asciiTheme="minorHAnsi" w:eastAsiaTheme="minorHAnsi" w:hAnsiTheme="minorHAnsi" w:cs="Arial"/>
          <w:szCs w:val="22"/>
        </w:rPr>
        <w:t>Additional support for Care Leavers e.g. greater flexibility in entry requirements</w:t>
      </w:r>
    </w:p>
    <w:p w14:paraId="29F06B01" w14:textId="77777777" w:rsidR="00CE2C52" w:rsidRDefault="00CE2C52" w:rsidP="00F30757">
      <w:pPr>
        <w:pStyle w:val="BodyText"/>
        <w:spacing w:line="276" w:lineRule="auto"/>
        <w:ind w:hanging="567"/>
        <w:rPr>
          <w:rFonts w:asciiTheme="minorHAnsi" w:eastAsiaTheme="minorHAnsi" w:hAnsiTheme="minorHAnsi" w:cs="Arial"/>
          <w:szCs w:val="22"/>
        </w:rPr>
      </w:pPr>
    </w:p>
    <w:p w14:paraId="0745DA30" w14:textId="77777777" w:rsidR="00CE2C52" w:rsidRDefault="00B01858" w:rsidP="00F30757">
      <w:pPr>
        <w:pStyle w:val="BodyText"/>
        <w:spacing w:line="276" w:lineRule="auto"/>
        <w:ind w:hanging="567"/>
        <w:rPr>
          <w:rFonts w:asciiTheme="minorHAnsi" w:eastAsiaTheme="minorHAnsi" w:hAnsiTheme="minorHAnsi" w:cs="Arial"/>
          <w:szCs w:val="22"/>
        </w:rPr>
      </w:pPr>
      <w:r>
        <w:rPr>
          <w:rFonts w:asciiTheme="minorHAnsi" w:eastAsiaTheme="minorHAnsi" w:hAnsiTheme="minorHAnsi" w:cs="Arial"/>
          <w:szCs w:val="22"/>
        </w:rPr>
        <w:t>2.2</w:t>
      </w:r>
      <w:r>
        <w:rPr>
          <w:rFonts w:asciiTheme="minorHAnsi" w:eastAsiaTheme="minorHAnsi" w:hAnsiTheme="minorHAnsi" w:cs="Arial"/>
          <w:szCs w:val="22"/>
        </w:rPr>
        <w:tab/>
        <w:t>These findings have been considered by colleagues from the central Student Recruitment, Widening Participation, Admissions and Student Marketing and Communication teams to agreement ways to improve the communication of our contextual offer process. This includes featuring case studies from students who have entered the University via the contextual offer route; harnessing the opportunities through the new CRM system to tailor and segment content; providing contextual offer holders with information abo</w:t>
      </w:r>
      <w:r w:rsidR="00A20296">
        <w:rPr>
          <w:rFonts w:asciiTheme="minorHAnsi" w:eastAsiaTheme="minorHAnsi" w:hAnsiTheme="minorHAnsi" w:cs="Arial"/>
          <w:szCs w:val="22"/>
        </w:rPr>
        <w:t xml:space="preserve">ut the support they could access once studying here e.g. financial assistance, peer support etc. Input from Faculties will be sought through the Widening Access Working Group. </w:t>
      </w:r>
    </w:p>
    <w:p w14:paraId="50D87A07" w14:textId="690FE0F6" w:rsidR="00B855C3" w:rsidRDefault="00B855C3" w:rsidP="00B855C3">
      <w:pPr>
        <w:pStyle w:val="BodyText"/>
        <w:spacing w:line="276" w:lineRule="auto"/>
        <w:rPr>
          <w:rFonts w:asciiTheme="minorHAnsi" w:eastAsiaTheme="minorHAnsi" w:hAnsiTheme="minorHAnsi" w:cs="Arial"/>
          <w:szCs w:val="22"/>
        </w:rPr>
      </w:pPr>
    </w:p>
    <w:p w14:paraId="1BCE3A08" w14:textId="77777777" w:rsidR="00B855C3" w:rsidRDefault="00B855C3" w:rsidP="00B855C3">
      <w:pPr>
        <w:pStyle w:val="BodyText"/>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b/>
          <w:szCs w:val="22"/>
        </w:rPr>
      </w:pPr>
      <w:r w:rsidRPr="00B855C3">
        <w:rPr>
          <w:rFonts w:asciiTheme="minorHAnsi" w:eastAsiaTheme="minorHAnsi" w:hAnsiTheme="minorHAnsi" w:cs="Arial"/>
          <w:b/>
          <w:szCs w:val="22"/>
        </w:rPr>
        <w:t>Discussion:</w:t>
      </w:r>
    </w:p>
    <w:p w14:paraId="5195166D" w14:textId="0518C7BA" w:rsidR="00B855C3" w:rsidRPr="00A04C9B" w:rsidRDefault="00B855C3" w:rsidP="00B855C3">
      <w:pPr>
        <w:pStyle w:val="BodyText"/>
        <w:numPr>
          <w:ilvl w:val="0"/>
          <w:numId w:val="13"/>
        </w:num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b/>
          <w:szCs w:val="22"/>
        </w:rPr>
      </w:pPr>
      <w:r>
        <w:rPr>
          <w:rFonts w:asciiTheme="minorHAnsi" w:eastAsiaTheme="minorHAnsi" w:hAnsiTheme="minorHAnsi" w:cs="Arial"/>
          <w:szCs w:val="22"/>
        </w:rPr>
        <w:t xml:space="preserve">Do </w:t>
      </w:r>
      <w:r w:rsidR="00A04C9B">
        <w:rPr>
          <w:rFonts w:asciiTheme="minorHAnsi" w:eastAsiaTheme="minorHAnsi" w:hAnsiTheme="minorHAnsi" w:cs="Arial"/>
          <w:szCs w:val="22"/>
        </w:rPr>
        <w:t xml:space="preserve">colleagues </w:t>
      </w:r>
      <w:r>
        <w:rPr>
          <w:rFonts w:asciiTheme="minorHAnsi" w:eastAsiaTheme="minorHAnsi" w:hAnsiTheme="minorHAnsi" w:cs="Arial"/>
          <w:szCs w:val="22"/>
        </w:rPr>
        <w:t xml:space="preserve">have any observations </w:t>
      </w:r>
      <w:r w:rsidR="00A04C9B">
        <w:rPr>
          <w:rFonts w:asciiTheme="minorHAnsi" w:eastAsiaTheme="minorHAnsi" w:hAnsiTheme="minorHAnsi" w:cs="Arial"/>
          <w:szCs w:val="22"/>
        </w:rPr>
        <w:t xml:space="preserve">on </w:t>
      </w:r>
      <w:r>
        <w:rPr>
          <w:rFonts w:asciiTheme="minorHAnsi" w:eastAsiaTheme="minorHAnsi" w:hAnsiTheme="minorHAnsi" w:cs="Arial"/>
          <w:szCs w:val="22"/>
        </w:rPr>
        <w:t>the analysis of offer rates to WP+ and MAP students?</w:t>
      </w:r>
    </w:p>
    <w:p w14:paraId="22B2CEC3" w14:textId="5EB320F6" w:rsidR="00A04C9B" w:rsidRPr="00B855C3" w:rsidRDefault="00A04C9B" w:rsidP="00B855C3">
      <w:pPr>
        <w:pStyle w:val="BodyText"/>
        <w:numPr>
          <w:ilvl w:val="0"/>
          <w:numId w:val="13"/>
        </w:num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b/>
          <w:szCs w:val="22"/>
        </w:rPr>
      </w:pPr>
      <w:r>
        <w:rPr>
          <w:rFonts w:asciiTheme="minorHAnsi" w:eastAsiaTheme="minorHAnsi" w:hAnsiTheme="minorHAnsi" w:cs="Arial"/>
          <w:szCs w:val="22"/>
        </w:rPr>
        <w:t xml:space="preserve">Is there any additional analysis which would be helpful? </w:t>
      </w:r>
    </w:p>
    <w:p w14:paraId="7A13DFAB" w14:textId="380A98DE" w:rsidR="00A20296" w:rsidRPr="00B73F1A" w:rsidRDefault="00B73F1A" w:rsidP="00B855C3">
      <w:pPr>
        <w:pStyle w:val="BodyText"/>
        <w:numPr>
          <w:ilvl w:val="0"/>
          <w:numId w:val="13"/>
        </w:numPr>
        <w:pBdr>
          <w:top w:val="single" w:sz="4" w:space="1" w:color="auto"/>
          <w:left w:val="single" w:sz="4" w:space="4" w:color="auto"/>
          <w:bottom w:val="single" w:sz="4" w:space="1" w:color="auto"/>
          <w:right w:val="single" w:sz="4" w:space="4" w:color="auto"/>
        </w:pBdr>
        <w:spacing w:line="276" w:lineRule="auto"/>
        <w:rPr>
          <w:rFonts w:asciiTheme="minorHAnsi" w:eastAsiaTheme="minorHAnsi" w:hAnsiTheme="minorHAnsi" w:cs="Arial"/>
          <w:b/>
          <w:szCs w:val="22"/>
        </w:rPr>
      </w:pPr>
      <w:r>
        <w:rPr>
          <w:rFonts w:asciiTheme="minorHAnsi" w:eastAsiaTheme="minorHAnsi" w:hAnsiTheme="minorHAnsi" w:cs="Arial"/>
          <w:szCs w:val="22"/>
        </w:rPr>
        <w:t>What implications do the</w:t>
      </w:r>
      <w:r w:rsidR="00B855C3">
        <w:rPr>
          <w:rFonts w:asciiTheme="minorHAnsi" w:eastAsiaTheme="minorHAnsi" w:hAnsiTheme="minorHAnsi" w:cs="Arial"/>
          <w:szCs w:val="22"/>
        </w:rPr>
        <w:t xml:space="preserve"> analysis and evaluation have for the contextual offer process for 2020 confirmation and clearing and the future development of the use of contextual data, particularly in light of our APP access target?</w:t>
      </w:r>
    </w:p>
    <w:p w14:paraId="6778AD36" w14:textId="77777777" w:rsidR="00CE2C52" w:rsidRDefault="00CE2C52" w:rsidP="00F30757">
      <w:pPr>
        <w:pStyle w:val="BodyText"/>
        <w:spacing w:line="276" w:lineRule="auto"/>
        <w:ind w:hanging="567"/>
        <w:rPr>
          <w:rFonts w:asciiTheme="minorHAnsi" w:eastAsiaTheme="minorHAnsi" w:hAnsiTheme="minorHAnsi" w:cs="Arial"/>
          <w:szCs w:val="22"/>
        </w:rPr>
      </w:pPr>
    </w:p>
    <w:p w14:paraId="3E2A08E1" w14:textId="76B68C4C" w:rsidR="00B855C3" w:rsidRDefault="00B855C3">
      <w:pPr>
        <w:rPr>
          <w:rFonts w:cs="Arial"/>
        </w:rPr>
      </w:pPr>
    </w:p>
    <w:p w14:paraId="6DA36771" w14:textId="411E04B7" w:rsidR="00B855C3" w:rsidRPr="00B855C3" w:rsidRDefault="00B855C3" w:rsidP="00A04C9B">
      <w:pPr>
        <w:jc w:val="right"/>
        <w:rPr>
          <w:i/>
        </w:rPr>
      </w:pPr>
      <w:r w:rsidRPr="00B855C3">
        <w:rPr>
          <w:i/>
        </w:rPr>
        <w:t>Appendix 1</w:t>
      </w:r>
    </w:p>
    <w:p w14:paraId="30C453BC" w14:textId="77777777" w:rsidR="00CE2C52" w:rsidRDefault="00CE2C52" w:rsidP="00CE2C52">
      <w:pPr>
        <w:rPr>
          <w:b/>
        </w:rPr>
      </w:pPr>
      <w:r w:rsidRPr="00440B92">
        <w:rPr>
          <w:b/>
        </w:rPr>
        <w:t>Contextual Offers 2019 Admissions Cycle</w:t>
      </w:r>
    </w:p>
    <w:p w14:paraId="76CD2C89" w14:textId="77777777" w:rsidR="00CE2C52" w:rsidRPr="008457ED" w:rsidRDefault="00CE2C52" w:rsidP="00CE2C52">
      <w:pPr>
        <w:rPr>
          <w:b/>
        </w:rPr>
      </w:pPr>
      <w:r>
        <w:rPr>
          <w:b/>
        </w:rPr>
        <w:t>C</w:t>
      </w:r>
      <w:r w:rsidRPr="008457ED">
        <w:rPr>
          <w:b/>
        </w:rPr>
        <w:t>ohort</w:t>
      </w:r>
    </w:p>
    <w:p w14:paraId="38326A6C" w14:textId="77777777" w:rsidR="00CE2C52" w:rsidRDefault="00CE2C52" w:rsidP="00D770D5">
      <w:pPr>
        <w:pStyle w:val="ListParagraph"/>
        <w:numPr>
          <w:ilvl w:val="0"/>
          <w:numId w:val="2"/>
        </w:numPr>
        <w:spacing w:after="160" w:line="259" w:lineRule="auto"/>
        <w:jc w:val="both"/>
      </w:pPr>
      <w:r>
        <w:t>Applications in the 2018 and 2019 cycles who held a Conditional Firm or Conditional Insurance Offer</w:t>
      </w:r>
    </w:p>
    <w:p w14:paraId="01298562" w14:textId="77777777" w:rsidR="00CE2C52" w:rsidRDefault="00CE2C52" w:rsidP="00D770D5">
      <w:pPr>
        <w:pStyle w:val="ListParagraph"/>
        <w:numPr>
          <w:ilvl w:val="0"/>
          <w:numId w:val="2"/>
        </w:numPr>
        <w:spacing w:after="160" w:line="259" w:lineRule="auto"/>
        <w:jc w:val="both"/>
      </w:pPr>
      <w:r>
        <w:t>Applicants who had achieved at least three A*-E grades verified through the ABL exam board data</w:t>
      </w:r>
    </w:p>
    <w:p w14:paraId="30EEB367" w14:textId="77777777" w:rsidR="00CE2C52" w:rsidRDefault="00CE2C52" w:rsidP="00CE2C52">
      <w:pPr>
        <w:jc w:val="both"/>
        <w:rPr>
          <w:b/>
        </w:rPr>
      </w:pPr>
      <w:r>
        <w:rPr>
          <w:b/>
        </w:rPr>
        <w:t>Data Caveats</w:t>
      </w:r>
    </w:p>
    <w:p w14:paraId="5065561A" w14:textId="77777777" w:rsidR="00CE2C52" w:rsidRDefault="00CE2C52" w:rsidP="00D770D5">
      <w:pPr>
        <w:pStyle w:val="ListParagraph"/>
        <w:numPr>
          <w:ilvl w:val="0"/>
          <w:numId w:val="5"/>
        </w:numPr>
        <w:spacing w:after="160" w:line="259" w:lineRule="auto"/>
        <w:jc w:val="both"/>
      </w:pPr>
      <w:r>
        <w:t xml:space="preserve">This data relates </w:t>
      </w:r>
      <w:r w:rsidRPr="0096047D">
        <w:rPr>
          <w:b/>
        </w:rPr>
        <w:t>only</w:t>
      </w:r>
      <w:r>
        <w:t xml:space="preserve"> to those applications listed in the cohort above – it does not cover applicants who applied with alternative entry qualifications (e.g. BTEC, International Qualifications)</w:t>
      </w:r>
    </w:p>
    <w:p w14:paraId="5AA50710" w14:textId="77777777" w:rsidR="00CE2C52" w:rsidRPr="008457ED" w:rsidRDefault="00CE2C52" w:rsidP="00D770D5">
      <w:pPr>
        <w:pStyle w:val="ListParagraph"/>
        <w:numPr>
          <w:ilvl w:val="0"/>
          <w:numId w:val="5"/>
        </w:numPr>
        <w:spacing w:after="160" w:line="259" w:lineRule="auto"/>
        <w:jc w:val="both"/>
      </w:pPr>
      <w:r>
        <w:t xml:space="preserve">Actual offers made to individuals have been assumed based on the published entry requirement data, and do not reflect specific subject requirements (e.g. </w:t>
      </w:r>
      <w:proofErr w:type="gramStart"/>
      <w:r>
        <w:t>A</w:t>
      </w:r>
      <w:proofErr w:type="gramEnd"/>
      <w:r>
        <w:t xml:space="preserve"> in Mathematics).</w:t>
      </w:r>
    </w:p>
    <w:p w14:paraId="080CCA48" w14:textId="77777777" w:rsidR="00CE2C52" w:rsidRPr="008457ED" w:rsidRDefault="00CE2C52" w:rsidP="00CE2C52">
      <w:pPr>
        <w:rPr>
          <w:b/>
        </w:rPr>
      </w:pPr>
      <w:r w:rsidRPr="008457ED">
        <w:rPr>
          <w:b/>
        </w:rPr>
        <w:t>Headline Figures</w:t>
      </w:r>
    </w:p>
    <w:p w14:paraId="6DB8DAFC" w14:textId="77777777" w:rsidR="00CE2C52" w:rsidRPr="008457ED" w:rsidRDefault="00CE2C52" w:rsidP="00CE2C52">
      <w:pPr>
        <w:rPr>
          <w:i/>
        </w:rPr>
      </w:pPr>
      <w:r w:rsidRPr="008457ED">
        <w:rPr>
          <w:i/>
        </w:rPr>
        <w:t>Contextual Offers</w:t>
      </w:r>
      <w:r>
        <w:rPr>
          <w:i/>
        </w:rPr>
        <w:t xml:space="preserve"> (WP Plus flags)</w:t>
      </w:r>
    </w:p>
    <w:p w14:paraId="67B5E38A" w14:textId="77777777" w:rsidR="00CE2C52" w:rsidRDefault="00CE2C52" w:rsidP="00D770D5">
      <w:pPr>
        <w:pStyle w:val="ListParagraph"/>
        <w:numPr>
          <w:ilvl w:val="0"/>
          <w:numId w:val="3"/>
        </w:numPr>
        <w:spacing w:after="160" w:line="259" w:lineRule="auto"/>
        <w:jc w:val="both"/>
      </w:pPr>
      <w:r w:rsidRPr="00440B92">
        <w:t>Of the just under 12,000 applications in 2019 in this cohort, 1162 were Conditional Firm offe</w:t>
      </w:r>
      <w:r>
        <w:t>r holders with a WP Plus flag and would</w:t>
      </w:r>
      <w:r w:rsidRPr="00440B92">
        <w:t xml:space="preserve"> therefore </w:t>
      </w:r>
      <w:r>
        <w:t xml:space="preserve">have been </w:t>
      </w:r>
      <w:r w:rsidRPr="00440B92">
        <w:t>el</w:t>
      </w:r>
      <w:r>
        <w:t>igible for the contextual offer (Table 1).</w:t>
      </w:r>
    </w:p>
    <w:p w14:paraId="47E717D9" w14:textId="77777777" w:rsidR="00CE2C52" w:rsidRDefault="00CE2C52" w:rsidP="00D770D5">
      <w:pPr>
        <w:pStyle w:val="ListParagraph"/>
        <w:numPr>
          <w:ilvl w:val="0"/>
          <w:numId w:val="3"/>
        </w:numPr>
        <w:spacing w:after="0" w:line="240" w:lineRule="auto"/>
        <w:contextualSpacing w:val="0"/>
        <w:jc w:val="both"/>
      </w:pPr>
      <w:r w:rsidRPr="00440B92">
        <w:t>Assuming</w:t>
      </w:r>
      <w:r>
        <w:t xml:space="preserve"> that these applicants were made the minimum contextual offer for their course</w:t>
      </w:r>
      <w:r>
        <w:rPr>
          <w:rStyle w:val="FootnoteReference"/>
        </w:rPr>
        <w:footnoteReference w:id="4"/>
      </w:r>
      <w:r>
        <w:t>, 55% of them missed it by more than one grade (n= 624) and an additional 14% missed it by one grade. This leaves just 31% who met the contextual offer; of which 17% were above the contextual offer and therefore did not need the grade reduction</w:t>
      </w:r>
      <w:r>
        <w:rPr>
          <w:rStyle w:val="FootnoteReference"/>
        </w:rPr>
        <w:footnoteReference w:id="5"/>
      </w:r>
      <w:r>
        <w:t xml:space="preserve"> (Figures 1-6).</w:t>
      </w:r>
    </w:p>
    <w:p w14:paraId="078ABD32" w14:textId="77777777" w:rsidR="00CE2C52" w:rsidRDefault="00CE2C52" w:rsidP="00D770D5">
      <w:pPr>
        <w:pStyle w:val="ListParagraph"/>
        <w:numPr>
          <w:ilvl w:val="0"/>
          <w:numId w:val="3"/>
        </w:numPr>
        <w:spacing w:after="0" w:line="240" w:lineRule="auto"/>
        <w:contextualSpacing w:val="0"/>
        <w:jc w:val="both"/>
      </w:pPr>
      <w:r>
        <w:t>96% of CF WP Plus applicants in the 2019 cycle who met or exceeded their contextual offer are known to have been admitted</w:t>
      </w:r>
      <w:r>
        <w:rPr>
          <w:rStyle w:val="FootnoteReference"/>
        </w:rPr>
        <w:footnoteReference w:id="6"/>
      </w:r>
      <w:r>
        <w:t xml:space="preserve"> (n = 306). Just under half of CF WP Plus applicants in 2019 who missed their contextual offer by one grade (i.e. two grades below the typical minimum offer) have also been admitted (n = 61) (Table 2 and Figures 7 and 8).</w:t>
      </w:r>
    </w:p>
    <w:p w14:paraId="7088E713" w14:textId="77777777" w:rsidR="00CE2C52" w:rsidRDefault="00CE2C52" w:rsidP="00CE2C52">
      <w:pPr>
        <w:spacing w:after="0" w:line="240" w:lineRule="auto"/>
        <w:jc w:val="both"/>
        <w:rPr>
          <w:i/>
        </w:rPr>
      </w:pPr>
    </w:p>
    <w:p w14:paraId="4F15C1C8" w14:textId="77777777" w:rsidR="00CE2C52" w:rsidRDefault="00CE2C52" w:rsidP="00CE2C52">
      <w:pPr>
        <w:spacing w:after="0" w:line="240" w:lineRule="auto"/>
        <w:jc w:val="both"/>
        <w:rPr>
          <w:i/>
        </w:rPr>
      </w:pPr>
      <w:r w:rsidRPr="008457ED">
        <w:rPr>
          <w:i/>
        </w:rPr>
        <w:t>MAP</w:t>
      </w:r>
    </w:p>
    <w:p w14:paraId="10B7F57E" w14:textId="77777777" w:rsidR="00CE2C52" w:rsidRPr="008457ED" w:rsidRDefault="00CE2C52" w:rsidP="00CE2C52">
      <w:pPr>
        <w:spacing w:after="0" w:line="240" w:lineRule="auto"/>
        <w:jc w:val="both"/>
        <w:rPr>
          <w:i/>
        </w:rPr>
      </w:pPr>
    </w:p>
    <w:p w14:paraId="7C51A276" w14:textId="77777777" w:rsidR="00CE2C52" w:rsidRDefault="00CE2C52" w:rsidP="00D770D5">
      <w:pPr>
        <w:pStyle w:val="ListParagraph"/>
        <w:numPr>
          <w:ilvl w:val="0"/>
          <w:numId w:val="4"/>
        </w:numPr>
        <w:spacing w:after="160" w:line="259" w:lineRule="auto"/>
        <w:jc w:val="both"/>
      </w:pPr>
      <w:r>
        <w:t xml:space="preserve">Due to the caveats of the data highlighted above, the MAP analysis includes 81 students whereas data held by the MAP team shows that 147 MAP students entered the University in 2019. </w:t>
      </w:r>
    </w:p>
    <w:p w14:paraId="62D271D7" w14:textId="77777777" w:rsidR="00CE2C52" w:rsidRDefault="00CE2C52" w:rsidP="00D770D5">
      <w:pPr>
        <w:pStyle w:val="ListParagraph"/>
        <w:numPr>
          <w:ilvl w:val="0"/>
          <w:numId w:val="4"/>
        </w:numPr>
        <w:spacing w:after="160" w:line="259" w:lineRule="auto"/>
        <w:jc w:val="both"/>
      </w:pPr>
      <w:r>
        <w:t xml:space="preserve">39% of CF </w:t>
      </w:r>
      <w:r w:rsidRPr="008457ED">
        <w:rPr>
          <w:u w:val="single"/>
        </w:rPr>
        <w:t>MAP</w:t>
      </w:r>
      <w:r>
        <w:t xml:space="preserve"> applicants in 2019 met or exceeded their lower offer (reduced by 2 grades), compared to 46% in 2018. In 2019, 13% of MAP students met the typical minimum offer for the course (i.e. 2 grades higher than their MAP offer), compared to 19% in 2018 (Figure 9).</w:t>
      </w:r>
    </w:p>
    <w:p w14:paraId="3E663161" w14:textId="77777777" w:rsidR="00CE2C52" w:rsidRDefault="00CE2C52" w:rsidP="00D770D5">
      <w:pPr>
        <w:pStyle w:val="ListParagraph"/>
        <w:numPr>
          <w:ilvl w:val="0"/>
          <w:numId w:val="4"/>
        </w:numPr>
        <w:spacing w:after="160" w:line="259" w:lineRule="auto"/>
        <w:jc w:val="both"/>
      </w:pPr>
      <w:r>
        <w:t>86% of 2019 MAP applicants in this cohort who met or exceeded their MAP offer (2 grade reduction) are known to have been admitted</w:t>
      </w:r>
      <w:r>
        <w:rPr>
          <w:rStyle w:val="FootnoteReference"/>
        </w:rPr>
        <w:footnoteReference w:id="7"/>
      </w:r>
      <w:r>
        <w:t xml:space="preserve"> - this is equal to the figure for 2018.</w:t>
      </w:r>
    </w:p>
    <w:p w14:paraId="71811BC5" w14:textId="77777777" w:rsidR="00CE2C52" w:rsidRDefault="00CE2C52" w:rsidP="00D770D5">
      <w:pPr>
        <w:pStyle w:val="ListParagraph"/>
        <w:numPr>
          <w:ilvl w:val="0"/>
          <w:numId w:val="4"/>
        </w:numPr>
        <w:spacing w:after="160" w:line="259" w:lineRule="auto"/>
        <w:jc w:val="both"/>
      </w:pPr>
      <w:r>
        <w:t>Only 6% of MAP applicants in 2019 who missed their MAP offer by an additional grade (3 grades below the typical minimum) were admitted, compared to 19% in 2018 (Table 3 and Figure 10).</w:t>
      </w:r>
    </w:p>
    <w:p w14:paraId="011343FD" w14:textId="77777777" w:rsidR="00CE2C52" w:rsidRDefault="00CE2C52" w:rsidP="00CE2C52">
      <w:r>
        <w:br w:type="page"/>
      </w:r>
      <w:r w:rsidRPr="00440B92">
        <w:rPr>
          <w:noProof/>
          <w:lang w:eastAsia="en-GB"/>
        </w:rPr>
        <w:lastRenderedPageBreak/>
        <w:drawing>
          <wp:anchor distT="0" distB="0" distL="114300" distR="114300" simplePos="0" relativeHeight="251659776" behindDoc="0" locked="0" layoutInCell="1" allowOverlap="1" wp14:anchorId="64ACFFF3" wp14:editId="5BE3F534">
            <wp:simplePos x="0" y="0"/>
            <wp:positionH relativeFrom="margin">
              <wp:align>left</wp:align>
            </wp:positionH>
            <wp:positionV relativeFrom="paragraph">
              <wp:posOffset>276446</wp:posOffset>
            </wp:positionV>
            <wp:extent cx="3242930" cy="18722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2930" cy="1872289"/>
                    </a:xfrm>
                    <a:prstGeom prst="rect">
                      <a:avLst/>
                    </a:prstGeom>
                    <a:noFill/>
                    <a:ln>
                      <a:noFill/>
                    </a:ln>
                  </pic:spPr>
                </pic:pic>
              </a:graphicData>
            </a:graphic>
            <wp14:sizeRelH relativeFrom="margin">
              <wp14:pctWidth>0</wp14:pctWidth>
            </wp14:sizeRelH>
            <wp14:sizeRelV relativeFrom="margin">
              <wp14:pctHeight>0</wp14:pctHeight>
            </wp14:sizeRelV>
          </wp:anchor>
        </w:drawing>
      </w:r>
      <w:r>
        <w:t>Table 1: Applications by Offer and WP status</w:t>
      </w:r>
    </w:p>
    <w:p w14:paraId="5B23F848" w14:textId="77777777" w:rsidR="00CE2C52" w:rsidRDefault="00CE2C52" w:rsidP="00CE2C52"/>
    <w:p w14:paraId="0DF8C4EB" w14:textId="77777777" w:rsidR="00CE2C52" w:rsidRDefault="00CE2C52" w:rsidP="00CE2C52"/>
    <w:p w14:paraId="1BA71363" w14:textId="77777777" w:rsidR="00CE2C52" w:rsidRDefault="00CE2C52" w:rsidP="00CE2C52"/>
    <w:p w14:paraId="739F704A" w14:textId="77777777" w:rsidR="00CE2C52" w:rsidRDefault="00CE2C52" w:rsidP="00CE2C52"/>
    <w:p w14:paraId="46A3B0FB" w14:textId="77777777" w:rsidR="00CE2C52" w:rsidRDefault="00CE2C52" w:rsidP="00CE2C52"/>
    <w:p w14:paraId="10C96ED2" w14:textId="77777777" w:rsidR="00CE2C52" w:rsidRDefault="00CE2C52" w:rsidP="00CE2C52"/>
    <w:p w14:paraId="1AAD1567" w14:textId="77777777" w:rsidR="00CE2C52" w:rsidRDefault="00CE2C52" w:rsidP="00CE2C52"/>
    <w:p w14:paraId="7D1AE336" w14:textId="77777777" w:rsidR="00CE2C52" w:rsidRDefault="00CE2C52" w:rsidP="00CE2C52"/>
    <w:p w14:paraId="0B8B83CF" w14:textId="77777777" w:rsidR="00CE2C52" w:rsidRDefault="00CE2C52" w:rsidP="00CE2C52">
      <w:r>
        <w:t>Figure 1: Proportion of CF WP Plus applications in 2019 that met or missed their contextual offer</w:t>
      </w:r>
    </w:p>
    <w:p w14:paraId="024C52FA" w14:textId="77777777" w:rsidR="00CE2C52" w:rsidRDefault="00CE2C52" w:rsidP="00CE2C52">
      <w:r>
        <w:rPr>
          <w:noProof/>
          <w:lang w:eastAsia="en-GB"/>
        </w:rPr>
        <w:drawing>
          <wp:inline distT="0" distB="0" distL="0" distR="0" wp14:anchorId="5342A342" wp14:editId="3E7DECE0">
            <wp:extent cx="5296995" cy="330672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6995" cy="3306726"/>
                    </a:xfrm>
                    <a:prstGeom prst="rect">
                      <a:avLst/>
                    </a:prstGeom>
                    <a:noFill/>
                  </pic:spPr>
                </pic:pic>
              </a:graphicData>
            </a:graphic>
          </wp:inline>
        </w:drawing>
      </w:r>
    </w:p>
    <w:p w14:paraId="4517EBD4" w14:textId="77777777" w:rsidR="00CE2C52" w:rsidRDefault="00CE2C52" w:rsidP="00CE2C52"/>
    <w:p w14:paraId="41BF07E6" w14:textId="77777777" w:rsidR="00CE2C52" w:rsidRDefault="00CE2C52" w:rsidP="00CE2C52"/>
    <w:p w14:paraId="589ED1E7" w14:textId="77777777" w:rsidR="00CE2C52" w:rsidRDefault="00CE2C52" w:rsidP="00CE2C52"/>
    <w:p w14:paraId="5FE77278" w14:textId="77777777" w:rsidR="00CE2C52" w:rsidRDefault="00CE2C52" w:rsidP="00CE2C52"/>
    <w:p w14:paraId="4D1F407B" w14:textId="77777777" w:rsidR="00CE2C52" w:rsidRDefault="00CE2C52" w:rsidP="00CE2C52"/>
    <w:p w14:paraId="42F99530" w14:textId="77777777" w:rsidR="00CE2C52" w:rsidRDefault="00CE2C52" w:rsidP="00CE2C52"/>
    <w:p w14:paraId="7BDD187E" w14:textId="77777777" w:rsidR="00CE2C52" w:rsidRDefault="00CE2C52" w:rsidP="00CE2C52"/>
    <w:p w14:paraId="6C01939B" w14:textId="77777777" w:rsidR="00CE2C52" w:rsidRDefault="00CE2C52" w:rsidP="00CE2C52"/>
    <w:p w14:paraId="138888A3" w14:textId="77777777" w:rsidR="00CE2C52" w:rsidRDefault="00CE2C52" w:rsidP="00CE2C52">
      <w:r>
        <w:lastRenderedPageBreak/>
        <w:t>Figure 2: Spread of achieved grades of CF WP Plus applications in 2019 compared to contextual offer</w:t>
      </w:r>
    </w:p>
    <w:p w14:paraId="77EE9B45" w14:textId="77777777" w:rsidR="00CE2C52" w:rsidRDefault="00CE2C52" w:rsidP="00CE2C52">
      <w:r>
        <w:rPr>
          <w:noProof/>
          <w:lang w:eastAsia="en-GB"/>
        </w:rPr>
        <w:drawing>
          <wp:inline distT="0" distB="0" distL="0" distR="0" wp14:anchorId="7FF5154D" wp14:editId="783F398F">
            <wp:extent cx="5694397" cy="3848986"/>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8408" cy="3851697"/>
                    </a:xfrm>
                    <a:prstGeom prst="rect">
                      <a:avLst/>
                    </a:prstGeom>
                    <a:noFill/>
                  </pic:spPr>
                </pic:pic>
              </a:graphicData>
            </a:graphic>
          </wp:inline>
        </w:drawing>
      </w:r>
    </w:p>
    <w:p w14:paraId="17C79FE7" w14:textId="77777777" w:rsidR="00CE2C52" w:rsidRDefault="00CE2C52" w:rsidP="00CE2C52"/>
    <w:p w14:paraId="604E21E1" w14:textId="77777777" w:rsidR="00CE2C52" w:rsidRDefault="00CE2C52" w:rsidP="00CE2C52">
      <w:r>
        <w:t>Figure 3: Spread of achieved grades of CF WP Plus applications in 2019 compared to contextual offer – Faculty of Science and Engineering applications only</w:t>
      </w:r>
    </w:p>
    <w:p w14:paraId="3076A116" w14:textId="77777777" w:rsidR="00CE2C52" w:rsidRDefault="00CE2C52" w:rsidP="00CE2C52">
      <w:r>
        <w:rPr>
          <w:noProof/>
          <w:lang w:eastAsia="en-GB"/>
        </w:rPr>
        <w:drawing>
          <wp:inline distT="0" distB="0" distL="0" distR="0" wp14:anchorId="2C901644" wp14:editId="2EB2F729">
            <wp:extent cx="5734959" cy="347684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89" cy="3516756"/>
                    </a:xfrm>
                    <a:prstGeom prst="rect">
                      <a:avLst/>
                    </a:prstGeom>
                    <a:noFill/>
                  </pic:spPr>
                </pic:pic>
              </a:graphicData>
            </a:graphic>
          </wp:inline>
        </w:drawing>
      </w:r>
    </w:p>
    <w:p w14:paraId="520E957E" w14:textId="77777777" w:rsidR="00CE2C52" w:rsidRDefault="00CE2C52" w:rsidP="00CE2C52"/>
    <w:p w14:paraId="1489EE13" w14:textId="77777777" w:rsidR="00CE2C52" w:rsidRDefault="00CE2C52" w:rsidP="00CE2C52">
      <w:r>
        <w:lastRenderedPageBreak/>
        <w:t>Figure 4: Spread of achieved grades of CF WP Plus applications in 2019 compared to contextual offer – Faculty of Humanities applications only</w:t>
      </w:r>
    </w:p>
    <w:p w14:paraId="0A7F0694" w14:textId="77777777" w:rsidR="00CE2C52" w:rsidRDefault="00CE2C52" w:rsidP="00CE2C52">
      <w:r>
        <w:rPr>
          <w:noProof/>
          <w:lang w:eastAsia="en-GB"/>
        </w:rPr>
        <w:drawing>
          <wp:inline distT="0" distB="0" distL="0" distR="0" wp14:anchorId="22C0AC2C" wp14:editId="5499EA60">
            <wp:extent cx="5773479" cy="32391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4719" cy="3256723"/>
                    </a:xfrm>
                    <a:prstGeom prst="rect">
                      <a:avLst/>
                    </a:prstGeom>
                    <a:noFill/>
                  </pic:spPr>
                </pic:pic>
              </a:graphicData>
            </a:graphic>
          </wp:inline>
        </w:drawing>
      </w:r>
    </w:p>
    <w:p w14:paraId="462C0DAB" w14:textId="77777777" w:rsidR="00CE2C52" w:rsidRDefault="00CE2C52" w:rsidP="00CE2C52"/>
    <w:p w14:paraId="231531EA" w14:textId="77777777" w:rsidR="00CE2C52" w:rsidRDefault="00CE2C52" w:rsidP="00CE2C52"/>
    <w:p w14:paraId="7F289AD9" w14:textId="77777777" w:rsidR="00CE2C52" w:rsidRDefault="00CE2C52" w:rsidP="00CE2C52">
      <w:r>
        <w:t>Figure 5: Spread of achieved grades of CF WP Plus applications in 2019 compared to contextual offer – Faculty of Humanities applications only</w:t>
      </w:r>
    </w:p>
    <w:p w14:paraId="53C9638D" w14:textId="77777777" w:rsidR="00CE2C52" w:rsidRDefault="00CE2C52" w:rsidP="00CE2C52">
      <w:r>
        <w:rPr>
          <w:noProof/>
          <w:lang w:eastAsia="en-GB"/>
        </w:rPr>
        <w:drawing>
          <wp:inline distT="0" distB="0" distL="0" distR="0" wp14:anchorId="2FC14F46" wp14:editId="260B0793">
            <wp:extent cx="5715279" cy="36788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1247" cy="3682706"/>
                    </a:xfrm>
                    <a:prstGeom prst="rect">
                      <a:avLst/>
                    </a:prstGeom>
                    <a:noFill/>
                  </pic:spPr>
                </pic:pic>
              </a:graphicData>
            </a:graphic>
          </wp:inline>
        </w:drawing>
      </w:r>
    </w:p>
    <w:p w14:paraId="6FFD07A3" w14:textId="77777777" w:rsidR="00CE2C52" w:rsidRDefault="00CE2C52" w:rsidP="00CE2C52"/>
    <w:p w14:paraId="591AFC3D" w14:textId="77777777" w:rsidR="00CE2C52" w:rsidRDefault="00CE2C52" w:rsidP="00CE2C52">
      <w:r>
        <w:lastRenderedPageBreak/>
        <w:t>Figure 6:</w:t>
      </w:r>
      <w:r w:rsidRPr="00F06152">
        <w:t xml:space="preserve"> </w:t>
      </w:r>
      <w:r>
        <w:t>Spread of achieved grades of CF WP Plus applications in 2019 compared to contextual offer – Faculty split, shown as percentage of applications for comparison across Faculties</w:t>
      </w:r>
    </w:p>
    <w:p w14:paraId="7B4B8C18" w14:textId="77777777" w:rsidR="00CE2C52" w:rsidRDefault="00CE2C52" w:rsidP="00CE2C52">
      <w:r>
        <w:rPr>
          <w:noProof/>
          <w:lang w:eastAsia="en-GB"/>
        </w:rPr>
        <w:drawing>
          <wp:inline distT="0" distB="0" distL="0" distR="0" wp14:anchorId="102E4F66" wp14:editId="5BA8A9FC">
            <wp:extent cx="6028660" cy="397138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7305" cy="3977084"/>
                    </a:xfrm>
                    <a:prstGeom prst="rect">
                      <a:avLst/>
                    </a:prstGeom>
                    <a:noFill/>
                  </pic:spPr>
                </pic:pic>
              </a:graphicData>
            </a:graphic>
          </wp:inline>
        </w:drawing>
      </w:r>
    </w:p>
    <w:p w14:paraId="1C4A700E" w14:textId="77777777" w:rsidR="00CE2C52" w:rsidRDefault="00CE2C52" w:rsidP="00CE2C52"/>
    <w:p w14:paraId="6EB97BF6" w14:textId="77777777" w:rsidR="00CE2C52" w:rsidRDefault="00CE2C52" w:rsidP="00CE2C52">
      <w:r>
        <w:t>Table 2: Confirmation Decision of CF WP Plus applications in the 2019 cycle</w:t>
      </w:r>
    </w:p>
    <w:p w14:paraId="5CD57304" w14:textId="77777777" w:rsidR="00CE2C52" w:rsidRDefault="00CE2C52" w:rsidP="00CE2C52">
      <w:r w:rsidRPr="0096047D">
        <w:rPr>
          <w:noProof/>
          <w:lang w:eastAsia="en-GB"/>
        </w:rPr>
        <w:drawing>
          <wp:inline distT="0" distB="0" distL="0" distR="0" wp14:anchorId="708E0FA5" wp14:editId="14FB2AC0">
            <wp:extent cx="4362143" cy="3498112"/>
            <wp:effectExtent l="0" t="0" r="63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8127" cy="3502911"/>
                    </a:xfrm>
                    <a:prstGeom prst="rect">
                      <a:avLst/>
                    </a:prstGeom>
                    <a:noFill/>
                    <a:ln>
                      <a:noFill/>
                    </a:ln>
                  </pic:spPr>
                </pic:pic>
              </a:graphicData>
            </a:graphic>
          </wp:inline>
        </w:drawing>
      </w:r>
    </w:p>
    <w:p w14:paraId="03AA5AF7" w14:textId="77777777" w:rsidR="00B855C3" w:rsidRDefault="00B855C3" w:rsidP="00CE2C52"/>
    <w:p w14:paraId="39706888" w14:textId="77777777" w:rsidR="00CE2C52" w:rsidRDefault="00CE2C52" w:rsidP="00CE2C52">
      <w:r>
        <w:lastRenderedPageBreak/>
        <w:t>Figure 7: Percentage of CF WP Plus applications in the 2019 cycle that were admitted</w:t>
      </w:r>
    </w:p>
    <w:p w14:paraId="28670917" w14:textId="77777777" w:rsidR="00CE2C52" w:rsidRDefault="00CE2C52" w:rsidP="00CE2C52">
      <w:r>
        <w:rPr>
          <w:noProof/>
          <w:lang w:eastAsia="en-GB"/>
        </w:rPr>
        <w:drawing>
          <wp:inline distT="0" distB="0" distL="0" distR="0" wp14:anchorId="02A3BA55" wp14:editId="5E2FF34B">
            <wp:extent cx="5731510" cy="3466465"/>
            <wp:effectExtent l="0" t="0" r="2540" b="6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D48F79" w14:textId="77777777" w:rsidR="00CE2C52" w:rsidRDefault="00CE2C52" w:rsidP="00CE2C52"/>
    <w:p w14:paraId="5C90DFCF" w14:textId="77777777" w:rsidR="00CE2C52" w:rsidRDefault="00CE2C52" w:rsidP="00CE2C52">
      <w:r>
        <w:t>Figure 8: Percentage of CF WP Plus applications in the 2019 cycle that were admitted, by Faculty</w:t>
      </w:r>
    </w:p>
    <w:p w14:paraId="3CE6F3A6" w14:textId="77777777" w:rsidR="00CE2C52" w:rsidRDefault="00CE2C52" w:rsidP="00CE2C52">
      <w:r>
        <w:rPr>
          <w:noProof/>
          <w:lang w:eastAsia="en-GB"/>
        </w:rPr>
        <w:drawing>
          <wp:inline distT="0" distB="0" distL="0" distR="0" wp14:anchorId="709568BA" wp14:editId="2EDF884E">
            <wp:extent cx="5911702" cy="4190034"/>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5886" cy="4193000"/>
                    </a:xfrm>
                    <a:prstGeom prst="rect">
                      <a:avLst/>
                    </a:prstGeom>
                    <a:noFill/>
                  </pic:spPr>
                </pic:pic>
              </a:graphicData>
            </a:graphic>
          </wp:inline>
        </w:drawing>
      </w:r>
    </w:p>
    <w:p w14:paraId="031DECEB" w14:textId="77777777" w:rsidR="00CE2C52" w:rsidRDefault="00CE2C52" w:rsidP="00CE2C52">
      <w:r>
        <w:lastRenderedPageBreak/>
        <w:t>Figure 9:</w:t>
      </w:r>
      <w:r w:rsidRPr="00951C27">
        <w:t xml:space="preserve"> </w:t>
      </w:r>
      <w:r>
        <w:t>Spread of achieved grades of CF MAP applications in 2018 and 2019 compared to MAP offer (2 grades below typical for course)</w:t>
      </w:r>
    </w:p>
    <w:p w14:paraId="2E169D08" w14:textId="77777777" w:rsidR="00CE2C52" w:rsidRDefault="00CE2C52" w:rsidP="00CE2C52">
      <w:r>
        <w:rPr>
          <w:noProof/>
          <w:lang w:eastAsia="en-GB"/>
        </w:rPr>
        <w:drawing>
          <wp:inline distT="0" distB="0" distL="0" distR="0" wp14:anchorId="507CDEFE" wp14:editId="61839B20">
            <wp:extent cx="6212030" cy="363633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21534" cy="3641898"/>
                    </a:xfrm>
                    <a:prstGeom prst="rect">
                      <a:avLst/>
                    </a:prstGeom>
                    <a:noFill/>
                  </pic:spPr>
                </pic:pic>
              </a:graphicData>
            </a:graphic>
          </wp:inline>
        </w:drawing>
      </w:r>
    </w:p>
    <w:p w14:paraId="34931573" w14:textId="77777777" w:rsidR="00CE2C52" w:rsidRDefault="00CE2C52" w:rsidP="00CE2C52"/>
    <w:p w14:paraId="09AAA995" w14:textId="77777777" w:rsidR="00CE2C52" w:rsidRDefault="00CE2C52" w:rsidP="00CE2C52">
      <w:r>
        <w:t>Table 3:</w:t>
      </w:r>
      <w:r w:rsidRPr="002A496A">
        <w:t xml:space="preserve"> </w:t>
      </w:r>
      <w:r>
        <w:t>Confirmation Decision of CF MAP applications in the 2018 and 2019 cycles</w:t>
      </w:r>
    </w:p>
    <w:p w14:paraId="73387392" w14:textId="77777777" w:rsidR="00CE2C52" w:rsidRDefault="00CE2C52" w:rsidP="00CE2C52">
      <w:r w:rsidRPr="00AA59F1">
        <w:rPr>
          <w:noProof/>
          <w:lang w:eastAsia="en-GB"/>
        </w:rPr>
        <w:drawing>
          <wp:inline distT="0" distB="0" distL="0" distR="0" wp14:anchorId="10E30733" wp14:editId="7097EA91">
            <wp:extent cx="6195426" cy="3519376"/>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7904" cy="3520784"/>
                    </a:xfrm>
                    <a:prstGeom prst="rect">
                      <a:avLst/>
                    </a:prstGeom>
                    <a:noFill/>
                    <a:ln>
                      <a:noFill/>
                    </a:ln>
                  </pic:spPr>
                </pic:pic>
              </a:graphicData>
            </a:graphic>
          </wp:inline>
        </w:drawing>
      </w:r>
    </w:p>
    <w:p w14:paraId="57B69BF4" w14:textId="77777777" w:rsidR="00CE2C52" w:rsidRDefault="00CE2C52" w:rsidP="00CE2C52">
      <w:r>
        <w:rPr>
          <w:noProof/>
          <w:lang w:eastAsia="en-GB"/>
        </w:rPr>
        <w:lastRenderedPageBreak/>
        <w:drawing>
          <wp:anchor distT="0" distB="0" distL="114300" distR="114300" simplePos="0" relativeHeight="251660800" behindDoc="0" locked="0" layoutInCell="1" allowOverlap="1" wp14:anchorId="0F0EC1FA" wp14:editId="44344CB1">
            <wp:simplePos x="0" y="0"/>
            <wp:positionH relativeFrom="margin">
              <wp:posOffset>-349605</wp:posOffset>
            </wp:positionH>
            <wp:positionV relativeFrom="paragraph">
              <wp:posOffset>286385</wp:posOffset>
            </wp:positionV>
            <wp:extent cx="6294120" cy="3769360"/>
            <wp:effectExtent l="0" t="0" r="0" b="2540"/>
            <wp:wrapThrough wrapText="bothSides">
              <wp:wrapPolygon edited="0">
                <wp:start x="0" y="0"/>
                <wp:lineTo x="0" y="21505"/>
                <wp:lineTo x="21508" y="21505"/>
                <wp:lineTo x="21508"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4120" cy="3769360"/>
                    </a:xfrm>
                    <a:prstGeom prst="rect">
                      <a:avLst/>
                    </a:prstGeom>
                    <a:noFill/>
                  </pic:spPr>
                </pic:pic>
              </a:graphicData>
            </a:graphic>
            <wp14:sizeRelH relativeFrom="margin">
              <wp14:pctWidth>0</wp14:pctWidth>
            </wp14:sizeRelH>
            <wp14:sizeRelV relativeFrom="margin">
              <wp14:pctHeight>0</wp14:pctHeight>
            </wp14:sizeRelV>
          </wp:anchor>
        </w:drawing>
      </w:r>
      <w:r>
        <w:t>Figure 10:</w:t>
      </w:r>
      <w:r w:rsidRPr="008457ED">
        <w:t xml:space="preserve"> </w:t>
      </w:r>
      <w:r>
        <w:t>Percentage of CF WP Plus applications in the 2018 and 2019 cycles that were admitted</w:t>
      </w:r>
    </w:p>
    <w:p w14:paraId="1389B97C" w14:textId="77777777" w:rsidR="00CE2C52" w:rsidRDefault="00CE2C52" w:rsidP="00CE2C52">
      <w:r>
        <w:rPr>
          <w:noProof/>
          <w:lang w:eastAsia="en-GB"/>
        </w:rPr>
        <w:drawing>
          <wp:anchor distT="0" distB="0" distL="114300" distR="114300" simplePos="0" relativeHeight="251661824" behindDoc="0" locked="0" layoutInCell="1" allowOverlap="1" wp14:anchorId="256EF6F9" wp14:editId="2D056BAD">
            <wp:simplePos x="0" y="0"/>
            <wp:positionH relativeFrom="column">
              <wp:posOffset>-350372</wp:posOffset>
            </wp:positionH>
            <wp:positionV relativeFrom="paragraph">
              <wp:posOffset>4349558</wp:posOffset>
            </wp:positionV>
            <wp:extent cx="6305107" cy="4318496"/>
            <wp:effectExtent l="0" t="0" r="635"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05107" cy="4318496"/>
                    </a:xfrm>
                    <a:prstGeom prst="rect">
                      <a:avLst/>
                    </a:prstGeom>
                    <a:noFill/>
                  </pic:spPr>
                </pic:pic>
              </a:graphicData>
            </a:graphic>
            <wp14:sizeRelH relativeFrom="margin">
              <wp14:pctWidth>0</wp14:pctWidth>
            </wp14:sizeRelH>
            <wp14:sizeRelV relativeFrom="margin">
              <wp14:pctHeight>0</wp14:pctHeight>
            </wp14:sizeRelV>
          </wp:anchor>
        </w:drawing>
      </w:r>
      <w:r>
        <w:t>Figure 11: Percentage of CF WP Plus applications in the 2019 cycle only that were admitted, by Faculty</w:t>
      </w:r>
    </w:p>
    <w:p w14:paraId="259D755B" w14:textId="77777777" w:rsidR="00CE2C52" w:rsidRPr="00440B92" w:rsidRDefault="00CE2C52" w:rsidP="00CE2C52"/>
    <w:p w14:paraId="24ABFD73" w14:textId="3974AA1A" w:rsidR="00B73F1A" w:rsidRDefault="00B73F1A">
      <w:pPr>
        <w:rPr>
          <w:rFonts w:cs="Arial"/>
        </w:rPr>
      </w:pPr>
      <w:r>
        <w:rPr>
          <w:rFonts w:cs="Arial"/>
        </w:rPr>
        <w:br w:type="page"/>
      </w:r>
    </w:p>
    <w:p w14:paraId="3B4868A7" w14:textId="77777777" w:rsidR="00B73F1A" w:rsidRDefault="00B73F1A" w:rsidP="00BB5B3C">
      <w:pPr>
        <w:pStyle w:val="BodyText"/>
        <w:spacing w:line="276" w:lineRule="auto"/>
        <w:ind w:hanging="567"/>
        <w:rPr>
          <w:rFonts w:asciiTheme="minorHAnsi" w:eastAsiaTheme="minorHAnsi" w:hAnsiTheme="minorHAnsi" w:cs="Arial"/>
          <w:szCs w:val="22"/>
        </w:rPr>
        <w:sectPr w:rsidR="00B73F1A" w:rsidSect="00CE2C52">
          <w:footerReference w:type="default" r:id="rId24"/>
          <w:pgSz w:w="11906" w:h="16838"/>
          <w:pgMar w:top="1134" w:right="1134" w:bottom="851" w:left="1134" w:header="709" w:footer="709" w:gutter="0"/>
          <w:cols w:space="708"/>
          <w:docGrid w:linePitch="360"/>
        </w:sectPr>
      </w:pPr>
    </w:p>
    <w:p w14:paraId="6AE042EB" w14:textId="6167FED4" w:rsidR="00B73F1A" w:rsidRPr="00B73F1A" w:rsidRDefault="00B73F1A" w:rsidP="00B73F1A">
      <w:pPr>
        <w:pStyle w:val="BodyText"/>
        <w:spacing w:line="276" w:lineRule="auto"/>
        <w:jc w:val="right"/>
        <w:rPr>
          <w:rFonts w:asciiTheme="minorHAnsi" w:eastAsiaTheme="minorHAnsi" w:hAnsiTheme="minorHAnsi" w:cs="Arial"/>
          <w:i/>
          <w:szCs w:val="22"/>
        </w:rPr>
      </w:pPr>
      <w:r w:rsidRPr="00B73F1A">
        <w:rPr>
          <w:rFonts w:asciiTheme="minorHAnsi" w:eastAsiaTheme="minorHAnsi" w:hAnsiTheme="minorHAnsi" w:cs="Arial"/>
          <w:i/>
          <w:szCs w:val="22"/>
        </w:rPr>
        <w:lastRenderedPageBreak/>
        <w:t>Appendix 2</w:t>
      </w:r>
    </w:p>
    <w:p w14:paraId="4BAE8029" w14:textId="36432D74" w:rsidR="00BB5B3C" w:rsidRPr="00F30757" w:rsidRDefault="00B73F1A" w:rsidP="00B73F1A">
      <w:pPr>
        <w:pStyle w:val="BodyText"/>
        <w:spacing w:line="276" w:lineRule="auto"/>
        <w:rPr>
          <w:rFonts w:asciiTheme="minorHAnsi" w:eastAsiaTheme="minorHAnsi" w:hAnsiTheme="minorHAnsi" w:cs="Arial"/>
          <w:szCs w:val="22"/>
        </w:rPr>
      </w:pPr>
      <w:r w:rsidRPr="00FB1FFB">
        <w:rPr>
          <w:rFonts w:eastAsiaTheme="minorHAnsi"/>
          <w:noProof/>
          <w:lang w:eastAsia="en-GB"/>
        </w:rPr>
        <w:drawing>
          <wp:anchor distT="0" distB="0" distL="114300" distR="114300" simplePos="0" relativeHeight="251663872" behindDoc="1" locked="0" layoutInCell="1" allowOverlap="1" wp14:anchorId="155A22CE" wp14:editId="7507107C">
            <wp:simplePos x="0" y="0"/>
            <wp:positionH relativeFrom="margin">
              <wp:align>left</wp:align>
            </wp:positionH>
            <wp:positionV relativeFrom="paragraph">
              <wp:posOffset>650875</wp:posOffset>
            </wp:positionV>
            <wp:extent cx="7504430" cy="5130165"/>
            <wp:effectExtent l="0" t="0" r="1270" b="0"/>
            <wp:wrapTight wrapText="bothSides">
              <wp:wrapPolygon edited="0">
                <wp:start x="0" y="0"/>
                <wp:lineTo x="0" y="21496"/>
                <wp:lineTo x="20507" y="21496"/>
                <wp:lineTo x="21549" y="21175"/>
                <wp:lineTo x="21549" y="19170"/>
                <wp:lineTo x="20507" y="17967"/>
                <wp:lineTo x="20507" y="3850"/>
                <wp:lineTo x="21275" y="3850"/>
                <wp:lineTo x="21549" y="3529"/>
                <wp:lineTo x="2154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04430" cy="5130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Arial"/>
          <w:szCs w:val="22"/>
        </w:rPr>
        <w:t xml:space="preserve">Table showing the ratio between advantaged and disadvantaged students by Faculty and School. The table also shows which School are participating in the Manchester Distance Access Scheme (MDAS) and the number of students admitted through MDAS and the Manchester Access Programme (MAP). The table also shows the number of students admitted through School-led access initiatives which operative in the School of Social Sciences. </w:t>
      </w:r>
    </w:p>
    <w:sectPr w:rsidR="00BB5B3C" w:rsidRPr="00F30757" w:rsidSect="00B73F1A">
      <w:pgSz w:w="16838" w:h="11906" w:orient="landscape"/>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2CC75" w14:textId="77777777" w:rsidR="0073383C" w:rsidRDefault="0073383C" w:rsidP="007C10AE">
      <w:pPr>
        <w:spacing w:after="0" w:line="240" w:lineRule="auto"/>
      </w:pPr>
      <w:r>
        <w:separator/>
      </w:r>
    </w:p>
  </w:endnote>
  <w:endnote w:type="continuationSeparator" w:id="0">
    <w:p w14:paraId="153A8219" w14:textId="77777777" w:rsidR="0073383C" w:rsidRDefault="0073383C" w:rsidP="007C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 B5 Plain">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1062961"/>
      <w:docPartObj>
        <w:docPartGallery w:val="Page Numbers (Bottom of Page)"/>
        <w:docPartUnique/>
      </w:docPartObj>
    </w:sdtPr>
    <w:sdtEndPr>
      <w:rPr>
        <w:noProof/>
      </w:rPr>
    </w:sdtEndPr>
    <w:sdtContent>
      <w:p w14:paraId="116616A3" w14:textId="10039A6E" w:rsidR="0073383C" w:rsidRPr="00FA423C" w:rsidRDefault="0073383C">
        <w:pPr>
          <w:pStyle w:val="Footer"/>
          <w:jc w:val="center"/>
          <w:rPr>
            <w:sz w:val="20"/>
            <w:szCs w:val="20"/>
          </w:rPr>
        </w:pPr>
        <w:r w:rsidRPr="00FA423C">
          <w:rPr>
            <w:sz w:val="20"/>
            <w:szCs w:val="20"/>
          </w:rPr>
          <w:fldChar w:fldCharType="begin"/>
        </w:r>
        <w:r w:rsidRPr="00FA423C">
          <w:rPr>
            <w:sz w:val="20"/>
            <w:szCs w:val="20"/>
          </w:rPr>
          <w:instrText xml:space="preserve"> PAGE   \* MERGEFORMAT </w:instrText>
        </w:r>
        <w:r w:rsidRPr="00FA423C">
          <w:rPr>
            <w:sz w:val="20"/>
            <w:szCs w:val="20"/>
          </w:rPr>
          <w:fldChar w:fldCharType="separate"/>
        </w:r>
        <w:r w:rsidR="00DA7D79">
          <w:rPr>
            <w:noProof/>
            <w:sz w:val="20"/>
            <w:szCs w:val="20"/>
          </w:rPr>
          <w:t>11</w:t>
        </w:r>
        <w:r w:rsidRPr="00FA423C">
          <w:rPr>
            <w:noProof/>
            <w:sz w:val="20"/>
            <w:szCs w:val="20"/>
          </w:rPr>
          <w:fldChar w:fldCharType="end"/>
        </w:r>
      </w:p>
    </w:sdtContent>
  </w:sdt>
  <w:p w14:paraId="147F13FB" w14:textId="77777777" w:rsidR="0073383C" w:rsidRDefault="00733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DC9CB" w14:textId="77777777" w:rsidR="0073383C" w:rsidRDefault="0073383C" w:rsidP="007C10AE">
      <w:pPr>
        <w:spacing w:after="0" w:line="240" w:lineRule="auto"/>
      </w:pPr>
      <w:r>
        <w:separator/>
      </w:r>
    </w:p>
  </w:footnote>
  <w:footnote w:type="continuationSeparator" w:id="0">
    <w:p w14:paraId="46A05CAA" w14:textId="77777777" w:rsidR="0073383C" w:rsidRDefault="0073383C" w:rsidP="007C10AE">
      <w:pPr>
        <w:spacing w:after="0" w:line="240" w:lineRule="auto"/>
      </w:pPr>
      <w:r>
        <w:continuationSeparator/>
      </w:r>
    </w:p>
  </w:footnote>
  <w:footnote w:id="1">
    <w:p w14:paraId="4CE55010" w14:textId="77777777" w:rsidR="0073383C" w:rsidRDefault="0073383C" w:rsidP="00CE2C52">
      <w:pPr>
        <w:pStyle w:val="FootnoteText"/>
      </w:pPr>
      <w:r>
        <w:rPr>
          <w:rStyle w:val="FootnoteReference"/>
        </w:rPr>
        <w:footnoteRef/>
      </w:r>
      <w:r>
        <w:t xml:space="preserve"> It should be noted that not all the students who are flagged as being eligible for a contextual offer are from POLAR4 quintile 1 as we use an additional geo-demographic indicator called ACORN as part of our contextual data process.  </w:t>
      </w:r>
    </w:p>
  </w:footnote>
  <w:footnote w:id="2">
    <w:p w14:paraId="417EA143" w14:textId="79A0F175" w:rsidR="00B73F1A" w:rsidRDefault="00B73F1A">
      <w:pPr>
        <w:pStyle w:val="FootnoteText"/>
      </w:pPr>
      <w:r>
        <w:rPr>
          <w:rStyle w:val="FootnoteReference"/>
        </w:rPr>
        <w:footnoteRef/>
      </w:r>
      <w:r>
        <w:t xml:space="preserve"> </w:t>
      </w:r>
      <w:proofErr w:type="gramStart"/>
      <w:r>
        <w:t>An</w:t>
      </w:r>
      <w:proofErr w:type="gramEnd"/>
      <w:r>
        <w:t xml:space="preserve"> summary of which Schools MAP students were accepted in is provided in appendix 2. </w:t>
      </w:r>
    </w:p>
  </w:footnote>
  <w:footnote w:id="3">
    <w:p w14:paraId="7B012253" w14:textId="345EDF27" w:rsidR="00A04C9B" w:rsidRDefault="00A04C9B">
      <w:pPr>
        <w:pStyle w:val="FootnoteText"/>
      </w:pPr>
      <w:r>
        <w:rPr>
          <w:rStyle w:val="FootnoteReference"/>
        </w:rPr>
        <w:footnoteRef/>
      </w:r>
      <w:r>
        <w:t xml:space="preserve"> If colleagues are unable to access this report and would like to have a copy please contact </w:t>
      </w:r>
      <w:hyperlink r:id="rId1" w:history="1">
        <w:r w:rsidRPr="00F0629F">
          <w:rPr>
            <w:rStyle w:val="Hyperlink"/>
          </w:rPr>
          <w:t>Stephanie.lee@manchester.ac.uk</w:t>
        </w:r>
      </w:hyperlink>
      <w:r>
        <w:t xml:space="preserve"> </w:t>
      </w:r>
    </w:p>
  </w:footnote>
  <w:footnote w:id="4">
    <w:p w14:paraId="143D4670" w14:textId="77777777" w:rsidR="0073383C" w:rsidRDefault="0073383C" w:rsidP="00CE2C52">
      <w:pPr>
        <w:pStyle w:val="FootnoteText"/>
      </w:pPr>
      <w:r>
        <w:rPr>
          <w:rStyle w:val="FootnoteReference"/>
        </w:rPr>
        <w:footnoteRef/>
      </w:r>
      <w:r>
        <w:t xml:space="preserve"> We are unable to match this data to actual individual offers made, therefore have matched it to the published typical offers</w:t>
      </w:r>
    </w:p>
  </w:footnote>
  <w:footnote w:id="5">
    <w:p w14:paraId="0DC3FB40" w14:textId="77777777" w:rsidR="0073383C" w:rsidRDefault="0073383C" w:rsidP="00CE2C52">
      <w:pPr>
        <w:pStyle w:val="FootnoteText"/>
      </w:pPr>
      <w:r>
        <w:rPr>
          <w:rStyle w:val="FootnoteReference"/>
        </w:rPr>
        <w:footnoteRef/>
      </w:r>
      <w:r>
        <w:t xml:space="preserve"> This does not include those applying for Foundation Years where we are unable to match to offer data, and Nurses who were not eligible for contextual offers</w:t>
      </w:r>
    </w:p>
  </w:footnote>
  <w:footnote w:id="6">
    <w:p w14:paraId="328A8172" w14:textId="77777777" w:rsidR="0073383C" w:rsidRDefault="0073383C" w:rsidP="00CE2C52">
      <w:pPr>
        <w:pStyle w:val="FootnoteText"/>
      </w:pPr>
      <w:r>
        <w:rPr>
          <w:rStyle w:val="FootnoteReference"/>
        </w:rPr>
        <w:footnoteRef/>
      </w:r>
      <w:r>
        <w:t xml:space="preserve"> Admission Status is missing for about 9% of the CF WP Plus applications in this cohort (n=108)</w:t>
      </w:r>
    </w:p>
  </w:footnote>
  <w:footnote w:id="7">
    <w:p w14:paraId="0694B8ED" w14:textId="77777777" w:rsidR="0073383C" w:rsidRDefault="0073383C" w:rsidP="00CE2C52">
      <w:pPr>
        <w:pStyle w:val="FootnoteText"/>
      </w:pPr>
      <w:r>
        <w:rPr>
          <w:rStyle w:val="FootnoteReference"/>
        </w:rPr>
        <w:footnoteRef/>
      </w:r>
      <w:r>
        <w:t xml:space="preserve"> Admission Status is missing for about 7% of the 2019 CF MAP cohort (n=16) and 9% of the 2018 cohort (n=23).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526"/>
    <w:multiLevelType w:val="hybridMultilevel"/>
    <w:tmpl w:val="9370DD0E"/>
    <w:lvl w:ilvl="0" w:tplc="57FA8ACE">
      <w:numFmt w:val="bullet"/>
      <w:lvlText w:val="•"/>
      <w:lvlJc w:val="left"/>
      <w:pPr>
        <w:ind w:left="723" w:hanging="570"/>
      </w:pPr>
      <w:rPr>
        <w:rFonts w:ascii="Calibri" w:eastAsiaTheme="minorHAnsi" w:hAnsi="Calibri" w:cs="Calibri"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15:restartNumberingAfterBreak="0">
    <w:nsid w:val="088223AF"/>
    <w:multiLevelType w:val="hybridMultilevel"/>
    <w:tmpl w:val="5F1ACDC0"/>
    <w:lvl w:ilvl="0" w:tplc="57FA8ACE">
      <w:numFmt w:val="bullet"/>
      <w:lvlText w:val="•"/>
      <w:lvlJc w:val="left"/>
      <w:pPr>
        <w:ind w:left="570" w:hanging="57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9574B7"/>
    <w:multiLevelType w:val="hybridMultilevel"/>
    <w:tmpl w:val="A7B0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95D83"/>
    <w:multiLevelType w:val="hybridMultilevel"/>
    <w:tmpl w:val="8B50DCAA"/>
    <w:lvl w:ilvl="0" w:tplc="57FA8ACE">
      <w:numFmt w:val="bullet"/>
      <w:lvlText w:val="•"/>
      <w:lvlJc w:val="left"/>
      <w:pPr>
        <w:ind w:left="363" w:hanging="570"/>
      </w:pPr>
      <w:rPr>
        <w:rFonts w:ascii="Calibri" w:eastAsiaTheme="minorHAnsi" w:hAnsi="Calibri" w:cs="Calibri"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3B057D8D"/>
    <w:multiLevelType w:val="hybridMultilevel"/>
    <w:tmpl w:val="DC78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F50A0"/>
    <w:multiLevelType w:val="hybridMultilevel"/>
    <w:tmpl w:val="68D63DB6"/>
    <w:lvl w:ilvl="0" w:tplc="57FA8ACE">
      <w:numFmt w:val="bullet"/>
      <w:lvlText w:val="•"/>
      <w:lvlJc w:val="left"/>
      <w:pPr>
        <w:ind w:left="570" w:hanging="57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6832DD"/>
    <w:multiLevelType w:val="hybridMultilevel"/>
    <w:tmpl w:val="1B2A706C"/>
    <w:lvl w:ilvl="0" w:tplc="57FA8ACE">
      <w:numFmt w:val="bullet"/>
      <w:lvlText w:val="•"/>
      <w:lvlJc w:val="left"/>
      <w:pPr>
        <w:ind w:left="570" w:hanging="57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D765F2"/>
    <w:multiLevelType w:val="hybridMultilevel"/>
    <w:tmpl w:val="97343828"/>
    <w:lvl w:ilvl="0" w:tplc="57FA8ACE">
      <w:numFmt w:val="bullet"/>
      <w:lvlText w:val="•"/>
      <w:lvlJc w:val="left"/>
      <w:pPr>
        <w:ind w:left="930" w:hanging="57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657A1"/>
    <w:multiLevelType w:val="hybridMultilevel"/>
    <w:tmpl w:val="2820D92C"/>
    <w:lvl w:ilvl="0" w:tplc="57FA8ACE">
      <w:numFmt w:val="bullet"/>
      <w:lvlText w:val="•"/>
      <w:lvlJc w:val="left"/>
      <w:pPr>
        <w:ind w:left="570" w:hanging="57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8E0504"/>
    <w:multiLevelType w:val="hybridMultilevel"/>
    <w:tmpl w:val="271E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34CDB"/>
    <w:multiLevelType w:val="hybridMultilevel"/>
    <w:tmpl w:val="53486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B1B86"/>
    <w:multiLevelType w:val="hybridMultilevel"/>
    <w:tmpl w:val="1508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D653B3"/>
    <w:multiLevelType w:val="multilevel"/>
    <w:tmpl w:val="AEE2926C"/>
    <w:lvl w:ilvl="0">
      <w:start w:val="1"/>
      <w:numFmt w:val="decimal"/>
      <w:lvlText w:val="%1."/>
      <w:lvlJc w:val="left"/>
      <w:pPr>
        <w:ind w:left="360" w:hanging="360"/>
      </w:pPr>
      <w:rPr>
        <w:rFonts w:hint="default"/>
        <w:b/>
        <w:bCs w:val="0"/>
      </w:rPr>
    </w:lvl>
    <w:lvl w:ilvl="1">
      <w:start w:val="1"/>
      <w:numFmt w:val="decimal"/>
      <w:isLgl/>
      <w:lvlText w:val="%1.%2"/>
      <w:lvlJc w:val="left"/>
      <w:pPr>
        <w:ind w:left="720" w:hanging="720"/>
      </w:pPr>
      <w:rPr>
        <w:rFonts w:hint="default"/>
        <w:b w:val="0"/>
        <w:bCs/>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2"/>
  </w:num>
  <w:num w:numId="2">
    <w:abstractNumId w:val="9"/>
  </w:num>
  <w:num w:numId="3">
    <w:abstractNumId w:val="4"/>
  </w:num>
  <w:num w:numId="4">
    <w:abstractNumId w:val="11"/>
  </w:num>
  <w:num w:numId="5">
    <w:abstractNumId w:val="10"/>
  </w:num>
  <w:num w:numId="6">
    <w:abstractNumId w:val="2"/>
  </w:num>
  <w:num w:numId="7">
    <w:abstractNumId w:val="7"/>
  </w:num>
  <w:num w:numId="8">
    <w:abstractNumId w:val="8"/>
  </w:num>
  <w:num w:numId="9">
    <w:abstractNumId w:val="5"/>
  </w:num>
  <w:num w:numId="10">
    <w:abstractNumId w:val="3"/>
  </w:num>
  <w:num w:numId="11">
    <w:abstractNumId w:val="0"/>
  </w:num>
  <w:num w:numId="12">
    <w:abstractNumId w:val="1"/>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39"/>
    <w:rsid w:val="000A0C06"/>
    <w:rsid w:val="000C047A"/>
    <w:rsid w:val="000C0C66"/>
    <w:rsid w:val="00102ED5"/>
    <w:rsid w:val="00117718"/>
    <w:rsid w:val="001572B8"/>
    <w:rsid w:val="001812A3"/>
    <w:rsid w:val="001B33F8"/>
    <w:rsid w:val="001B5748"/>
    <w:rsid w:val="001B7948"/>
    <w:rsid w:val="001D1F47"/>
    <w:rsid w:val="001F6DA9"/>
    <w:rsid w:val="002421C1"/>
    <w:rsid w:val="00255F9A"/>
    <w:rsid w:val="00294C3C"/>
    <w:rsid w:val="002C31C1"/>
    <w:rsid w:val="002F060D"/>
    <w:rsid w:val="00317CA3"/>
    <w:rsid w:val="003237AA"/>
    <w:rsid w:val="00391439"/>
    <w:rsid w:val="003963D4"/>
    <w:rsid w:val="003979E1"/>
    <w:rsid w:val="003A124E"/>
    <w:rsid w:val="003E7D59"/>
    <w:rsid w:val="00405EE3"/>
    <w:rsid w:val="00433DD0"/>
    <w:rsid w:val="00461013"/>
    <w:rsid w:val="004A52C1"/>
    <w:rsid w:val="004B2974"/>
    <w:rsid w:val="004B648A"/>
    <w:rsid w:val="004C0CA1"/>
    <w:rsid w:val="004F1135"/>
    <w:rsid w:val="00504ED9"/>
    <w:rsid w:val="0054643E"/>
    <w:rsid w:val="00582C47"/>
    <w:rsid w:val="005D1B27"/>
    <w:rsid w:val="005D5DF9"/>
    <w:rsid w:val="005E1651"/>
    <w:rsid w:val="00612769"/>
    <w:rsid w:val="00624529"/>
    <w:rsid w:val="00633DEF"/>
    <w:rsid w:val="0066360B"/>
    <w:rsid w:val="00677FBA"/>
    <w:rsid w:val="006B1A64"/>
    <w:rsid w:val="006C058D"/>
    <w:rsid w:val="006D343A"/>
    <w:rsid w:val="006F5C18"/>
    <w:rsid w:val="007011E9"/>
    <w:rsid w:val="00715E1D"/>
    <w:rsid w:val="00717877"/>
    <w:rsid w:val="0073383C"/>
    <w:rsid w:val="00734787"/>
    <w:rsid w:val="00745824"/>
    <w:rsid w:val="007807F4"/>
    <w:rsid w:val="007A6DD3"/>
    <w:rsid w:val="007C10AE"/>
    <w:rsid w:val="007F451A"/>
    <w:rsid w:val="008455BE"/>
    <w:rsid w:val="0086239D"/>
    <w:rsid w:val="008C0887"/>
    <w:rsid w:val="008C1C07"/>
    <w:rsid w:val="008F4063"/>
    <w:rsid w:val="00912023"/>
    <w:rsid w:val="00927404"/>
    <w:rsid w:val="0094482B"/>
    <w:rsid w:val="00954EC6"/>
    <w:rsid w:val="00974E6E"/>
    <w:rsid w:val="0099175E"/>
    <w:rsid w:val="009C7AD5"/>
    <w:rsid w:val="009E28C9"/>
    <w:rsid w:val="00A03BD3"/>
    <w:rsid w:val="00A04C9B"/>
    <w:rsid w:val="00A13D9C"/>
    <w:rsid w:val="00A20296"/>
    <w:rsid w:val="00A42C9E"/>
    <w:rsid w:val="00A62CA7"/>
    <w:rsid w:val="00A74365"/>
    <w:rsid w:val="00AF3358"/>
    <w:rsid w:val="00B01858"/>
    <w:rsid w:val="00B05E7A"/>
    <w:rsid w:val="00B12011"/>
    <w:rsid w:val="00B13B8F"/>
    <w:rsid w:val="00B4768F"/>
    <w:rsid w:val="00B62DC5"/>
    <w:rsid w:val="00B67C17"/>
    <w:rsid w:val="00B73F1A"/>
    <w:rsid w:val="00B855C3"/>
    <w:rsid w:val="00BA6AAB"/>
    <w:rsid w:val="00BB5A0C"/>
    <w:rsid w:val="00BB5B3C"/>
    <w:rsid w:val="00BD6257"/>
    <w:rsid w:val="00C356C2"/>
    <w:rsid w:val="00C62010"/>
    <w:rsid w:val="00C73BAF"/>
    <w:rsid w:val="00C93CB7"/>
    <w:rsid w:val="00CD2D44"/>
    <w:rsid w:val="00CE2C52"/>
    <w:rsid w:val="00CF31DF"/>
    <w:rsid w:val="00D63F76"/>
    <w:rsid w:val="00D72642"/>
    <w:rsid w:val="00D770D5"/>
    <w:rsid w:val="00D831A7"/>
    <w:rsid w:val="00D90300"/>
    <w:rsid w:val="00D93018"/>
    <w:rsid w:val="00DA7D79"/>
    <w:rsid w:val="00DB170F"/>
    <w:rsid w:val="00DC29C6"/>
    <w:rsid w:val="00DE0D96"/>
    <w:rsid w:val="00E369EC"/>
    <w:rsid w:val="00E654BD"/>
    <w:rsid w:val="00EA1947"/>
    <w:rsid w:val="00F26A38"/>
    <w:rsid w:val="00F30757"/>
    <w:rsid w:val="00F47CE1"/>
    <w:rsid w:val="00F64B56"/>
    <w:rsid w:val="00F662AF"/>
    <w:rsid w:val="00F95DF6"/>
    <w:rsid w:val="00FA423C"/>
    <w:rsid w:val="00FB1FFB"/>
    <w:rsid w:val="00FB45E7"/>
    <w:rsid w:val="00FC136F"/>
    <w:rsid w:val="00FF5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522C8E"/>
  <w15:docId w15:val="{24BDF037-CB94-455D-9676-D6A0C78F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E7A"/>
    <w:pPr>
      <w:ind w:left="720"/>
      <w:contextualSpacing/>
    </w:pPr>
  </w:style>
  <w:style w:type="paragraph" w:styleId="BodyText">
    <w:name w:val="Body Text"/>
    <w:basedOn w:val="Normal"/>
    <w:link w:val="BodyTextChar"/>
    <w:rsid w:val="00C73BAF"/>
    <w:pPr>
      <w:spacing w:after="0" w:line="240" w:lineRule="auto"/>
    </w:pPr>
    <w:rPr>
      <w:rFonts w:ascii="TheSans B5 Plain" w:eastAsia="Times New Roman" w:hAnsi="TheSans B5 Plain" w:cs="Times New Roman"/>
      <w:szCs w:val="24"/>
    </w:rPr>
  </w:style>
  <w:style w:type="character" w:customStyle="1" w:styleId="BodyTextChar">
    <w:name w:val="Body Text Char"/>
    <w:basedOn w:val="DefaultParagraphFont"/>
    <w:link w:val="BodyText"/>
    <w:rsid w:val="00C73BAF"/>
    <w:rPr>
      <w:rFonts w:ascii="TheSans B5 Plain" w:eastAsia="Times New Roman" w:hAnsi="TheSans B5 Plain" w:cs="Times New Roman"/>
      <w:szCs w:val="24"/>
    </w:rPr>
  </w:style>
  <w:style w:type="paragraph" w:styleId="Header">
    <w:name w:val="header"/>
    <w:basedOn w:val="Normal"/>
    <w:link w:val="HeaderChar"/>
    <w:uiPriority w:val="99"/>
    <w:unhideWhenUsed/>
    <w:rsid w:val="007C1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0AE"/>
  </w:style>
  <w:style w:type="paragraph" w:styleId="Footer">
    <w:name w:val="footer"/>
    <w:basedOn w:val="Normal"/>
    <w:link w:val="FooterChar"/>
    <w:uiPriority w:val="99"/>
    <w:unhideWhenUsed/>
    <w:rsid w:val="007C1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0AE"/>
  </w:style>
  <w:style w:type="paragraph" w:styleId="BalloonText">
    <w:name w:val="Balloon Text"/>
    <w:basedOn w:val="Normal"/>
    <w:link w:val="BalloonTextChar"/>
    <w:uiPriority w:val="99"/>
    <w:semiHidden/>
    <w:unhideWhenUsed/>
    <w:rsid w:val="00633DEF"/>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633DEF"/>
    <w:rPr>
      <w:rFonts w:ascii="Tahoma" w:eastAsiaTheme="minorEastAsia" w:hAnsi="Tahoma" w:cs="Tahoma"/>
      <w:sz w:val="16"/>
      <w:szCs w:val="16"/>
      <w:lang w:eastAsia="zh-CN"/>
    </w:rPr>
  </w:style>
  <w:style w:type="paragraph" w:styleId="FootnoteText">
    <w:name w:val="footnote text"/>
    <w:basedOn w:val="Normal"/>
    <w:link w:val="FootnoteTextChar"/>
    <w:uiPriority w:val="99"/>
    <w:unhideWhenUsed/>
    <w:rsid w:val="00633DEF"/>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rsid w:val="00633DEF"/>
    <w:rPr>
      <w:rFonts w:eastAsiaTheme="minorEastAsia"/>
      <w:sz w:val="20"/>
      <w:szCs w:val="20"/>
      <w:lang w:eastAsia="zh-CN"/>
    </w:rPr>
  </w:style>
  <w:style w:type="character" w:styleId="FootnoteReference">
    <w:name w:val="footnote reference"/>
    <w:basedOn w:val="DefaultParagraphFont"/>
    <w:uiPriority w:val="99"/>
    <w:semiHidden/>
    <w:unhideWhenUsed/>
    <w:rsid w:val="00633DEF"/>
    <w:rPr>
      <w:vertAlign w:val="superscript"/>
    </w:rPr>
  </w:style>
  <w:style w:type="character" w:styleId="Hyperlink">
    <w:name w:val="Hyperlink"/>
    <w:basedOn w:val="DefaultParagraphFont"/>
    <w:uiPriority w:val="99"/>
    <w:unhideWhenUsed/>
    <w:rsid w:val="00633DEF"/>
    <w:rPr>
      <w:color w:val="0000FF" w:themeColor="hyperlink"/>
      <w:u w:val="single"/>
    </w:rPr>
  </w:style>
  <w:style w:type="character" w:customStyle="1" w:styleId="UnresolvedMention1">
    <w:name w:val="Unresolved Mention1"/>
    <w:basedOn w:val="DefaultParagraphFont"/>
    <w:uiPriority w:val="99"/>
    <w:semiHidden/>
    <w:unhideWhenUsed/>
    <w:rsid w:val="003963D4"/>
    <w:rPr>
      <w:color w:val="605E5C"/>
      <w:shd w:val="clear" w:color="auto" w:fill="E1DFDD"/>
    </w:rPr>
  </w:style>
  <w:style w:type="character" w:styleId="CommentReference">
    <w:name w:val="annotation reference"/>
    <w:basedOn w:val="DefaultParagraphFont"/>
    <w:uiPriority w:val="99"/>
    <w:semiHidden/>
    <w:unhideWhenUsed/>
    <w:rsid w:val="00582C47"/>
    <w:rPr>
      <w:sz w:val="16"/>
      <w:szCs w:val="16"/>
    </w:rPr>
  </w:style>
  <w:style w:type="paragraph" w:styleId="CommentText">
    <w:name w:val="annotation text"/>
    <w:basedOn w:val="Normal"/>
    <w:link w:val="CommentTextChar"/>
    <w:uiPriority w:val="99"/>
    <w:semiHidden/>
    <w:unhideWhenUsed/>
    <w:rsid w:val="00582C47"/>
    <w:pPr>
      <w:spacing w:line="240" w:lineRule="auto"/>
    </w:pPr>
    <w:rPr>
      <w:sz w:val="20"/>
      <w:szCs w:val="20"/>
    </w:rPr>
  </w:style>
  <w:style w:type="character" w:customStyle="1" w:styleId="CommentTextChar">
    <w:name w:val="Comment Text Char"/>
    <w:basedOn w:val="DefaultParagraphFont"/>
    <w:link w:val="CommentText"/>
    <w:uiPriority w:val="99"/>
    <w:semiHidden/>
    <w:rsid w:val="00582C47"/>
    <w:rPr>
      <w:sz w:val="20"/>
      <w:szCs w:val="20"/>
    </w:rPr>
  </w:style>
  <w:style w:type="paragraph" w:styleId="CommentSubject">
    <w:name w:val="annotation subject"/>
    <w:basedOn w:val="CommentText"/>
    <w:next w:val="CommentText"/>
    <w:link w:val="CommentSubjectChar"/>
    <w:uiPriority w:val="99"/>
    <w:semiHidden/>
    <w:unhideWhenUsed/>
    <w:rsid w:val="00582C47"/>
    <w:rPr>
      <w:b/>
      <w:bCs/>
    </w:rPr>
  </w:style>
  <w:style w:type="character" w:customStyle="1" w:styleId="CommentSubjectChar">
    <w:name w:val="Comment Subject Char"/>
    <w:basedOn w:val="CommentTextChar"/>
    <w:link w:val="CommentSubject"/>
    <w:uiPriority w:val="99"/>
    <w:semiHidden/>
    <w:rsid w:val="00582C47"/>
    <w:rPr>
      <w:b/>
      <w:bCs/>
      <w:sz w:val="20"/>
      <w:szCs w:val="20"/>
    </w:rPr>
  </w:style>
  <w:style w:type="character" w:customStyle="1" w:styleId="UnresolvedMention">
    <w:name w:val="Unresolved Mention"/>
    <w:basedOn w:val="DefaultParagraphFont"/>
    <w:uiPriority w:val="99"/>
    <w:semiHidden/>
    <w:unhideWhenUsed/>
    <w:rsid w:val="00C93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9222">
      <w:bodyDiv w:val="1"/>
      <w:marLeft w:val="0"/>
      <w:marRight w:val="0"/>
      <w:marTop w:val="0"/>
      <w:marBottom w:val="0"/>
      <w:divBdr>
        <w:top w:val="none" w:sz="0" w:space="0" w:color="auto"/>
        <w:left w:val="none" w:sz="0" w:space="0" w:color="auto"/>
        <w:bottom w:val="none" w:sz="0" w:space="0" w:color="auto"/>
        <w:right w:val="none" w:sz="0" w:space="0" w:color="auto"/>
      </w:divBdr>
      <w:divsChild>
        <w:div w:id="756026783">
          <w:marLeft w:val="1397"/>
          <w:marRight w:val="0"/>
          <w:marTop w:val="0"/>
          <w:marBottom w:val="0"/>
          <w:divBdr>
            <w:top w:val="none" w:sz="0" w:space="0" w:color="auto"/>
            <w:left w:val="none" w:sz="0" w:space="0" w:color="auto"/>
            <w:bottom w:val="none" w:sz="0" w:space="0" w:color="auto"/>
            <w:right w:val="none" w:sz="0" w:space="0" w:color="auto"/>
          </w:divBdr>
        </w:div>
        <w:div w:id="760184421">
          <w:marLeft w:val="1397"/>
          <w:marRight w:val="0"/>
          <w:marTop w:val="0"/>
          <w:marBottom w:val="0"/>
          <w:divBdr>
            <w:top w:val="none" w:sz="0" w:space="0" w:color="auto"/>
            <w:left w:val="none" w:sz="0" w:space="0" w:color="auto"/>
            <w:bottom w:val="none" w:sz="0" w:space="0" w:color="auto"/>
            <w:right w:val="none" w:sz="0" w:space="0" w:color="auto"/>
          </w:divBdr>
        </w:div>
        <w:div w:id="1191138794">
          <w:marLeft w:val="1397"/>
          <w:marRight w:val="0"/>
          <w:marTop w:val="0"/>
          <w:marBottom w:val="0"/>
          <w:divBdr>
            <w:top w:val="none" w:sz="0" w:space="0" w:color="auto"/>
            <w:left w:val="none" w:sz="0" w:space="0" w:color="auto"/>
            <w:bottom w:val="none" w:sz="0" w:space="0" w:color="auto"/>
            <w:right w:val="none" w:sz="0" w:space="0" w:color="auto"/>
          </w:divBdr>
        </w:div>
        <w:div w:id="666129584">
          <w:marLeft w:val="1397"/>
          <w:marRight w:val="0"/>
          <w:marTop w:val="0"/>
          <w:marBottom w:val="0"/>
          <w:divBdr>
            <w:top w:val="none" w:sz="0" w:space="0" w:color="auto"/>
            <w:left w:val="none" w:sz="0" w:space="0" w:color="auto"/>
            <w:bottom w:val="none" w:sz="0" w:space="0" w:color="auto"/>
            <w:right w:val="none" w:sz="0" w:space="0" w:color="auto"/>
          </w:divBdr>
        </w:div>
        <w:div w:id="546993596">
          <w:marLeft w:val="1397"/>
          <w:marRight w:val="0"/>
          <w:marTop w:val="0"/>
          <w:marBottom w:val="0"/>
          <w:divBdr>
            <w:top w:val="none" w:sz="0" w:space="0" w:color="auto"/>
            <w:left w:val="none" w:sz="0" w:space="0" w:color="auto"/>
            <w:bottom w:val="none" w:sz="0" w:space="0" w:color="auto"/>
            <w:right w:val="none" w:sz="0" w:space="0" w:color="auto"/>
          </w:divBdr>
        </w:div>
        <w:div w:id="1686596416">
          <w:marLeft w:val="1397"/>
          <w:marRight w:val="0"/>
          <w:marTop w:val="0"/>
          <w:marBottom w:val="0"/>
          <w:divBdr>
            <w:top w:val="none" w:sz="0" w:space="0" w:color="auto"/>
            <w:left w:val="none" w:sz="0" w:space="0" w:color="auto"/>
            <w:bottom w:val="none" w:sz="0" w:space="0" w:color="auto"/>
            <w:right w:val="none" w:sz="0" w:space="0" w:color="auto"/>
          </w:divBdr>
        </w:div>
        <w:div w:id="978917161">
          <w:marLeft w:val="1166"/>
          <w:marRight w:val="0"/>
          <w:marTop w:val="0"/>
          <w:marBottom w:val="0"/>
          <w:divBdr>
            <w:top w:val="none" w:sz="0" w:space="0" w:color="auto"/>
            <w:left w:val="none" w:sz="0" w:space="0" w:color="auto"/>
            <w:bottom w:val="none" w:sz="0" w:space="0" w:color="auto"/>
            <w:right w:val="none" w:sz="0" w:space="0" w:color="auto"/>
          </w:divBdr>
        </w:div>
        <w:div w:id="737703391">
          <w:marLeft w:val="1166"/>
          <w:marRight w:val="0"/>
          <w:marTop w:val="0"/>
          <w:marBottom w:val="0"/>
          <w:divBdr>
            <w:top w:val="none" w:sz="0" w:space="0" w:color="auto"/>
            <w:left w:val="none" w:sz="0" w:space="0" w:color="auto"/>
            <w:bottom w:val="none" w:sz="0" w:space="0" w:color="auto"/>
            <w:right w:val="none" w:sz="0" w:space="0" w:color="auto"/>
          </w:divBdr>
        </w:div>
      </w:divsChild>
    </w:div>
    <w:div w:id="119304804">
      <w:bodyDiv w:val="1"/>
      <w:marLeft w:val="0"/>
      <w:marRight w:val="0"/>
      <w:marTop w:val="0"/>
      <w:marBottom w:val="0"/>
      <w:divBdr>
        <w:top w:val="none" w:sz="0" w:space="0" w:color="auto"/>
        <w:left w:val="none" w:sz="0" w:space="0" w:color="auto"/>
        <w:bottom w:val="none" w:sz="0" w:space="0" w:color="auto"/>
        <w:right w:val="none" w:sz="0" w:space="0" w:color="auto"/>
      </w:divBdr>
    </w:div>
    <w:div w:id="900100509">
      <w:bodyDiv w:val="1"/>
      <w:marLeft w:val="0"/>
      <w:marRight w:val="0"/>
      <w:marTop w:val="0"/>
      <w:marBottom w:val="0"/>
      <w:divBdr>
        <w:top w:val="none" w:sz="0" w:space="0" w:color="auto"/>
        <w:left w:val="none" w:sz="0" w:space="0" w:color="auto"/>
        <w:bottom w:val="none" w:sz="0" w:space="0" w:color="auto"/>
        <w:right w:val="none" w:sz="0" w:space="0" w:color="auto"/>
      </w:divBdr>
    </w:div>
    <w:div w:id="1100220832">
      <w:bodyDiv w:val="1"/>
      <w:marLeft w:val="0"/>
      <w:marRight w:val="0"/>
      <w:marTop w:val="0"/>
      <w:marBottom w:val="0"/>
      <w:divBdr>
        <w:top w:val="none" w:sz="0" w:space="0" w:color="auto"/>
        <w:left w:val="none" w:sz="0" w:space="0" w:color="auto"/>
        <w:bottom w:val="none" w:sz="0" w:space="0" w:color="auto"/>
        <w:right w:val="none" w:sz="0" w:space="0" w:color="auto"/>
      </w:divBdr>
    </w:div>
    <w:div w:id="1299996699">
      <w:bodyDiv w:val="1"/>
      <w:marLeft w:val="0"/>
      <w:marRight w:val="0"/>
      <w:marTop w:val="0"/>
      <w:marBottom w:val="0"/>
      <w:divBdr>
        <w:top w:val="none" w:sz="0" w:space="0" w:color="auto"/>
        <w:left w:val="none" w:sz="0" w:space="0" w:color="auto"/>
        <w:bottom w:val="none" w:sz="0" w:space="0" w:color="auto"/>
        <w:right w:val="none" w:sz="0" w:space="0" w:color="auto"/>
      </w:divBdr>
    </w:div>
    <w:div w:id="1484346670">
      <w:bodyDiv w:val="1"/>
      <w:marLeft w:val="0"/>
      <w:marRight w:val="0"/>
      <w:marTop w:val="0"/>
      <w:marBottom w:val="0"/>
      <w:divBdr>
        <w:top w:val="none" w:sz="0" w:space="0" w:color="auto"/>
        <w:left w:val="none" w:sz="0" w:space="0" w:color="auto"/>
        <w:bottom w:val="none" w:sz="0" w:space="0" w:color="auto"/>
        <w:right w:val="none" w:sz="0" w:space="0" w:color="auto"/>
      </w:divBdr>
      <w:divsChild>
        <w:div w:id="80151363">
          <w:marLeft w:val="720"/>
          <w:marRight w:val="0"/>
          <w:marTop w:val="240"/>
          <w:marBottom w:val="0"/>
          <w:divBdr>
            <w:top w:val="none" w:sz="0" w:space="0" w:color="auto"/>
            <w:left w:val="none" w:sz="0" w:space="0" w:color="auto"/>
            <w:bottom w:val="none" w:sz="0" w:space="0" w:color="auto"/>
            <w:right w:val="none" w:sz="0" w:space="0" w:color="auto"/>
          </w:divBdr>
        </w:div>
        <w:div w:id="546599693">
          <w:marLeft w:val="720"/>
          <w:marRight w:val="0"/>
          <w:marTop w:val="240"/>
          <w:marBottom w:val="0"/>
          <w:divBdr>
            <w:top w:val="none" w:sz="0" w:space="0" w:color="auto"/>
            <w:left w:val="none" w:sz="0" w:space="0" w:color="auto"/>
            <w:bottom w:val="none" w:sz="0" w:space="0" w:color="auto"/>
            <w:right w:val="none" w:sz="0" w:space="0" w:color="auto"/>
          </w:divBdr>
        </w:div>
      </w:divsChild>
    </w:div>
    <w:div w:id="15681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xorg.manchester.ac.uk/sites/sra/comittees/_layouts/PowerPoint.aspx?PowerPointView=ReadingView&amp;PresentationId=/sites/sra/comittees/Documents/Contextual%20Offer%20Evaluation_SIT_220719.pptx&amp;Source=https%3A%2F%2Fxorg%2Emanchester%2Eac%2Euk%2Fsites%2Fsra%2Fcomittees%2FPages%2FAccess%2Dand%2DParticipation%2DStrategy%2DGroup%2D%2Easpx%3FInitialTabId%3DRibbon%252EDocument%26VisibilityContext%3DWSSTabPersistence&amp;DefaultItemOpen=1&amp;DefaultItemOpen=1"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tephanie.lee@manchester.ac.u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man.ac.uk\csistgdrive\PSO\Projects\Data%20Analysis\WP%20Stuff\Contextual%20Offer%20Analysis\Contextual%20Admissions%20data%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Sheet4!$B$25</c:f>
              <c:strCache>
                <c:ptCount val="1"/>
                <c:pt idx="0">
                  <c:v>Admitted</c:v>
                </c:pt>
              </c:strCache>
            </c:strRef>
          </c:tx>
          <c:spPr>
            <a:solidFill>
              <a:schemeClr val="accent6"/>
            </a:solidFill>
            <a:ln>
              <a:noFill/>
            </a:ln>
            <a:effectLst/>
          </c:spPr>
          <c:invertIfNegative val="0"/>
          <c:dLbls>
            <c:delete val="1"/>
          </c:dLbls>
          <c:cat>
            <c:strRef>
              <c:f>Sheet4!$A$26:$A$29</c:f>
              <c:strCache>
                <c:ptCount val="4"/>
                <c:pt idx="0">
                  <c:v>More than one grade below</c:v>
                </c:pt>
                <c:pt idx="1">
                  <c:v>1 grade below</c:v>
                </c:pt>
                <c:pt idx="2">
                  <c:v>Equal</c:v>
                </c:pt>
                <c:pt idx="3">
                  <c:v>Above</c:v>
                </c:pt>
              </c:strCache>
            </c:strRef>
          </c:cat>
          <c:val>
            <c:numRef>
              <c:f>Sheet4!$B$26:$B$29</c:f>
              <c:numCache>
                <c:formatCode>General</c:formatCode>
                <c:ptCount val="4"/>
                <c:pt idx="0">
                  <c:v>10</c:v>
                </c:pt>
                <c:pt idx="1">
                  <c:v>61</c:v>
                </c:pt>
                <c:pt idx="2">
                  <c:v>130</c:v>
                </c:pt>
                <c:pt idx="3">
                  <c:v>176</c:v>
                </c:pt>
              </c:numCache>
            </c:numRef>
          </c:val>
          <c:extLst>
            <c:ext xmlns:c16="http://schemas.microsoft.com/office/drawing/2014/chart" uri="{C3380CC4-5D6E-409C-BE32-E72D297353CC}">
              <c16:uniqueId val="{00000000-F76C-4524-B773-044B32FE5871}"/>
            </c:ext>
          </c:extLst>
        </c:ser>
        <c:ser>
          <c:idx val="1"/>
          <c:order val="1"/>
          <c:tx>
            <c:strRef>
              <c:f>Sheet4!$C$25</c:f>
              <c:strCache>
                <c:ptCount val="1"/>
                <c:pt idx="0">
                  <c:v>Denied</c:v>
                </c:pt>
              </c:strCache>
            </c:strRef>
          </c:tx>
          <c:spPr>
            <a:solidFill>
              <a:schemeClr val="accent5"/>
            </a:solidFill>
            <a:ln>
              <a:noFill/>
            </a:ln>
            <a:effectLst/>
          </c:spPr>
          <c:invertIfNegative val="0"/>
          <c:dLbls>
            <c:delete val="1"/>
          </c:dLbls>
          <c:cat>
            <c:strRef>
              <c:f>Sheet4!$A$26:$A$29</c:f>
              <c:strCache>
                <c:ptCount val="4"/>
                <c:pt idx="0">
                  <c:v>More than one grade below</c:v>
                </c:pt>
                <c:pt idx="1">
                  <c:v>1 grade below</c:v>
                </c:pt>
                <c:pt idx="2">
                  <c:v>Equal</c:v>
                </c:pt>
                <c:pt idx="3">
                  <c:v>Above</c:v>
                </c:pt>
              </c:strCache>
            </c:strRef>
          </c:cat>
          <c:val>
            <c:numRef>
              <c:f>Sheet4!$C$26:$C$29</c:f>
              <c:numCache>
                <c:formatCode>General</c:formatCode>
                <c:ptCount val="4"/>
                <c:pt idx="0">
                  <c:v>568</c:v>
                </c:pt>
                <c:pt idx="1">
                  <c:v>62</c:v>
                </c:pt>
                <c:pt idx="2">
                  <c:v>11</c:v>
                </c:pt>
                <c:pt idx="3">
                  <c:v>1</c:v>
                </c:pt>
              </c:numCache>
            </c:numRef>
          </c:val>
          <c:extLst>
            <c:ext xmlns:c16="http://schemas.microsoft.com/office/drawing/2014/chart" uri="{C3380CC4-5D6E-409C-BE32-E72D297353CC}">
              <c16:uniqueId val="{00000001-F76C-4524-B773-044B32FE5871}"/>
            </c:ext>
          </c:extLst>
        </c:ser>
        <c:dLbls>
          <c:dLblPos val="ctr"/>
          <c:showLegendKey val="0"/>
          <c:showVal val="1"/>
          <c:showCatName val="0"/>
          <c:showSerName val="0"/>
          <c:showPercent val="0"/>
          <c:showBubbleSize val="0"/>
        </c:dLbls>
        <c:gapWidth val="150"/>
        <c:overlap val="100"/>
        <c:axId val="1149240336"/>
        <c:axId val="1149240992"/>
      </c:barChart>
      <c:catAx>
        <c:axId val="114924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240992"/>
        <c:crosses val="autoZero"/>
        <c:auto val="1"/>
        <c:lblAlgn val="ctr"/>
        <c:lblOffset val="100"/>
        <c:noMultiLvlLbl val="0"/>
      </c:catAx>
      <c:valAx>
        <c:axId val="11492409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240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A2EFF-12F5-49FA-96B4-5B57E373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Lee</dc:creator>
  <cp:lastModifiedBy>Stephanie Lee</cp:lastModifiedBy>
  <cp:revision>4</cp:revision>
  <cp:lastPrinted>2019-11-21T11:38:00Z</cp:lastPrinted>
  <dcterms:created xsi:type="dcterms:W3CDTF">2019-12-05T14:18:00Z</dcterms:created>
  <dcterms:modified xsi:type="dcterms:W3CDTF">2019-12-05T16:23:00Z</dcterms:modified>
</cp:coreProperties>
</file>