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5011C" w14:textId="399DE535" w:rsidR="00FF252E" w:rsidRDefault="00FF252E" w:rsidP="00E00E66">
      <w:pPr>
        <w:pStyle w:val="Title"/>
      </w:pPr>
    </w:p>
    <w:p w14:paraId="796EFC9D" w14:textId="31DE157D" w:rsidR="00E00E66" w:rsidRDefault="00E00E66" w:rsidP="00E00E66"/>
    <w:p w14:paraId="2FEB1907" w14:textId="692BF95B" w:rsidR="00E00E66" w:rsidRDefault="00E00E66" w:rsidP="00E00E66"/>
    <w:p w14:paraId="570A13C4" w14:textId="38A51BC6" w:rsidR="00E00E66" w:rsidRDefault="00E00E66" w:rsidP="00E00E66"/>
    <w:p w14:paraId="31273F0A" w14:textId="49AA40BE" w:rsidR="00E00E66" w:rsidRDefault="00E00E66" w:rsidP="00E00E66"/>
    <w:p w14:paraId="23829842" w14:textId="6417F0A5" w:rsidR="00E00E66" w:rsidRDefault="00E00E66" w:rsidP="00E00E66"/>
    <w:p w14:paraId="0577CD86" w14:textId="60145084" w:rsidR="00E00E66" w:rsidRDefault="00E00E66" w:rsidP="00E00E66"/>
    <w:p w14:paraId="0661B2B2" w14:textId="6D1108DD" w:rsidR="00E00E66" w:rsidRDefault="00E00E66" w:rsidP="00E00E66"/>
    <w:p w14:paraId="418DFAF3" w14:textId="7EE10F12" w:rsidR="00E00E66" w:rsidRDefault="00E00E66" w:rsidP="00E00E66"/>
    <w:p w14:paraId="1B0C1ABB" w14:textId="3A6A2EB5" w:rsidR="00E00E66" w:rsidRDefault="00E00E66" w:rsidP="00E00E66"/>
    <w:p w14:paraId="168EA721" w14:textId="79AE5A80" w:rsidR="00E00E66" w:rsidRDefault="00E00E66" w:rsidP="00E00E66"/>
    <w:p w14:paraId="30D2E593" w14:textId="25BE02A9" w:rsidR="00E00E66" w:rsidRDefault="00E00E66" w:rsidP="00E00E66"/>
    <w:p w14:paraId="0578C119" w14:textId="04949C4D" w:rsidR="00E00E66" w:rsidRDefault="00E00E66" w:rsidP="00E00E66"/>
    <w:p w14:paraId="543CDCA2" w14:textId="3DE92890" w:rsidR="00E00E66" w:rsidRDefault="00E00E66" w:rsidP="00E00E66"/>
    <w:p w14:paraId="34C603DD" w14:textId="2B8F102D" w:rsidR="00E00E66" w:rsidRDefault="00E00E66" w:rsidP="00E00E66"/>
    <w:p w14:paraId="2A6C4E7D" w14:textId="180BD779" w:rsidR="00E00E66" w:rsidRDefault="00E00E66" w:rsidP="00E00E66"/>
    <w:p w14:paraId="1955EA11" w14:textId="10014EFE" w:rsidR="00E00E66" w:rsidRDefault="00E00E66" w:rsidP="00E00E66"/>
    <w:p w14:paraId="1D401E52" w14:textId="3FD80489" w:rsidR="00E00E66" w:rsidRDefault="00E00E66" w:rsidP="00E00E66"/>
    <w:p w14:paraId="5D32BFF4" w14:textId="6D8413FE" w:rsidR="00E00E66" w:rsidRPr="00D91EC0" w:rsidRDefault="00E00E66" w:rsidP="00E00E66">
      <w:pPr>
        <w:pStyle w:val="Title"/>
        <w:rPr>
          <w:b/>
          <w:bCs/>
        </w:rPr>
      </w:pPr>
      <w:r w:rsidRPr="00D91EC0">
        <w:rPr>
          <w:b/>
          <w:bCs/>
        </w:rPr>
        <w:t xml:space="preserve">2022/23 CQUIN FAQ’s </w:t>
      </w:r>
    </w:p>
    <w:p w14:paraId="7EFFEFE8" w14:textId="48C62DCB" w:rsidR="00E00E66" w:rsidRPr="00E00E66" w:rsidRDefault="00F16FEF" w:rsidP="00E00E66">
      <w:pPr>
        <w:rPr>
          <w:sz w:val="32"/>
          <w:szCs w:val="32"/>
        </w:rPr>
      </w:pPr>
      <w:r>
        <w:rPr>
          <w:sz w:val="32"/>
          <w:szCs w:val="32"/>
        </w:rPr>
        <w:t xml:space="preserve">CCG12: </w:t>
      </w:r>
      <w:r w:rsidR="00E00E66" w:rsidRPr="00E00E66">
        <w:rPr>
          <w:sz w:val="32"/>
          <w:szCs w:val="32"/>
        </w:rPr>
        <w:t xml:space="preserve">Biopsychosocial assessments in mental health liaison services  </w:t>
      </w:r>
    </w:p>
    <w:p w14:paraId="77DB4037" w14:textId="77777777" w:rsidR="00E00E66" w:rsidRDefault="00E00E66" w:rsidP="00E00E66">
      <w:r>
        <w:br w:type="page"/>
      </w:r>
    </w:p>
    <w:p w14:paraId="529C3A1A" w14:textId="22D21768" w:rsidR="00043F64" w:rsidRDefault="00043F64" w:rsidP="00043F64">
      <w:pPr>
        <w:pStyle w:val="Heading1"/>
      </w:pPr>
      <w:r>
        <w:lastRenderedPageBreak/>
        <w:t xml:space="preserve">Policy guidance </w:t>
      </w:r>
    </w:p>
    <w:p w14:paraId="673C0118" w14:textId="77777777" w:rsidR="00043F64" w:rsidRDefault="00043F64" w:rsidP="00E00E66"/>
    <w:p w14:paraId="3CF65341" w14:textId="1EE1BAF3" w:rsidR="008C2FC0" w:rsidRDefault="00E00E66" w:rsidP="008C2FC0">
      <w:r w:rsidRPr="008C2FC0">
        <w:t>What are we counting as the 100% that we need to achieve 80% of?</w:t>
      </w:r>
    </w:p>
    <w:p w14:paraId="286496BF" w14:textId="733A9B69" w:rsidR="008C2FC0" w:rsidRPr="00C601FD" w:rsidRDefault="008C2FC0" w:rsidP="00C601FD">
      <w:pPr>
        <w:rPr>
          <w:b w:val="0"/>
          <w:bCs w:val="0"/>
        </w:rPr>
      </w:pPr>
      <w:r w:rsidRPr="00C601FD">
        <w:rPr>
          <w:b w:val="0"/>
          <w:bCs w:val="0"/>
        </w:rPr>
        <w:t>As per the indicator specification, the denominator for this CQUIN (the 100%) is the referrals for self-harm to liaison psychiatry</w:t>
      </w:r>
      <w:r w:rsidR="00623D69" w:rsidRPr="00C601FD">
        <w:rPr>
          <w:b w:val="0"/>
          <w:bCs w:val="0"/>
        </w:rPr>
        <w:t xml:space="preserve"> that have been </w:t>
      </w:r>
      <w:r w:rsidR="00860E84" w:rsidRPr="00C601FD">
        <w:rPr>
          <w:b w:val="0"/>
          <w:bCs w:val="0"/>
        </w:rPr>
        <w:t xml:space="preserve">randomly </w:t>
      </w:r>
      <w:r w:rsidR="00623D69" w:rsidRPr="00C601FD">
        <w:rPr>
          <w:b w:val="0"/>
          <w:bCs w:val="0"/>
        </w:rPr>
        <w:t>selected for audit</w:t>
      </w:r>
      <w:r w:rsidRPr="00C601FD">
        <w:rPr>
          <w:b w:val="0"/>
          <w:bCs w:val="0"/>
        </w:rPr>
        <w:t xml:space="preserve">. Of that denominator, </w:t>
      </w:r>
      <w:r w:rsidR="00C21950" w:rsidRPr="00C601FD">
        <w:rPr>
          <w:b w:val="0"/>
          <w:bCs w:val="0"/>
        </w:rPr>
        <w:t xml:space="preserve">the CQUIN target is that </w:t>
      </w:r>
      <w:r w:rsidRPr="00C601FD">
        <w:rPr>
          <w:b w:val="0"/>
          <w:bCs w:val="0"/>
        </w:rPr>
        <w:t xml:space="preserve">80% have to have had had evidence of a comprehensive biopsychosocial assessment concordant with </w:t>
      </w:r>
      <w:hyperlink r:id="rId11" w:anchor="psychosocial-assessment-in-community-mental-health-services-and-other-specialist-mental-health" w:history="1">
        <w:r w:rsidRPr="00C601FD">
          <w:rPr>
            <w:rStyle w:val="Hyperlink"/>
            <w:b w:val="0"/>
            <w:bCs w:val="0"/>
          </w:rPr>
          <w:t>NICE guideline Section 1.3 of CG133</w:t>
        </w:r>
      </w:hyperlink>
      <w:r w:rsidRPr="00C601FD">
        <w:rPr>
          <w:b w:val="0"/>
          <w:bCs w:val="0"/>
        </w:rPr>
        <w:t xml:space="preserve"> including: </w:t>
      </w:r>
    </w:p>
    <w:p w14:paraId="6CF76174" w14:textId="77777777" w:rsidR="008C2FC0" w:rsidRPr="00C601FD" w:rsidRDefault="008C2FC0" w:rsidP="0041790C">
      <w:pPr>
        <w:pStyle w:val="ListParagraph"/>
        <w:numPr>
          <w:ilvl w:val="0"/>
          <w:numId w:val="11"/>
        </w:numPr>
        <w:rPr>
          <w:b w:val="0"/>
          <w:bCs w:val="0"/>
        </w:rPr>
      </w:pPr>
      <w:r w:rsidRPr="00C601FD">
        <w:rPr>
          <w:b w:val="0"/>
          <w:bCs w:val="0"/>
        </w:rPr>
        <w:t xml:space="preserve">Assessment of needs </w:t>
      </w:r>
    </w:p>
    <w:p w14:paraId="375DCA75" w14:textId="77777777" w:rsidR="008C2FC0" w:rsidRPr="00C601FD" w:rsidRDefault="008C2FC0" w:rsidP="0041790C">
      <w:pPr>
        <w:pStyle w:val="ListParagraph"/>
        <w:numPr>
          <w:ilvl w:val="0"/>
          <w:numId w:val="11"/>
        </w:numPr>
        <w:rPr>
          <w:b w:val="0"/>
          <w:bCs w:val="0"/>
        </w:rPr>
      </w:pPr>
      <w:r w:rsidRPr="00C601FD">
        <w:rPr>
          <w:b w:val="0"/>
          <w:bCs w:val="0"/>
        </w:rPr>
        <w:t xml:space="preserve">Risk assessment </w:t>
      </w:r>
    </w:p>
    <w:p w14:paraId="40FE6328" w14:textId="59CD630D" w:rsidR="008C2FC0" w:rsidRPr="00C601FD" w:rsidRDefault="008C2FC0" w:rsidP="0041790C">
      <w:pPr>
        <w:pStyle w:val="ListParagraph"/>
        <w:numPr>
          <w:ilvl w:val="0"/>
          <w:numId w:val="11"/>
        </w:numPr>
        <w:rPr>
          <w:b w:val="0"/>
          <w:bCs w:val="0"/>
        </w:rPr>
      </w:pPr>
      <w:r w:rsidRPr="00C601FD">
        <w:rPr>
          <w:b w:val="0"/>
          <w:bCs w:val="0"/>
        </w:rPr>
        <w:t xml:space="preserve">Developing an integrated care and risk management plan </w:t>
      </w:r>
    </w:p>
    <w:p w14:paraId="09CCB6B0" w14:textId="77EA5767" w:rsidR="00043F64" w:rsidRPr="00A526EE" w:rsidRDefault="00043F64" w:rsidP="00E00E66">
      <w:r w:rsidRPr="00A526EE">
        <w:t xml:space="preserve">What constitutes a full </w:t>
      </w:r>
      <w:r w:rsidR="00C601FD">
        <w:t xml:space="preserve">biopsychosocial </w:t>
      </w:r>
      <w:r w:rsidRPr="00A526EE">
        <w:t xml:space="preserve">assessment? </w:t>
      </w:r>
    </w:p>
    <w:p w14:paraId="5A49F8F9" w14:textId="5EB22929" w:rsidR="00860E84" w:rsidRPr="00C601FD" w:rsidRDefault="00EF6401" w:rsidP="00C601FD">
      <w:pPr>
        <w:rPr>
          <w:b w:val="0"/>
          <w:bCs w:val="0"/>
        </w:rPr>
      </w:pPr>
      <w:r w:rsidRPr="00C601FD">
        <w:rPr>
          <w:b w:val="0"/>
          <w:bCs w:val="0"/>
        </w:rPr>
        <w:t>We are not setting a precise definition</w:t>
      </w:r>
      <w:r w:rsidR="00B40DBE" w:rsidRPr="00C601FD">
        <w:rPr>
          <w:b w:val="0"/>
          <w:bCs w:val="0"/>
        </w:rPr>
        <w:t xml:space="preserve"> at a national </w:t>
      </w:r>
      <w:r w:rsidR="00506338" w:rsidRPr="00C601FD">
        <w:rPr>
          <w:b w:val="0"/>
          <w:bCs w:val="0"/>
        </w:rPr>
        <w:t xml:space="preserve">level </w:t>
      </w:r>
      <w:r w:rsidR="002E31D6" w:rsidRPr="00C601FD">
        <w:rPr>
          <w:b w:val="0"/>
          <w:bCs w:val="0"/>
        </w:rPr>
        <w:t>(</w:t>
      </w:r>
      <w:r w:rsidR="00506338" w:rsidRPr="00C601FD">
        <w:rPr>
          <w:b w:val="0"/>
          <w:bCs w:val="0"/>
        </w:rPr>
        <w:t>beyond what is in the NICE guidelines</w:t>
      </w:r>
      <w:r w:rsidR="002E31D6" w:rsidRPr="00C601FD">
        <w:rPr>
          <w:b w:val="0"/>
          <w:bCs w:val="0"/>
        </w:rPr>
        <w:t>)</w:t>
      </w:r>
      <w:r w:rsidR="00506338" w:rsidRPr="00C601FD">
        <w:rPr>
          <w:b w:val="0"/>
          <w:bCs w:val="0"/>
        </w:rPr>
        <w:t xml:space="preserve"> </w:t>
      </w:r>
      <w:r w:rsidRPr="00C601FD">
        <w:rPr>
          <w:b w:val="0"/>
          <w:bCs w:val="0"/>
        </w:rPr>
        <w:t>of what constitutes a full assessment</w:t>
      </w:r>
      <w:r w:rsidR="00F3598C" w:rsidRPr="00C601FD">
        <w:rPr>
          <w:b w:val="0"/>
          <w:bCs w:val="0"/>
        </w:rPr>
        <w:t xml:space="preserve">. Rather </w:t>
      </w:r>
      <w:r w:rsidR="002E31D6" w:rsidRPr="00C601FD">
        <w:rPr>
          <w:b w:val="0"/>
          <w:bCs w:val="0"/>
        </w:rPr>
        <w:t xml:space="preserve">we will rely on </w:t>
      </w:r>
      <w:r w:rsidR="00F3598C" w:rsidRPr="00C601FD">
        <w:rPr>
          <w:b w:val="0"/>
          <w:bCs w:val="0"/>
        </w:rPr>
        <w:t xml:space="preserve">the </w:t>
      </w:r>
      <w:r w:rsidR="00B40DBE" w:rsidRPr="00C601FD">
        <w:rPr>
          <w:b w:val="0"/>
          <w:bCs w:val="0"/>
        </w:rPr>
        <w:t xml:space="preserve">judgement </w:t>
      </w:r>
      <w:r w:rsidR="00F3598C" w:rsidRPr="00C601FD">
        <w:rPr>
          <w:b w:val="0"/>
          <w:bCs w:val="0"/>
        </w:rPr>
        <w:t xml:space="preserve">of local </w:t>
      </w:r>
      <w:r w:rsidR="00922B9F" w:rsidRPr="00C601FD">
        <w:rPr>
          <w:b w:val="0"/>
          <w:bCs w:val="0"/>
        </w:rPr>
        <w:t xml:space="preserve">clinical </w:t>
      </w:r>
      <w:r w:rsidR="00F3598C" w:rsidRPr="00C601FD">
        <w:rPr>
          <w:b w:val="0"/>
          <w:bCs w:val="0"/>
        </w:rPr>
        <w:t xml:space="preserve">teams </w:t>
      </w:r>
      <w:r w:rsidR="000C3329" w:rsidRPr="00C601FD">
        <w:rPr>
          <w:b w:val="0"/>
          <w:bCs w:val="0"/>
        </w:rPr>
        <w:t xml:space="preserve">and </w:t>
      </w:r>
      <w:r w:rsidR="00F146C3" w:rsidRPr="00C601FD">
        <w:rPr>
          <w:b w:val="0"/>
          <w:bCs w:val="0"/>
        </w:rPr>
        <w:t xml:space="preserve">colleagues conducting </w:t>
      </w:r>
      <w:r w:rsidR="00F3598C" w:rsidRPr="00C601FD">
        <w:rPr>
          <w:b w:val="0"/>
          <w:bCs w:val="0"/>
        </w:rPr>
        <w:t>the audits to review whether the assessment was in</w:t>
      </w:r>
      <w:r w:rsidR="001B1768" w:rsidRPr="00C601FD">
        <w:rPr>
          <w:b w:val="0"/>
          <w:bCs w:val="0"/>
        </w:rPr>
        <w:t xml:space="preserve"> </w:t>
      </w:r>
      <w:r w:rsidR="00506338" w:rsidRPr="00C601FD">
        <w:rPr>
          <w:b w:val="0"/>
          <w:bCs w:val="0"/>
        </w:rPr>
        <w:t xml:space="preserve">line with the requirements and </w:t>
      </w:r>
      <w:r w:rsidR="001B1768" w:rsidRPr="00C601FD">
        <w:rPr>
          <w:b w:val="0"/>
          <w:bCs w:val="0"/>
        </w:rPr>
        <w:t xml:space="preserve">spirit </w:t>
      </w:r>
      <w:r w:rsidR="00922B9F" w:rsidRPr="00C601FD">
        <w:rPr>
          <w:b w:val="0"/>
          <w:bCs w:val="0"/>
        </w:rPr>
        <w:t xml:space="preserve">of the </w:t>
      </w:r>
      <w:r w:rsidR="00F3598C" w:rsidRPr="00C601FD">
        <w:rPr>
          <w:b w:val="0"/>
          <w:bCs w:val="0"/>
        </w:rPr>
        <w:t xml:space="preserve">NICE </w:t>
      </w:r>
      <w:r w:rsidR="00397F92" w:rsidRPr="00C601FD">
        <w:rPr>
          <w:b w:val="0"/>
          <w:bCs w:val="0"/>
        </w:rPr>
        <w:t xml:space="preserve">guidance. </w:t>
      </w:r>
    </w:p>
    <w:p w14:paraId="6BBE25BA" w14:textId="036F93B4" w:rsidR="00D202C6" w:rsidRPr="00C601FD" w:rsidRDefault="00860E84" w:rsidP="00C601FD">
      <w:pPr>
        <w:rPr>
          <w:b w:val="0"/>
          <w:bCs w:val="0"/>
        </w:rPr>
      </w:pPr>
      <w:r w:rsidRPr="00C601FD">
        <w:rPr>
          <w:b w:val="0"/>
          <w:bCs w:val="0"/>
        </w:rPr>
        <w:t xml:space="preserve">An </w:t>
      </w:r>
      <w:hyperlink r:id="rId12" w:history="1">
        <w:r w:rsidRPr="00EB6C39">
          <w:rPr>
            <w:rStyle w:val="Hyperlink"/>
            <w:b w:val="0"/>
            <w:bCs w:val="0"/>
          </w:rPr>
          <w:t>audit tool</w:t>
        </w:r>
      </w:hyperlink>
      <w:r w:rsidRPr="00C601FD">
        <w:rPr>
          <w:b w:val="0"/>
          <w:bCs w:val="0"/>
        </w:rPr>
        <w:t xml:space="preserve"> has been provided as a guide to help self-audits.  It has two purposes:  to act as an aide memoire </w:t>
      </w:r>
      <w:r w:rsidR="00D202C6" w:rsidRPr="00C601FD">
        <w:rPr>
          <w:b w:val="0"/>
          <w:bCs w:val="0"/>
        </w:rPr>
        <w:t xml:space="preserve">for </w:t>
      </w:r>
      <w:r w:rsidRPr="00C601FD">
        <w:rPr>
          <w:b w:val="0"/>
          <w:bCs w:val="0"/>
        </w:rPr>
        <w:t xml:space="preserve">the components of psychosocial </w:t>
      </w:r>
      <w:r w:rsidR="00DD7397" w:rsidRPr="00C601FD">
        <w:rPr>
          <w:b w:val="0"/>
          <w:bCs w:val="0"/>
        </w:rPr>
        <w:t>assessments</w:t>
      </w:r>
      <w:r w:rsidRPr="00C601FD">
        <w:rPr>
          <w:b w:val="0"/>
          <w:bCs w:val="0"/>
        </w:rPr>
        <w:t xml:space="preserve"> based on the NICE guideline</w:t>
      </w:r>
      <w:r w:rsidR="006A7C29" w:rsidRPr="00C601FD">
        <w:rPr>
          <w:b w:val="0"/>
          <w:bCs w:val="0"/>
        </w:rPr>
        <w:t>,</w:t>
      </w:r>
      <w:r w:rsidRPr="00C601FD">
        <w:rPr>
          <w:b w:val="0"/>
          <w:bCs w:val="0"/>
        </w:rPr>
        <w:t xml:space="preserve"> but more importantly to support local quality improvement work - self-audits may help to identify areas of practice that services wish to improve.  Th</w:t>
      </w:r>
      <w:r w:rsidR="00C21B60" w:rsidRPr="00C601FD">
        <w:rPr>
          <w:b w:val="0"/>
          <w:bCs w:val="0"/>
        </w:rPr>
        <w:t xml:space="preserve">e latter </w:t>
      </w:r>
      <w:r w:rsidRPr="00C601FD">
        <w:rPr>
          <w:b w:val="0"/>
          <w:bCs w:val="0"/>
        </w:rPr>
        <w:t>is</w:t>
      </w:r>
      <w:r w:rsidR="006A7C29" w:rsidRPr="00C601FD">
        <w:rPr>
          <w:b w:val="0"/>
          <w:bCs w:val="0"/>
        </w:rPr>
        <w:t xml:space="preserve"> </w:t>
      </w:r>
      <w:r w:rsidRPr="00C601FD">
        <w:rPr>
          <w:b w:val="0"/>
          <w:bCs w:val="0"/>
        </w:rPr>
        <w:t>not formally part of the CQUIN reporting process</w:t>
      </w:r>
      <w:r w:rsidR="00D202C6" w:rsidRPr="00C601FD">
        <w:rPr>
          <w:b w:val="0"/>
          <w:bCs w:val="0"/>
        </w:rPr>
        <w:t xml:space="preserve">.  </w:t>
      </w:r>
    </w:p>
    <w:p w14:paraId="0A8F4044" w14:textId="265B5AEE" w:rsidR="00CD7860" w:rsidRPr="00C601FD" w:rsidRDefault="00D202C6" w:rsidP="00C601FD">
      <w:pPr>
        <w:rPr>
          <w:b w:val="0"/>
          <w:bCs w:val="0"/>
        </w:rPr>
      </w:pPr>
      <w:r w:rsidRPr="00C601FD">
        <w:rPr>
          <w:b w:val="0"/>
          <w:bCs w:val="0"/>
        </w:rPr>
        <w:t xml:space="preserve">Use of the tool is not mandatory. Experienced clinicians may want to use their own judgement on whether assessments are </w:t>
      </w:r>
      <w:r w:rsidR="002E31D6" w:rsidRPr="00C601FD">
        <w:rPr>
          <w:b w:val="0"/>
          <w:bCs w:val="0"/>
        </w:rPr>
        <w:t>consistent</w:t>
      </w:r>
      <w:r w:rsidRPr="00C601FD">
        <w:rPr>
          <w:b w:val="0"/>
          <w:bCs w:val="0"/>
        </w:rPr>
        <w:t xml:space="preserve"> with the spirit of the NICE guidelines instead. However, we would suggest that using the tool might help with local quality improvement activity. </w:t>
      </w:r>
      <w:r w:rsidR="00C21B60" w:rsidRPr="00C601FD">
        <w:rPr>
          <w:b w:val="0"/>
          <w:bCs w:val="0"/>
        </w:rPr>
        <w:t xml:space="preserve">The </w:t>
      </w:r>
      <w:proofErr w:type="gramStart"/>
      <w:r w:rsidR="00C21B60" w:rsidRPr="00C601FD">
        <w:rPr>
          <w:b w:val="0"/>
          <w:bCs w:val="0"/>
        </w:rPr>
        <w:t xml:space="preserve">tool </w:t>
      </w:r>
      <w:r w:rsidRPr="00C601FD">
        <w:rPr>
          <w:b w:val="0"/>
          <w:bCs w:val="0"/>
        </w:rPr>
        <w:t xml:space="preserve"> is</w:t>
      </w:r>
      <w:proofErr w:type="gramEnd"/>
      <w:r w:rsidRPr="00C601FD">
        <w:rPr>
          <w:b w:val="0"/>
          <w:bCs w:val="0"/>
        </w:rPr>
        <w:t xml:space="preserve"> a </w:t>
      </w:r>
      <w:r w:rsidRPr="00C601FD">
        <w:rPr>
          <w:b w:val="0"/>
          <w:bCs w:val="0"/>
          <w:i/>
        </w:rPr>
        <w:t>guide</w:t>
      </w:r>
      <w:r w:rsidR="002E31D6" w:rsidRPr="00C601FD">
        <w:rPr>
          <w:b w:val="0"/>
          <w:bCs w:val="0"/>
        </w:rPr>
        <w:t>. W</w:t>
      </w:r>
      <w:r w:rsidRPr="00C601FD">
        <w:rPr>
          <w:b w:val="0"/>
          <w:bCs w:val="0"/>
        </w:rPr>
        <w:t xml:space="preserve">e would not expect every filed to be completed for every patient and neither do we expect individual self-audit forms to be returned to the CQUIN team. Neither is it necessary for every item to be endorsed for an assessment to meet the required threshold.  </w:t>
      </w:r>
    </w:p>
    <w:p w14:paraId="0B79B743" w14:textId="19BC14BC" w:rsidR="00665824" w:rsidRPr="00C601FD" w:rsidRDefault="00F146C3" w:rsidP="00C601FD">
      <w:pPr>
        <w:rPr>
          <w:b w:val="0"/>
          <w:bCs w:val="0"/>
        </w:rPr>
      </w:pPr>
      <w:r w:rsidRPr="00C601FD">
        <w:rPr>
          <w:b w:val="0"/>
          <w:bCs w:val="0"/>
        </w:rPr>
        <w:t>In addition to the NICE guidance, further information on assessments are included in</w:t>
      </w:r>
      <w:r w:rsidR="0033620C" w:rsidRPr="00C601FD">
        <w:rPr>
          <w:b w:val="0"/>
          <w:bCs w:val="0"/>
        </w:rPr>
        <w:t xml:space="preserve"> sections 1.3 and 1.5 of the</w:t>
      </w:r>
      <w:r w:rsidR="0041790C">
        <w:rPr>
          <w:b w:val="0"/>
          <w:bCs w:val="0"/>
        </w:rPr>
        <w:t xml:space="preserve"> </w:t>
      </w:r>
      <w:hyperlink r:id="rId13" w:anchor="assessment-and-referral-in-a-crisis" w:history="1">
        <w:r w:rsidR="00665824" w:rsidRPr="00C601FD">
          <w:rPr>
            <w:rStyle w:val="Hyperlink"/>
            <w:b w:val="0"/>
            <w:bCs w:val="0"/>
          </w:rPr>
          <w:t>Service User Experience in Adult Mental Health NICE clinical guideline</w:t>
        </w:r>
      </w:hyperlink>
      <w:r w:rsidR="00665824" w:rsidRPr="00C601FD">
        <w:rPr>
          <w:b w:val="0"/>
          <w:bCs w:val="0"/>
        </w:rPr>
        <w:t xml:space="preserve"> and </w:t>
      </w:r>
      <w:hyperlink r:id="rId14" w:history="1">
        <w:r w:rsidR="00665824" w:rsidRPr="00C601FD">
          <w:rPr>
            <w:rStyle w:val="Hyperlink"/>
            <w:b w:val="0"/>
            <w:bCs w:val="0"/>
          </w:rPr>
          <w:t>quality standard.</w:t>
        </w:r>
      </w:hyperlink>
    </w:p>
    <w:p w14:paraId="62CA7F2E" w14:textId="6A2FA1FB" w:rsidR="00665824" w:rsidRPr="00C601FD" w:rsidRDefault="00665824" w:rsidP="00C601FD">
      <w:pPr>
        <w:rPr>
          <w:rStyle w:val="Hyperlink"/>
          <w:b w:val="0"/>
          <w:bCs w:val="0"/>
        </w:rPr>
      </w:pPr>
      <w:r w:rsidRPr="00C601FD">
        <w:rPr>
          <w:b w:val="0"/>
          <w:bCs w:val="0"/>
        </w:rPr>
        <w:t>For more information on biopsychosocial assessments, please refer to</w:t>
      </w:r>
      <w:r w:rsidR="00506338" w:rsidRPr="00C601FD">
        <w:rPr>
          <w:b w:val="0"/>
          <w:bCs w:val="0"/>
        </w:rPr>
        <w:t xml:space="preserve"> page </w:t>
      </w:r>
      <w:r w:rsidR="00ED549C" w:rsidRPr="00C601FD">
        <w:rPr>
          <w:b w:val="0"/>
          <w:bCs w:val="0"/>
        </w:rPr>
        <w:t>44 of</w:t>
      </w:r>
      <w:r w:rsidRPr="00C601FD">
        <w:rPr>
          <w:b w:val="0"/>
          <w:bCs w:val="0"/>
        </w:rPr>
        <w:t xml:space="preserve"> </w:t>
      </w:r>
      <w:r w:rsidR="00D37AEE">
        <w:rPr>
          <w:b w:val="0"/>
          <w:bCs w:val="0"/>
        </w:rPr>
        <w:fldChar w:fldCharType="begin"/>
      </w:r>
      <w:r w:rsidR="00D37AEE" w:rsidRPr="00C601FD">
        <w:rPr>
          <w:b w:val="0"/>
          <w:bCs w:val="0"/>
        </w:rPr>
        <w:instrText xml:space="preserve"> HYPERLINK "https://www.england.nhs.uk/wp-content/uploads/2016/11/lmhs-guidance.pdf" </w:instrText>
      </w:r>
      <w:r w:rsidR="00D37AEE">
        <w:rPr>
          <w:b w:val="0"/>
          <w:bCs w:val="0"/>
        </w:rPr>
        <w:fldChar w:fldCharType="separate"/>
      </w:r>
      <w:r w:rsidRPr="00C601FD">
        <w:rPr>
          <w:rStyle w:val="Hyperlink"/>
          <w:b w:val="0"/>
          <w:bCs w:val="0"/>
        </w:rPr>
        <w:t>Achieving Better Access to 24/7 Urgent and Emergency Mental Health Care</w:t>
      </w:r>
    </w:p>
    <w:p w14:paraId="2DE42B37" w14:textId="4314EEC9" w:rsidR="00C601FD" w:rsidRDefault="00D37AEE" w:rsidP="00E00E66">
      <w:r>
        <w:rPr>
          <w:b w:val="0"/>
          <w:bCs w:val="0"/>
        </w:rPr>
        <w:fldChar w:fldCharType="end"/>
      </w:r>
      <w:r w:rsidR="00C601FD">
        <w:t>How will providers demonstrate they have met the indicator?</w:t>
      </w:r>
    </w:p>
    <w:p w14:paraId="243DD408" w14:textId="6D4FAA0D" w:rsidR="0041790C" w:rsidRDefault="0041790C" w:rsidP="0041790C">
      <w:pPr>
        <w:rPr>
          <w:b w:val="0"/>
          <w:bCs w:val="0"/>
        </w:rPr>
      </w:pPr>
      <w:r>
        <w:rPr>
          <w:b w:val="0"/>
          <w:bCs w:val="0"/>
        </w:rPr>
        <w:t>Providers will be required to submit</w:t>
      </w:r>
      <w:r w:rsidR="00E07888">
        <w:rPr>
          <w:b w:val="0"/>
          <w:bCs w:val="0"/>
        </w:rPr>
        <w:t xml:space="preserve"> audit </w:t>
      </w:r>
      <w:r w:rsidRPr="0041790C">
        <w:rPr>
          <w:b w:val="0"/>
          <w:bCs w:val="0"/>
        </w:rPr>
        <w:t>data</w:t>
      </w:r>
      <w:r w:rsidR="00E07888">
        <w:rPr>
          <w:b w:val="0"/>
          <w:bCs w:val="0"/>
        </w:rPr>
        <w:t xml:space="preserve"> to demonstrate meeting of the this CQUIN indicator</w:t>
      </w:r>
      <w:r w:rsidRPr="0041790C">
        <w:rPr>
          <w:b w:val="0"/>
          <w:bCs w:val="0"/>
        </w:rPr>
        <w:t xml:space="preserve"> </w:t>
      </w:r>
      <w:r>
        <w:rPr>
          <w:b w:val="0"/>
          <w:bCs w:val="0"/>
        </w:rPr>
        <w:t>to a</w:t>
      </w:r>
      <w:r w:rsidRPr="0041790C">
        <w:rPr>
          <w:b w:val="0"/>
          <w:bCs w:val="0"/>
        </w:rPr>
        <w:t xml:space="preserve"> national collection</w:t>
      </w:r>
      <w:r w:rsidR="006952B8">
        <w:rPr>
          <w:b w:val="0"/>
          <w:bCs w:val="0"/>
        </w:rPr>
        <w:t xml:space="preserve"> on a quarterly basis</w:t>
      </w:r>
      <w:r>
        <w:rPr>
          <w:b w:val="0"/>
          <w:bCs w:val="0"/>
        </w:rPr>
        <w:t xml:space="preserve">. You can find out more about the collection in this </w:t>
      </w:r>
      <w:hyperlink r:id="rId15" w:history="1">
        <w:r w:rsidRPr="0041790C">
          <w:rPr>
            <w:rStyle w:val="Hyperlink"/>
            <w:b w:val="0"/>
            <w:bCs w:val="0"/>
          </w:rPr>
          <w:t>document</w:t>
        </w:r>
      </w:hyperlink>
      <w:r>
        <w:rPr>
          <w:b w:val="0"/>
          <w:bCs w:val="0"/>
        </w:rPr>
        <w:t xml:space="preserve">, </w:t>
      </w:r>
      <w:r w:rsidR="006952B8">
        <w:rPr>
          <w:b w:val="0"/>
          <w:bCs w:val="0"/>
        </w:rPr>
        <w:t>with</w:t>
      </w:r>
      <w:r>
        <w:rPr>
          <w:b w:val="0"/>
          <w:bCs w:val="0"/>
        </w:rPr>
        <w:t xml:space="preserve"> further </w:t>
      </w:r>
      <w:r w:rsidRPr="0041790C">
        <w:rPr>
          <w:b w:val="0"/>
          <w:bCs w:val="0"/>
        </w:rPr>
        <w:t>details will be made available in due course</w:t>
      </w:r>
      <w:r>
        <w:rPr>
          <w:b w:val="0"/>
          <w:bCs w:val="0"/>
        </w:rPr>
        <w:t>.</w:t>
      </w:r>
    </w:p>
    <w:p w14:paraId="4B441BEA" w14:textId="54BF2C1E" w:rsidR="0041790C" w:rsidRPr="00EB6C39" w:rsidRDefault="00E07888" w:rsidP="0041790C">
      <w:pPr>
        <w:rPr>
          <w:b w:val="0"/>
          <w:bCs w:val="0"/>
        </w:rPr>
      </w:pPr>
      <w:r>
        <w:rPr>
          <w:b w:val="0"/>
          <w:bCs w:val="0"/>
        </w:rPr>
        <w:lastRenderedPageBreak/>
        <w:t>For the quarterly collection, p</w:t>
      </w:r>
      <w:r w:rsidR="0041790C">
        <w:rPr>
          <w:b w:val="0"/>
          <w:bCs w:val="0"/>
        </w:rPr>
        <w:t>roviders will</w:t>
      </w:r>
      <w:r>
        <w:rPr>
          <w:b w:val="0"/>
          <w:bCs w:val="0"/>
        </w:rPr>
        <w:t xml:space="preserve"> only</w:t>
      </w:r>
      <w:r w:rsidR="0041790C">
        <w:rPr>
          <w:b w:val="0"/>
          <w:bCs w:val="0"/>
        </w:rPr>
        <w:t xml:space="preserve"> be required to submit the numerator and denominator for the indicator. To support providers in </w:t>
      </w:r>
      <w:r w:rsidR="00EB6C39">
        <w:rPr>
          <w:b w:val="0"/>
          <w:bCs w:val="0"/>
        </w:rPr>
        <w:t>calculating</w:t>
      </w:r>
      <w:r w:rsidR="0041790C">
        <w:rPr>
          <w:b w:val="0"/>
          <w:bCs w:val="0"/>
        </w:rPr>
        <w:t xml:space="preserve"> their numerator and denominator</w:t>
      </w:r>
      <w:r w:rsidR="00EB6C39">
        <w:rPr>
          <w:b w:val="0"/>
          <w:bCs w:val="0"/>
        </w:rPr>
        <w:t xml:space="preserve"> for the quarterly self-audits</w:t>
      </w:r>
      <w:r w:rsidR="0041790C">
        <w:rPr>
          <w:b w:val="0"/>
          <w:bCs w:val="0"/>
        </w:rPr>
        <w:t xml:space="preserve">, </w:t>
      </w:r>
      <w:r>
        <w:rPr>
          <w:b w:val="0"/>
          <w:bCs w:val="0"/>
        </w:rPr>
        <w:t>a</w:t>
      </w:r>
      <w:r w:rsidR="00F506CA">
        <w:rPr>
          <w:b w:val="0"/>
          <w:bCs w:val="0"/>
        </w:rPr>
        <w:t xml:space="preserve"> </w:t>
      </w:r>
      <w:hyperlink r:id="rId16" w:history="1">
        <w:r w:rsidR="00F506CA" w:rsidRPr="005507C6">
          <w:rPr>
            <w:rStyle w:val="Hyperlink"/>
            <w:b w:val="0"/>
            <w:bCs w:val="0"/>
          </w:rPr>
          <w:t>CQUIN Audit Spreadsheet</w:t>
        </w:r>
      </w:hyperlink>
      <w:r w:rsidR="00F506CA">
        <w:rPr>
          <w:b w:val="0"/>
          <w:bCs w:val="0"/>
        </w:rPr>
        <w:t xml:space="preserve"> </w:t>
      </w:r>
      <w:r w:rsidR="005507C6">
        <w:rPr>
          <w:b w:val="0"/>
          <w:bCs w:val="0"/>
        </w:rPr>
        <w:t>has been provided</w:t>
      </w:r>
      <w:r w:rsidR="00F506CA">
        <w:rPr>
          <w:b w:val="0"/>
          <w:bCs w:val="0"/>
        </w:rPr>
        <w:t xml:space="preserve">. </w:t>
      </w:r>
      <w:r w:rsidR="00EB6C39" w:rsidRPr="00EB6C39">
        <w:rPr>
          <w:b w:val="0"/>
          <w:bCs w:val="0"/>
        </w:rPr>
        <w:t xml:space="preserve">The audit spreadsheet will provide a record of the quarterly self-audit been completed and ensure providers can evidence the audit to their commissioners (if this is required/requested). Clinicians can complete the </w:t>
      </w:r>
      <w:r w:rsidR="00EB6C39">
        <w:rPr>
          <w:b w:val="0"/>
          <w:bCs w:val="0"/>
        </w:rPr>
        <w:t xml:space="preserve">audit </w:t>
      </w:r>
      <w:r w:rsidR="00EB6C39" w:rsidRPr="00EB6C39">
        <w:rPr>
          <w:b w:val="0"/>
          <w:bCs w:val="0"/>
        </w:rPr>
        <w:t xml:space="preserve">spreadsheet whilst auditing by either using their clinical judgement and/or using the developed </w:t>
      </w:r>
      <w:hyperlink r:id="rId17" w:history="1">
        <w:r w:rsidR="00EB6C39" w:rsidRPr="00EB6C39">
          <w:rPr>
            <w:rStyle w:val="Hyperlink"/>
            <w:b w:val="0"/>
            <w:bCs w:val="0"/>
          </w:rPr>
          <w:t>audit tool</w:t>
        </w:r>
      </w:hyperlink>
      <w:r w:rsidR="00EB6C39" w:rsidRPr="00EB6C39">
        <w:rPr>
          <w:b w:val="0"/>
          <w:bCs w:val="0"/>
        </w:rPr>
        <w:t xml:space="preserve"> (see </w:t>
      </w:r>
      <w:r w:rsidR="00EB6C39">
        <w:rPr>
          <w:b w:val="0"/>
          <w:bCs w:val="0"/>
        </w:rPr>
        <w:t>question above).</w:t>
      </w:r>
    </w:p>
    <w:p w14:paraId="58118FDE" w14:textId="3E82758B" w:rsidR="00E00E66" w:rsidRDefault="00E00E66" w:rsidP="00E00E66">
      <w:r w:rsidRPr="00CE2F6B">
        <w:t>Is there a time frame for how soon the biopsychosocial assessment needs to be done by after referral?</w:t>
      </w:r>
    </w:p>
    <w:p w14:paraId="25A02E64" w14:textId="60D69AF9" w:rsidR="00AB27A8" w:rsidRDefault="00AB27A8" w:rsidP="00E00E66">
      <w:pPr>
        <w:rPr>
          <w:b w:val="0"/>
          <w:bCs w:val="0"/>
        </w:rPr>
      </w:pPr>
      <w:r>
        <w:rPr>
          <w:b w:val="0"/>
          <w:bCs w:val="0"/>
        </w:rPr>
        <w:t>National guidance states that liaison psychiatry teams should respond and commence the face to face assessment within 1hr for referrals from emergency departments (or emergency referrals from wards) and within 24hrs for</w:t>
      </w:r>
      <w:r w:rsidR="009A0DBA">
        <w:rPr>
          <w:b w:val="0"/>
          <w:bCs w:val="0"/>
        </w:rPr>
        <w:t xml:space="preserve"> all other</w:t>
      </w:r>
      <w:r>
        <w:rPr>
          <w:b w:val="0"/>
          <w:bCs w:val="0"/>
        </w:rPr>
        <w:t xml:space="preserve"> referrals from inpatient wards </w:t>
      </w:r>
    </w:p>
    <w:p w14:paraId="5617E5B3" w14:textId="025E82E3" w:rsidR="000C18C6" w:rsidRPr="00C601FD" w:rsidRDefault="00AB27A8" w:rsidP="00E00E66">
      <w:pPr>
        <w:rPr>
          <w:b w:val="0"/>
          <w:bCs w:val="0"/>
        </w:rPr>
      </w:pPr>
      <w:r>
        <w:rPr>
          <w:b w:val="0"/>
          <w:bCs w:val="0"/>
        </w:rPr>
        <w:t>There is no set g</w:t>
      </w:r>
      <w:r w:rsidR="00743BB5">
        <w:rPr>
          <w:b w:val="0"/>
          <w:bCs w:val="0"/>
        </w:rPr>
        <w:t xml:space="preserve">uidance on how long the assessment should take and this is likely to vary by individual. Previous estimates </w:t>
      </w:r>
      <w:r w:rsidR="002A47E1">
        <w:rPr>
          <w:b w:val="0"/>
          <w:bCs w:val="0"/>
        </w:rPr>
        <w:t xml:space="preserve">that have informed </w:t>
      </w:r>
      <w:r w:rsidR="00761B75">
        <w:rPr>
          <w:b w:val="0"/>
          <w:bCs w:val="0"/>
        </w:rPr>
        <w:t xml:space="preserve">the national guidance suggest that biopsychosocial assessments take on average around </w:t>
      </w:r>
      <w:r w:rsidR="00C21B60">
        <w:rPr>
          <w:b w:val="0"/>
          <w:bCs w:val="0"/>
        </w:rPr>
        <w:t>60-</w:t>
      </w:r>
      <w:r w:rsidR="00761B75">
        <w:rPr>
          <w:b w:val="0"/>
          <w:bCs w:val="0"/>
        </w:rPr>
        <w:t xml:space="preserve">90 minutes, but some may need </w:t>
      </w:r>
      <w:proofErr w:type="gramStart"/>
      <w:r w:rsidR="00761B75">
        <w:rPr>
          <w:b w:val="0"/>
          <w:bCs w:val="0"/>
        </w:rPr>
        <w:t>longer</w:t>
      </w:r>
      <w:proofErr w:type="gramEnd"/>
      <w:r w:rsidR="00761B75">
        <w:rPr>
          <w:b w:val="0"/>
          <w:bCs w:val="0"/>
        </w:rPr>
        <w:t xml:space="preserve"> and some may be done more quickly. </w:t>
      </w:r>
      <w:r>
        <w:rPr>
          <w:b w:val="0"/>
          <w:bCs w:val="0"/>
        </w:rPr>
        <w:t xml:space="preserve"> </w:t>
      </w:r>
    </w:p>
    <w:p w14:paraId="635B3635" w14:textId="77777777" w:rsidR="00263CC2" w:rsidRDefault="00CE2F6B" w:rsidP="00263CC2">
      <w:pPr>
        <w:pStyle w:val="NoSpacing"/>
        <w:numPr>
          <w:ilvl w:val="0"/>
          <w:numId w:val="0"/>
        </w:numPr>
        <w:ind w:left="360" w:hanging="360"/>
        <w:jc w:val="both"/>
        <w:rPr>
          <w:rStyle w:val="normaltextrun"/>
          <w:b/>
          <w:bCs/>
        </w:rPr>
      </w:pPr>
      <w:r w:rsidRPr="00A93ADF">
        <w:rPr>
          <w:rStyle w:val="normaltextrun"/>
          <w:b/>
          <w:bCs/>
        </w:rPr>
        <w:t xml:space="preserve">Can we also get the term 'self-harm' clarified as the CQUIN definitions </w:t>
      </w:r>
      <w:proofErr w:type="gramStart"/>
      <w:r w:rsidRPr="00A93ADF">
        <w:rPr>
          <w:rStyle w:val="normaltextrun"/>
          <w:b/>
          <w:bCs/>
        </w:rPr>
        <w:t>have</w:t>
      </w:r>
      <w:proofErr w:type="gramEnd"/>
    </w:p>
    <w:p w14:paraId="1B61068E" w14:textId="170695A3" w:rsidR="00CE2F6B" w:rsidRPr="00A93ADF" w:rsidRDefault="00CE2F6B" w:rsidP="00A93ADF">
      <w:pPr>
        <w:pStyle w:val="NoSpacing"/>
        <w:numPr>
          <w:ilvl w:val="0"/>
          <w:numId w:val="0"/>
        </w:numPr>
        <w:ind w:left="360" w:hanging="360"/>
        <w:jc w:val="both"/>
        <w:rPr>
          <w:rStyle w:val="eop"/>
          <w:b/>
          <w:bCs/>
        </w:rPr>
      </w:pPr>
      <w:r w:rsidRPr="00A93ADF">
        <w:rPr>
          <w:rStyle w:val="normaltextrun"/>
          <w:b/>
          <w:bCs/>
        </w:rPr>
        <w:t>caused some confusion?</w:t>
      </w:r>
      <w:r w:rsidRPr="00A93ADF">
        <w:rPr>
          <w:rStyle w:val="eop"/>
          <w:b/>
          <w:bCs/>
        </w:rPr>
        <w:t> </w:t>
      </w:r>
    </w:p>
    <w:p w14:paraId="0A58C69B" w14:textId="77777777" w:rsidR="00CE2F6B" w:rsidRPr="00CE2F6B" w:rsidRDefault="00CE2F6B" w:rsidP="00A93ADF">
      <w:pPr>
        <w:pStyle w:val="NoSpacing"/>
        <w:numPr>
          <w:ilvl w:val="0"/>
          <w:numId w:val="0"/>
        </w:numPr>
      </w:pPr>
    </w:p>
    <w:p w14:paraId="3395EBC1" w14:textId="4CCD89AE" w:rsidR="00CE2F6B" w:rsidRPr="000E21CA" w:rsidRDefault="00CE2F6B" w:rsidP="00A93ADF">
      <w:pPr>
        <w:pStyle w:val="paragraph"/>
        <w:spacing w:before="0" w:beforeAutospacing="0" w:after="0" w:afterAutospacing="0"/>
        <w:textAlignment w:val="baseline"/>
        <w:rPr>
          <w:rStyle w:val="eop"/>
          <w:rFonts w:ascii="Arial" w:eastAsiaTheme="minorHAnsi" w:hAnsi="Arial" w:cs="Arial"/>
          <w:color w:val="000000"/>
          <w:sz w:val="18"/>
          <w:szCs w:val="18"/>
          <w:shd w:val="clear" w:color="auto" w:fill="FFFFFF"/>
          <w:lang w:eastAsia="en-US"/>
        </w:rPr>
      </w:pPr>
      <w:r w:rsidRPr="00CE2F6B">
        <w:rPr>
          <w:rStyle w:val="normaltextrun"/>
          <w:rFonts w:ascii="Arial" w:eastAsiaTheme="majorEastAsia" w:hAnsi="Arial" w:cs="Arial"/>
        </w:rPr>
        <w:t xml:space="preserve">The term self-harm for this CQUIN is defined as in the NICE guideline to refer to any act of self-poisoning or self-injury carried out by an individual irrespective of motivation. This excludes harm to the </w:t>
      </w:r>
      <w:proofErr w:type="spellStart"/>
      <w:r w:rsidRPr="00CE2F6B">
        <w:rPr>
          <w:rStyle w:val="normaltextrun"/>
          <w:rFonts w:ascii="Arial" w:eastAsiaTheme="majorEastAsia" w:hAnsi="Arial" w:cs="Arial"/>
        </w:rPr>
        <w:t>self arising</w:t>
      </w:r>
      <w:proofErr w:type="spellEnd"/>
      <w:r w:rsidRPr="00CE2F6B">
        <w:rPr>
          <w:rStyle w:val="normaltextrun"/>
          <w:rFonts w:ascii="Arial" w:eastAsiaTheme="majorEastAsia" w:hAnsi="Arial" w:cs="Arial"/>
        </w:rPr>
        <w:t xml:space="preserve"> from excessive consumption of alcohol or recreational drugs, or from starvation arising from anorexia nervosa, or accidental harm to oneself.</w:t>
      </w:r>
      <w:r w:rsidRPr="00CE2F6B">
        <w:rPr>
          <w:rStyle w:val="eop"/>
          <w:rFonts w:ascii="Arial" w:hAnsi="Arial" w:cs="Arial"/>
        </w:rPr>
        <w:t> </w:t>
      </w:r>
    </w:p>
    <w:p w14:paraId="0427C4DC" w14:textId="04B7EDF0" w:rsidR="000E21CA" w:rsidRDefault="000E21CA" w:rsidP="000E21CA">
      <w:pPr>
        <w:pStyle w:val="paragraph"/>
        <w:spacing w:before="0" w:beforeAutospacing="0" w:after="0" w:afterAutospacing="0"/>
        <w:textAlignment w:val="baseline"/>
        <w:rPr>
          <w:rStyle w:val="eop"/>
          <w:rFonts w:ascii="Arial" w:hAnsi="Arial" w:cs="Arial"/>
        </w:rPr>
      </w:pPr>
    </w:p>
    <w:p w14:paraId="0C6C1C20" w14:textId="29F320D1" w:rsidR="00CE2F6B" w:rsidRDefault="000E21CA" w:rsidP="00E00E66">
      <w:r>
        <w:t>I</w:t>
      </w:r>
      <w:r w:rsidRPr="00D63B9A">
        <w:t>s this an all age CQUIN, should we be including self</w:t>
      </w:r>
      <w:r w:rsidR="00250403">
        <w:t>-</w:t>
      </w:r>
      <w:r w:rsidRPr="00D63B9A">
        <w:t>harm referrals to our CAMHS team that operate in ED as well?</w:t>
      </w:r>
    </w:p>
    <w:p w14:paraId="589E2872" w14:textId="72A73BEB" w:rsidR="004639A2" w:rsidRPr="00C601FD" w:rsidRDefault="005B0792" w:rsidP="00C601FD">
      <w:pPr>
        <w:rPr>
          <w:b w:val="0"/>
          <w:bCs w:val="0"/>
        </w:rPr>
      </w:pPr>
      <w:r w:rsidRPr="00C601FD">
        <w:rPr>
          <w:b w:val="0"/>
          <w:bCs w:val="0"/>
        </w:rPr>
        <w:t>Yes, t</w:t>
      </w:r>
      <w:r w:rsidR="004639A2" w:rsidRPr="00C601FD">
        <w:rPr>
          <w:b w:val="0"/>
          <w:bCs w:val="0"/>
        </w:rPr>
        <w:t>his CQUIN is inclusive of all ages. The scope is any liaison mental health team and /or CYP equiv</w:t>
      </w:r>
      <w:r w:rsidR="008C2FC0" w:rsidRPr="00C601FD">
        <w:rPr>
          <w:b w:val="0"/>
          <w:bCs w:val="0"/>
        </w:rPr>
        <w:t xml:space="preserve">alent mental health service who provide response to referrals to emergency departments and deliver biopsychosocial assessments </w:t>
      </w:r>
    </w:p>
    <w:p w14:paraId="418BBEE2" w14:textId="370B3A24" w:rsidR="000E21CA" w:rsidRPr="00250403" w:rsidRDefault="000E21CA" w:rsidP="00250403">
      <w:r w:rsidRPr="00E00E66">
        <w:t xml:space="preserve">What happens with </w:t>
      </w:r>
      <w:r>
        <w:t>patients</w:t>
      </w:r>
      <w:r w:rsidRPr="00E00E66">
        <w:t xml:space="preserve"> that decline or </w:t>
      </w:r>
      <w:proofErr w:type="spellStart"/>
      <w:r w:rsidRPr="00E00E66">
        <w:t>self discharge</w:t>
      </w:r>
      <w:proofErr w:type="spellEnd"/>
      <w:r w:rsidRPr="00E00E66">
        <w:t xml:space="preserve"> prior to assessment?</w:t>
      </w:r>
    </w:p>
    <w:p w14:paraId="1CECAC7B" w14:textId="6E3D7303" w:rsidR="00CE2F6B" w:rsidRDefault="00CE2F6B" w:rsidP="00C601FD">
      <w:pPr>
        <w:pStyle w:val="NoSpacing"/>
        <w:numPr>
          <w:ilvl w:val="0"/>
          <w:numId w:val="0"/>
        </w:numPr>
        <w:rPr>
          <w:rStyle w:val="eop"/>
        </w:rPr>
      </w:pPr>
      <w:r w:rsidRPr="00E165D2">
        <w:rPr>
          <w:rStyle w:val="normaltextrun"/>
        </w:rPr>
        <w:t>We wouldn’t expect that 20% of people would refuse to complete the assessment or would self-discharge prior to assessment and therefore the thresholds should allow for this. </w:t>
      </w:r>
      <w:r w:rsidRPr="00E165D2">
        <w:rPr>
          <w:rStyle w:val="eop"/>
        </w:rPr>
        <w:t> </w:t>
      </w:r>
    </w:p>
    <w:p w14:paraId="7B0384B0" w14:textId="77777777" w:rsidR="000E21CA" w:rsidRDefault="000E21CA" w:rsidP="000E21CA">
      <w:pPr>
        <w:rPr>
          <w:lang w:eastAsia="en-GB"/>
        </w:rPr>
      </w:pPr>
    </w:p>
    <w:p w14:paraId="7A77D920" w14:textId="4CFF58EE" w:rsidR="000E21CA" w:rsidRPr="00AE5053" w:rsidRDefault="000E21CA" w:rsidP="000E21CA">
      <w:pPr>
        <w:rPr>
          <w:lang w:eastAsia="en-GB"/>
        </w:rPr>
      </w:pPr>
      <w:r w:rsidRPr="00AE5053">
        <w:rPr>
          <w:lang w:eastAsia="en-GB"/>
        </w:rPr>
        <w:t>Is there an expectation we achieve 80% each 1/4 or at the end of the CQUIN?</w:t>
      </w:r>
    </w:p>
    <w:p w14:paraId="2BDEC023" w14:textId="61E77226" w:rsidR="00C601FD" w:rsidRDefault="000E21CA" w:rsidP="00C601FD">
      <w:pPr>
        <w:pStyle w:val="NoSpacing"/>
        <w:numPr>
          <w:ilvl w:val="0"/>
          <w:numId w:val="0"/>
        </w:numPr>
        <w:spacing w:after="160"/>
        <w:rPr>
          <w:lang w:eastAsia="en-GB"/>
        </w:rPr>
      </w:pPr>
      <w:r>
        <w:rPr>
          <w:lang w:eastAsia="en-GB"/>
        </w:rPr>
        <w:lastRenderedPageBreak/>
        <w:t xml:space="preserve">The performance is based on an average across the quarters of the year. </w:t>
      </w:r>
      <w:proofErr w:type="gramStart"/>
      <w:r>
        <w:rPr>
          <w:lang w:eastAsia="en-GB"/>
        </w:rPr>
        <w:t>So</w:t>
      </w:r>
      <w:proofErr w:type="gramEnd"/>
      <w:r>
        <w:rPr>
          <w:lang w:eastAsia="en-GB"/>
        </w:rPr>
        <w:t xml:space="preserve"> a provider doesn’t need to meet 80% in every quarter as long as it is exceed in other quarters.</w:t>
      </w:r>
    </w:p>
    <w:p w14:paraId="77641634" w14:textId="7EC3F5EA" w:rsidR="001F1293" w:rsidRPr="00E165D2" w:rsidRDefault="001F1293" w:rsidP="00C601FD">
      <w:pPr>
        <w:pStyle w:val="NoSpacing"/>
        <w:numPr>
          <w:ilvl w:val="0"/>
          <w:numId w:val="0"/>
        </w:numPr>
        <w:spacing w:after="160"/>
        <w:rPr>
          <w:rStyle w:val="eop"/>
          <w:lang w:eastAsia="en-GB"/>
        </w:rPr>
      </w:pPr>
      <w:r>
        <w:rPr>
          <w:lang w:eastAsia="en-GB"/>
        </w:rPr>
        <w:t>W</w:t>
      </w:r>
      <w:r w:rsidR="00E029BC">
        <w:rPr>
          <w:lang w:eastAsia="en-GB"/>
        </w:rPr>
        <w:t xml:space="preserve">e expect that some services </w:t>
      </w:r>
      <w:r w:rsidR="004433C4">
        <w:rPr>
          <w:lang w:eastAsia="en-GB"/>
        </w:rPr>
        <w:t>will be</w:t>
      </w:r>
      <w:r w:rsidR="00E029BC">
        <w:rPr>
          <w:lang w:eastAsia="en-GB"/>
        </w:rPr>
        <w:t xml:space="preserve"> undertaking quality improvement </w:t>
      </w:r>
      <w:proofErr w:type="gramStart"/>
      <w:r w:rsidR="00E029BC">
        <w:rPr>
          <w:lang w:eastAsia="en-GB"/>
        </w:rPr>
        <w:t>projects  to</w:t>
      </w:r>
      <w:proofErr w:type="gramEnd"/>
      <w:r w:rsidR="00E029BC">
        <w:rPr>
          <w:lang w:eastAsia="en-GB"/>
        </w:rPr>
        <w:t xml:space="preserve"> support the CQUIN, and in that context they might hope to see gradual improvements over the course of the year. </w:t>
      </w:r>
    </w:p>
    <w:p w14:paraId="68894446" w14:textId="7401435C" w:rsidR="00CE2F6B" w:rsidRPr="00CE2F6B" w:rsidRDefault="00CE2F6B" w:rsidP="00E165D2">
      <w:pPr>
        <w:pStyle w:val="NoSpacing"/>
        <w:numPr>
          <w:ilvl w:val="0"/>
          <w:numId w:val="0"/>
        </w:numPr>
        <w:ind w:left="720"/>
      </w:pPr>
    </w:p>
    <w:p w14:paraId="0AA53A14" w14:textId="56872CF7" w:rsidR="00043F64" w:rsidRPr="00A93ADF" w:rsidRDefault="004639A2" w:rsidP="00043F64">
      <w:r w:rsidRPr="00A93ADF">
        <w:t>We don't have a specific liaison offer for U18s, but Core 24 services for all 18+ How do we/ do we include the U18s?</w:t>
      </w:r>
    </w:p>
    <w:p w14:paraId="3B390AC6" w14:textId="711D79F8" w:rsidR="009F13FA" w:rsidRPr="00C601FD" w:rsidRDefault="00EE5DC0" w:rsidP="00C601FD">
      <w:pPr>
        <w:rPr>
          <w:b w:val="0"/>
          <w:bCs w:val="0"/>
        </w:rPr>
      </w:pPr>
      <w:r w:rsidRPr="00C601FD">
        <w:rPr>
          <w:b w:val="0"/>
          <w:bCs w:val="0"/>
        </w:rPr>
        <w:t>Even without a</w:t>
      </w:r>
      <w:r w:rsidR="00E02B90" w:rsidRPr="00C601FD">
        <w:rPr>
          <w:b w:val="0"/>
          <w:bCs w:val="0"/>
        </w:rPr>
        <w:t xml:space="preserve"> standalone on-site</w:t>
      </w:r>
      <w:r w:rsidRPr="00C601FD">
        <w:rPr>
          <w:b w:val="0"/>
          <w:bCs w:val="0"/>
        </w:rPr>
        <w:t xml:space="preserve"> liaison team, it is expected that CYP presenting to EDs having </w:t>
      </w:r>
      <w:proofErr w:type="spellStart"/>
      <w:r w:rsidRPr="00C601FD">
        <w:rPr>
          <w:b w:val="0"/>
          <w:bCs w:val="0"/>
        </w:rPr>
        <w:t>self harmed</w:t>
      </w:r>
      <w:proofErr w:type="spellEnd"/>
      <w:r w:rsidRPr="00C601FD">
        <w:rPr>
          <w:b w:val="0"/>
          <w:bCs w:val="0"/>
        </w:rPr>
        <w:t xml:space="preserve"> </w:t>
      </w:r>
      <w:r w:rsidR="00705B1B" w:rsidRPr="00C601FD">
        <w:rPr>
          <w:b w:val="0"/>
          <w:bCs w:val="0"/>
        </w:rPr>
        <w:t>sh</w:t>
      </w:r>
      <w:r w:rsidRPr="00C601FD">
        <w:rPr>
          <w:b w:val="0"/>
          <w:bCs w:val="0"/>
        </w:rPr>
        <w:t xml:space="preserve">ould receive a </w:t>
      </w:r>
      <w:r w:rsidR="00705B1B" w:rsidRPr="00C601FD">
        <w:rPr>
          <w:b w:val="0"/>
          <w:bCs w:val="0"/>
        </w:rPr>
        <w:t>bi</w:t>
      </w:r>
      <w:r w:rsidR="00E02B90" w:rsidRPr="00C601FD">
        <w:rPr>
          <w:b w:val="0"/>
          <w:bCs w:val="0"/>
        </w:rPr>
        <w:t>o</w:t>
      </w:r>
      <w:r w:rsidRPr="00C601FD">
        <w:rPr>
          <w:b w:val="0"/>
          <w:bCs w:val="0"/>
        </w:rPr>
        <w:t>psychosocial assessment</w:t>
      </w:r>
      <w:r w:rsidR="00705B1B" w:rsidRPr="00C601FD">
        <w:rPr>
          <w:b w:val="0"/>
          <w:bCs w:val="0"/>
        </w:rPr>
        <w:t xml:space="preserve"> from another team, such as a CYP community or crisis team</w:t>
      </w:r>
      <w:r w:rsidR="00E02B90" w:rsidRPr="00C601FD">
        <w:rPr>
          <w:b w:val="0"/>
          <w:bCs w:val="0"/>
        </w:rPr>
        <w:t xml:space="preserve"> who would assess CYP in ED</w:t>
      </w:r>
      <w:r w:rsidR="00705B1B" w:rsidRPr="00C601FD">
        <w:rPr>
          <w:b w:val="0"/>
          <w:bCs w:val="0"/>
        </w:rPr>
        <w:t xml:space="preserve">. In these instances, we would still expect the </w:t>
      </w:r>
      <w:r w:rsidR="007A5017" w:rsidRPr="00C601FD">
        <w:rPr>
          <w:b w:val="0"/>
          <w:bCs w:val="0"/>
        </w:rPr>
        <w:t xml:space="preserve">person to receive care in line with NICE </w:t>
      </w:r>
      <w:r w:rsidR="007A5017" w:rsidRPr="00C601FD">
        <w:rPr>
          <w:b w:val="0"/>
          <w:bCs w:val="0"/>
        </w:rPr>
        <w:t>guidelines and for it to be recor</w:t>
      </w:r>
      <w:r w:rsidR="0015032C" w:rsidRPr="00C601FD">
        <w:rPr>
          <w:b w:val="0"/>
          <w:bCs w:val="0"/>
        </w:rPr>
        <w:t>d</w:t>
      </w:r>
      <w:r w:rsidR="007A5017" w:rsidRPr="00C601FD">
        <w:rPr>
          <w:b w:val="0"/>
          <w:bCs w:val="0"/>
        </w:rPr>
        <w:t xml:space="preserve">ed on the person’s care record. </w:t>
      </w:r>
    </w:p>
    <w:p w14:paraId="47080A9B" w14:textId="3E080A2A" w:rsidR="00DC0EDE" w:rsidRPr="006F64D4" w:rsidRDefault="007A5017" w:rsidP="00043F64">
      <w:pPr>
        <w:rPr>
          <w:b w:val="0"/>
          <w:bCs w:val="0"/>
        </w:rPr>
      </w:pPr>
      <w:r w:rsidRPr="00C601FD">
        <w:rPr>
          <w:b w:val="0"/>
          <w:bCs w:val="0"/>
        </w:rPr>
        <w:t xml:space="preserve">At a </w:t>
      </w:r>
      <w:r w:rsidR="0015032C" w:rsidRPr="00C601FD">
        <w:rPr>
          <w:b w:val="0"/>
          <w:bCs w:val="0"/>
        </w:rPr>
        <w:t xml:space="preserve">national </w:t>
      </w:r>
      <w:r w:rsidRPr="00C601FD">
        <w:rPr>
          <w:b w:val="0"/>
          <w:bCs w:val="0"/>
        </w:rPr>
        <w:t>level</w:t>
      </w:r>
      <w:r w:rsidR="00E02B90" w:rsidRPr="00C601FD">
        <w:rPr>
          <w:b w:val="0"/>
          <w:bCs w:val="0"/>
        </w:rPr>
        <w:t xml:space="preserve">, CYP MH attendances/activity in A&amp;E, </w:t>
      </w:r>
      <w:proofErr w:type="gramStart"/>
      <w:r w:rsidR="00E02B90" w:rsidRPr="00C601FD">
        <w:rPr>
          <w:b w:val="0"/>
          <w:bCs w:val="0"/>
        </w:rPr>
        <w:t>crisis</w:t>
      </w:r>
      <w:proofErr w:type="gramEnd"/>
      <w:r w:rsidR="00E02B90" w:rsidRPr="00C601FD">
        <w:rPr>
          <w:b w:val="0"/>
          <w:bCs w:val="0"/>
        </w:rPr>
        <w:t xml:space="preserve"> and acute services accounts for ~5-10% of total demand. </w:t>
      </w:r>
      <w:proofErr w:type="gramStart"/>
      <w:r w:rsidR="00E02B90" w:rsidRPr="00C601FD">
        <w:rPr>
          <w:b w:val="0"/>
          <w:bCs w:val="0"/>
        </w:rPr>
        <w:t>Therefore</w:t>
      </w:r>
      <w:proofErr w:type="gramEnd"/>
      <w:r w:rsidR="00E02B90" w:rsidRPr="00C601FD">
        <w:rPr>
          <w:b w:val="0"/>
          <w:bCs w:val="0"/>
        </w:rPr>
        <w:t xml:space="preserve"> even if it is more challenging to meet </w:t>
      </w:r>
      <w:r w:rsidR="0015032C" w:rsidRPr="00C601FD">
        <w:rPr>
          <w:b w:val="0"/>
          <w:bCs w:val="0"/>
        </w:rPr>
        <w:t xml:space="preserve">the CQUIN (eg because there are fewer on site 24/7 liaison services), the tolerance levels in the CQUIN should allow for the CQUIN to be met. </w:t>
      </w:r>
    </w:p>
    <w:p w14:paraId="1AD4D42D" w14:textId="1A8BC104" w:rsidR="004639A2" w:rsidRPr="00A93ADF" w:rsidRDefault="004639A2" w:rsidP="00043F64">
      <w:r w:rsidRPr="00A93ADF">
        <w:t>Focusing more on service improvement</w:t>
      </w:r>
      <w:r w:rsidR="00DC0EDE">
        <w:t>,</w:t>
      </w:r>
      <w:r w:rsidRPr="00A93ADF">
        <w:t xml:space="preserve"> can we think about best practice for liaison risk assessments and formulation as a result of this CQUIN?</w:t>
      </w:r>
    </w:p>
    <w:p w14:paraId="73642CFC" w14:textId="46626008" w:rsidR="001A0168" w:rsidRPr="00D03511" w:rsidRDefault="00EB20F8" w:rsidP="00F943CB">
      <w:r w:rsidRPr="00F943CB">
        <w:rPr>
          <w:b w:val="0"/>
          <w:bCs w:val="0"/>
        </w:rPr>
        <w:t xml:space="preserve">Yes, </w:t>
      </w:r>
      <w:r w:rsidR="004E2114" w:rsidRPr="00F943CB">
        <w:rPr>
          <w:b w:val="0"/>
          <w:bCs w:val="0"/>
        </w:rPr>
        <w:t xml:space="preserve">any additional </w:t>
      </w:r>
      <w:r w:rsidR="00D870BF" w:rsidRPr="00F943CB">
        <w:rPr>
          <w:b w:val="0"/>
          <w:bCs w:val="0"/>
        </w:rPr>
        <w:t xml:space="preserve">service improvements alongside the CQUIN are of course </w:t>
      </w:r>
      <w:r w:rsidRPr="00F943CB">
        <w:rPr>
          <w:b w:val="0"/>
          <w:bCs w:val="0"/>
        </w:rPr>
        <w:t xml:space="preserve">encouraged at a local level. At national level, we </w:t>
      </w:r>
      <w:r w:rsidR="00D870BF" w:rsidRPr="00F943CB">
        <w:rPr>
          <w:b w:val="0"/>
          <w:bCs w:val="0"/>
        </w:rPr>
        <w:t xml:space="preserve">will </w:t>
      </w:r>
      <w:r w:rsidR="00FC57EF" w:rsidRPr="00F943CB">
        <w:rPr>
          <w:b w:val="0"/>
          <w:bCs w:val="0"/>
        </w:rPr>
        <w:t xml:space="preserve">also </w:t>
      </w:r>
      <w:r w:rsidRPr="00F943CB">
        <w:rPr>
          <w:b w:val="0"/>
          <w:bCs w:val="0"/>
        </w:rPr>
        <w:t>consider this</w:t>
      </w:r>
      <w:r w:rsidR="00D870BF" w:rsidRPr="00F943CB">
        <w:rPr>
          <w:b w:val="0"/>
          <w:bCs w:val="0"/>
        </w:rPr>
        <w:t>.</w:t>
      </w:r>
      <w:r w:rsidR="00C21B60" w:rsidRPr="00F943CB">
        <w:rPr>
          <w:b w:val="0"/>
          <w:bCs w:val="0"/>
        </w:rPr>
        <w:t xml:space="preserve">  The direction of travel is away from risk assessment tools and risk categories and towards a focus on individualised </w:t>
      </w:r>
      <w:r w:rsidR="00DD7397" w:rsidRPr="00F943CB">
        <w:rPr>
          <w:b w:val="0"/>
        </w:rPr>
        <w:t>assessments</w:t>
      </w:r>
      <w:r w:rsidR="00C21B60" w:rsidRPr="00F943CB">
        <w:rPr>
          <w:b w:val="0"/>
          <w:bCs w:val="0"/>
        </w:rPr>
        <w:t>, needs, and the management of these needs (see NICE guidelines and the NCISH risk report</w:t>
      </w:r>
      <w:r w:rsidR="00F943CB">
        <w:rPr>
          <w:rStyle w:val="FootnoteReference"/>
          <w:b w:val="0"/>
          <w:bCs w:val="0"/>
        </w:rPr>
        <w:footnoteReference w:id="1"/>
      </w:r>
      <w:r w:rsidR="00C21B60" w:rsidRPr="00F943CB">
        <w:rPr>
          <w:b w:val="0"/>
          <w:bCs w:val="0"/>
        </w:rPr>
        <w:t>)</w:t>
      </w:r>
      <w:r w:rsidR="00E60A64" w:rsidRPr="00F943CB">
        <w:rPr>
          <w:b w:val="0"/>
          <w:bCs w:val="0"/>
        </w:rPr>
        <w:t xml:space="preserve">. </w:t>
      </w:r>
    </w:p>
    <w:p w14:paraId="51C52928" w14:textId="5CF05976" w:rsidR="004639A2" w:rsidRPr="00A93ADF" w:rsidRDefault="004639A2" w:rsidP="00174062">
      <w:r w:rsidRPr="00A93ADF">
        <w:t>Is there a plan for calibration between trusts/ checking inter-rater reliability and could we have any further guidance/ model examples?</w:t>
      </w:r>
      <w:r w:rsidR="00D870BF" w:rsidRPr="00A93ADF">
        <w:t xml:space="preserve"> </w:t>
      </w:r>
    </w:p>
    <w:p w14:paraId="3A74D17F" w14:textId="1B2BB6C4" w:rsidR="005C6566" w:rsidRPr="00D03511" w:rsidRDefault="008720C8" w:rsidP="00D03511">
      <w:pPr>
        <w:rPr>
          <w:b w:val="0"/>
          <w:bCs w:val="0"/>
        </w:rPr>
      </w:pPr>
      <w:r w:rsidRPr="00D03511">
        <w:rPr>
          <w:b w:val="0"/>
          <w:bCs w:val="0"/>
        </w:rPr>
        <w:t xml:space="preserve">There is no </w:t>
      </w:r>
      <w:r w:rsidR="00290BFA" w:rsidRPr="00D03511">
        <w:rPr>
          <w:b w:val="0"/>
          <w:bCs w:val="0"/>
        </w:rPr>
        <w:t>plan for this</w:t>
      </w:r>
      <w:r w:rsidR="005C6566" w:rsidRPr="00D03511">
        <w:rPr>
          <w:b w:val="0"/>
          <w:bCs w:val="0"/>
        </w:rPr>
        <w:t xml:space="preserve"> although it was considered</w:t>
      </w:r>
      <w:r w:rsidR="00290BFA" w:rsidRPr="00D03511">
        <w:rPr>
          <w:b w:val="0"/>
          <w:bCs w:val="0"/>
        </w:rPr>
        <w:t xml:space="preserve">. </w:t>
      </w:r>
      <w:r w:rsidR="00FC57EF" w:rsidRPr="00D03511">
        <w:rPr>
          <w:b w:val="0"/>
          <w:bCs w:val="0"/>
        </w:rPr>
        <w:t xml:space="preserve">We have not opted for an approach to </w:t>
      </w:r>
      <w:r w:rsidR="00026760" w:rsidRPr="00D03511">
        <w:rPr>
          <w:b w:val="0"/>
          <w:bCs w:val="0"/>
        </w:rPr>
        <w:t>‘spot check’ or calibrate</w:t>
      </w:r>
      <w:r w:rsidR="005C6566" w:rsidRPr="00D03511">
        <w:rPr>
          <w:b w:val="0"/>
          <w:bCs w:val="0"/>
        </w:rPr>
        <w:t xml:space="preserve"> local self-assessments</w:t>
      </w:r>
      <w:r w:rsidR="00026760" w:rsidRPr="00D03511">
        <w:rPr>
          <w:b w:val="0"/>
          <w:bCs w:val="0"/>
        </w:rPr>
        <w:t xml:space="preserve">. Instead we are relying on the intrinsic wish for clinicians to </w:t>
      </w:r>
      <w:r w:rsidR="005C6566" w:rsidRPr="00D03511">
        <w:rPr>
          <w:b w:val="0"/>
          <w:bCs w:val="0"/>
        </w:rPr>
        <w:t>improve care in</w:t>
      </w:r>
      <w:r w:rsidR="00A4227F" w:rsidRPr="00D03511">
        <w:rPr>
          <w:b w:val="0"/>
          <w:bCs w:val="0"/>
        </w:rPr>
        <w:t xml:space="preserve"> their local services, and </w:t>
      </w:r>
      <w:r w:rsidR="005C6566" w:rsidRPr="00D03511">
        <w:rPr>
          <w:b w:val="0"/>
          <w:bCs w:val="0"/>
        </w:rPr>
        <w:t xml:space="preserve">to carry the work out </w:t>
      </w:r>
      <w:r w:rsidR="00A4227F" w:rsidRPr="00D03511">
        <w:rPr>
          <w:b w:val="0"/>
          <w:bCs w:val="0"/>
        </w:rPr>
        <w:t>in good faith and to the best of their judgement</w:t>
      </w:r>
      <w:r w:rsidR="005C6566" w:rsidRPr="00D03511">
        <w:rPr>
          <w:b w:val="0"/>
          <w:bCs w:val="0"/>
        </w:rPr>
        <w:t>.</w:t>
      </w:r>
    </w:p>
    <w:p w14:paraId="6A35941F" w14:textId="0DAB01BF" w:rsidR="008720C8" w:rsidRPr="008E76F9" w:rsidRDefault="005C6566" w:rsidP="008E76F9">
      <w:pPr>
        <w:rPr>
          <w:b w:val="0"/>
          <w:bCs w:val="0"/>
        </w:rPr>
      </w:pPr>
      <w:r w:rsidRPr="008E76F9">
        <w:rPr>
          <w:b w:val="0"/>
          <w:bCs w:val="0"/>
        </w:rPr>
        <w:lastRenderedPageBreak/>
        <w:t xml:space="preserve">However, as the CQUIN is implemented with the support being offered from NCISH, we can consider what more can be done to share </w:t>
      </w:r>
      <w:r w:rsidR="00C21B60" w:rsidRPr="008E76F9">
        <w:rPr>
          <w:b w:val="0"/>
          <w:bCs w:val="0"/>
        </w:rPr>
        <w:t xml:space="preserve">understanding of different models of care and share </w:t>
      </w:r>
      <w:r w:rsidRPr="008E76F9">
        <w:rPr>
          <w:b w:val="0"/>
          <w:bCs w:val="0"/>
        </w:rPr>
        <w:t xml:space="preserve">learning through the year </w:t>
      </w:r>
      <w:r w:rsidR="008720C8" w:rsidRPr="008E76F9">
        <w:rPr>
          <w:b w:val="0"/>
          <w:bCs w:val="0"/>
        </w:rPr>
        <w:t xml:space="preserve"> </w:t>
      </w:r>
    </w:p>
    <w:p w14:paraId="4A111CE5" w14:textId="110241AD" w:rsidR="004639A2" w:rsidRPr="00A93ADF" w:rsidRDefault="004639A2" w:rsidP="00043F64">
      <w:r w:rsidRPr="00A93ADF">
        <w:t>Lots of CAMHS assessments locally are phone/virtual, it would be good to have a steer on what constitutes a good phone assessment</w:t>
      </w:r>
      <w:r w:rsidR="00F73FC4">
        <w:t>?</w:t>
      </w:r>
    </w:p>
    <w:p w14:paraId="22F41AD6" w14:textId="23F32633" w:rsidR="00234AA9" w:rsidRPr="008E76F9" w:rsidRDefault="00234AA9" w:rsidP="008E76F9">
      <w:pPr>
        <w:rPr>
          <w:b w:val="0"/>
          <w:bCs w:val="0"/>
        </w:rPr>
      </w:pPr>
      <w:r w:rsidRPr="008E76F9">
        <w:rPr>
          <w:b w:val="0"/>
          <w:bCs w:val="0"/>
        </w:rPr>
        <w:t xml:space="preserve">NHSE doesn’t recommend telephone assessments </w:t>
      </w:r>
      <w:r w:rsidR="00314B5C" w:rsidRPr="008E76F9">
        <w:rPr>
          <w:b w:val="0"/>
          <w:bCs w:val="0"/>
        </w:rPr>
        <w:t xml:space="preserve">for people who present to ED having self-harmed and as such we do not have guidance on this. </w:t>
      </w:r>
      <w:r w:rsidR="00C21B60" w:rsidRPr="008E76F9">
        <w:rPr>
          <w:b w:val="0"/>
          <w:bCs w:val="0"/>
        </w:rPr>
        <w:t xml:space="preserve">In situations where remote </w:t>
      </w:r>
      <w:r w:rsidR="00DD7397" w:rsidRPr="008E76F9">
        <w:rPr>
          <w:b w:val="0"/>
        </w:rPr>
        <w:t>assessments</w:t>
      </w:r>
      <w:r w:rsidR="00C21B60" w:rsidRPr="008E76F9">
        <w:rPr>
          <w:b w:val="0"/>
          <w:bCs w:val="0"/>
        </w:rPr>
        <w:t xml:space="preserve"> are the only possible or preferred </w:t>
      </w:r>
      <w:proofErr w:type="gramStart"/>
      <w:r w:rsidR="00C21B60" w:rsidRPr="008E76F9">
        <w:rPr>
          <w:b w:val="0"/>
          <w:bCs w:val="0"/>
        </w:rPr>
        <w:t>option</w:t>
      </w:r>
      <w:proofErr w:type="gramEnd"/>
      <w:r w:rsidR="00C21B60" w:rsidRPr="008E76F9">
        <w:rPr>
          <w:b w:val="0"/>
          <w:bCs w:val="0"/>
        </w:rPr>
        <w:t xml:space="preserve"> we would expect the general principles of good quality care in the NICE guidelines to be followed.  </w:t>
      </w:r>
    </w:p>
    <w:p w14:paraId="4C23A5BF" w14:textId="77777777" w:rsidR="000E21CA" w:rsidRPr="00A93ADF" w:rsidRDefault="000E21CA" w:rsidP="000E21CA">
      <w:r w:rsidRPr="00A93ADF">
        <w:t>Locally I understand that quite a proportion of people who attend ED won’t be referred to liaison psychiatry if they are considered 'low risk'. Should all patients who present to ED with intentional self-harm be referred to MH colleagues?</w:t>
      </w:r>
    </w:p>
    <w:p w14:paraId="7DD0C604" w14:textId="2836C16F" w:rsidR="004E3F58" w:rsidRPr="00A93ADF" w:rsidRDefault="00452EC5" w:rsidP="000E21CA">
      <w:pPr>
        <w:rPr>
          <w:b w:val="0"/>
          <w:bCs w:val="0"/>
        </w:rPr>
      </w:pPr>
      <w:r w:rsidRPr="00A93ADF">
        <w:rPr>
          <w:b w:val="0"/>
          <w:bCs w:val="0"/>
        </w:rPr>
        <w:t>I</w:t>
      </w:r>
      <w:r w:rsidR="00CA5E9C" w:rsidRPr="00A93ADF">
        <w:rPr>
          <w:b w:val="0"/>
          <w:bCs w:val="0"/>
        </w:rPr>
        <w:t xml:space="preserve">t is expected that </w:t>
      </w:r>
      <w:r w:rsidR="00055AEC" w:rsidRPr="00A93ADF">
        <w:rPr>
          <w:b w:val="0"/>
          <w:bCs w:val="0"/>
        </w:rPr>
        <w:t xml:space="preserve">all patients </w:t>
      </w:r>
      <w:r w:rsidR="00CA5E9C" w:rsidRPr="00A93ADF">
        <w:rPr>
          <w:b w:val="0"/>
          <w:bCs w:val="0"/>
        </w:rPr>
        <w:t xml:space="preserve">who attend having </w:t>
      </w:r>
      <w:proofErr w:type="spellStart"/>
      <w:r w:rsidR="00CA5E9C" w:rsidRPr="00A93ADF">
        <w:rPr>
          <w:b w:val="0"/>
          <w:bCs w:val="0"/>
        </w:rPr>
        <w:t>self harmed</w:t>
      </w:r>
      <w:proofErr w:type="spellEnd"/>
      <w:r w:rsidR="00CA5E9C" w:rsidRPr="00A93ADF">
        <w:rPr>
          <w:b w:val="0"/>
          <w:bCs w:val="0"/>
        </w:rPr>
        <w:t xml:space="preserve">, </w:t>
      </w:r>
      <w:r w:rsidRPr="00A93ADF">
        <w:rPr>
          <w:b w:val="0"/>
          <w:bCs w:val="0"/>
        </w:rPr>
        <w:t xml:space="preserve">and indeed all patients with </w:t>
      </w:r>
      <w:r w:rsidR="00CA5E9C" w:rsidRPr="00A93ADF">
        <w:rPr>
          <w:b w:val="0"/>
          <w:bCs w:val="0"/>
        </w:rPr>
        <w:t>mental health need</w:t>
      </w:r>
      <w:r w:rsidRPr="00A93ADF">
        <w:rPr>
          <w:b w:val="0"/>
          <w:bCs w:val="0"/>
        </w:rPr>
        <w:t>s, should be r</w:t>
      </w:r>
      <w:r w:rsidR="00055AEC" w:rsidRPr="00A93ADF">
        <w:rPr>
          <w:b w:val="0"/>
          <w:bCs w:val="0"/>
        </w:rPr>
        <w:t>eferre</w:t>
      </w:r>
      <w:r w:rsidR="005B7D2F" w:rsidRPr="00A93ADF">
        <w:rPr>
          <w:b w:val="0"/>
          <w:bCs w:val="0"/>
        </w:rPr>
        <w:t>d to liaiso</w:t>
      </w:r>
      <w:r w:rsidR="006A06CA" w:rsidRPr="00A93ADF">
        <w:rPr>
          <w:b w:val="0"/>
          <w:bCs w:val="0"/>
        </w:rPr>
        <w:t>n psychiatry</w:t>
      </w:r>
      <w:r w:rsidRPr="00A93ADF">
        <w:rPr>
          <w:b w:val="0"/>
          <w:bCs w:val="0"/>
        </w:rPr>
        <w:t xml:space="preserve"> </w:t>
      </w:r>
      <w:r w:rsidR="004E3F58">
        <w:rPr>
          <w:b w:val="0"/>
          <w:bCs w:val="0"/>
        </w:rPr>
        <w:t xml:space="preserve">or an equivalent service </w:t>
      </w:r>
      <w:r w:rsidRPr="00A93ADF">
        <w:rPr>
          <w:b w:val="0"/>
          <w:bCs w:val="0"/>
        </w:rPr>
        <w:t>as soon as a mental health need is identified</w:t>
      </w:r>
      <w:r w:rsidR="00F90838" w:rsidRPr="00A93ADF">
        <w:rPr>
          <w:b w:val="0"/>
          <w:bCs w:val="0"/>
        </w:rPr>
        <w:t xml:space="preserve">. </w:t>
      </w:r>
      <w:r w:rsidR="004E3F58">
        <w:rPr>
          <w:b w:val="0"/>
          <w:bCs w:val="0"/>
        </w:rPr>
        <w:t xml:space="preserve">The current NICE guidance is clear – all patients who self-harm should receive a full </w:t>
      </w:r>
      <w:r w:rsidR="009C2BB6">
        <w:rPr>
          <w:b w:val="0"/>
          <w:bCs w:val="0"/>
        </w:rPr>
        <w:t>assessment</w:t>
      </w:r>
      <w:r w:rsidR="004E3F58">
        <w:rPr>
          <w:b w:val="0"/>
          <w:bCs w:val="0"/>
        </w:rPr>
        <w:t xml:space="preserve">. </w:t>
      </w:r>
      <w:proofErr w:type="gramStart"/>
      <w:r w:rsidR="004E3F58">
        <w:rPr>
          <w:b w:val="0"/>
          <w:bCs w:val="0"/>
        </w:rPr>
        <w:t>Of course</w:t>
      </w:r>
      <w:proofErr w:type="gramEnd"/>
      <w:r w:rsidR="004E3F58">
        <w:rPr>
          <w:b w:val="0"/>
          <w:bCs w:val="0"/>
        </w:rPr>
        <w:t xml:space="preserve"> there may be individual services where non-mental health specialists carry out full </w:t>
      </w:r>
      <w:proofErr w:type="spellStart"/>
      <w:r w:rsidR="004E3F58">
        <w:rPr>
          <w:b w:val="0"/>
          <w:bCs w:val="0"/>
        </w:rPr>
        <w:t>assessements</w:t>
      </w:r>
      <w:proofErr w:type="spellEnd"/>
      <w:r w:rsidR="00D15361">
        <w:rPr>
          <w:b w:val="0"/>
          <w:bCs w:val="0"/>
        </w:rPr>
        <w:t>,</w:t>
      </w:r>
      <w:r w:rsidR="004E3F58">
        <w:rPr>
          <w:b w:val="0"/>
          <w:bCs w:val="0"/>
        </w:rPr>
        <w:t xml:space="preserve"> but we are not aware of </w:t>
      </w:r>
      <w:r w:rsidR="009C2BB6">
        <w:rPr>
          <w:b w:val="0"/>
          <w:bCs w:val="0"/>
        </w:rPr>
        <w:t>an</w:t>
      </w:r>
      <w:r w:rsidR="004E3F58">
        <w:rPr>
          <w:b w:val="0"/>
          <w:bCs w:val="0"/>
        </w:rPr>
        <w:t xml:space="preserve">y areas currently operating this service model.  </w:t>
      </w:r>
    </w:p>
    <w:p w14:paraId="69127EAF" w14:textId="49720AA8" w:rsidR="00260D7E" w:rsidRPr="00A93ADF" w:rsidRDefault="00F90838" w:rsidP="000E21CA">
      <w:pPr>
        <w:rPr>
          <w:b w:val="0"/>
          <w:bCs w:val="0"/>
        </w:rPr>
      </w:pPr>
      <w:r w:rsidRPr="00A93ADF">
        <w:rPr>
          <w:b w:val="0"/>
          <w:bCs w:val="0"/>
        </w:rPr>
        <w:t>We would have some concern if ED staff are determining care based on their assessment of risk</w:t>
      </w:r>
      <w:r w:rsidR="006A06CA" w:rsidRPr="00A93ADF">
        <w:rPr>
          <w:b w:val="0"/>
          <w:bCs w:val="0"/>
        </w:rPr>
        <w:t xml:space="preserve">, as this expressly goes against </w:t>
      </w:r>
      <w:r w:rsidR="00F653B1" w:rsidRPr="00A93ADF">
        <w:rPr>
          <w:b w:val="0"/>
          <w:bCs w:val="0"/>
        </w:rPr>
        <w:t xml:space="preserve">the </w:t>
      </w:r>
      <w:r w:rsidR="006A06CA" w:rsidRPr="00A93ADF">
        <w:rPr>
          <w:b w:val="0"/>
          <w:bCs w:val="0"/>
        </w:rPr>
        <w:t>evidenc</w:t>
      </w:r>
      <w:r w:rsidR="00F653B1" w:rsidRPr="00A93ADF">
        <w:rPr>
          <w:b w:val="0"/>
          <w:bCs w:val="0"/>
        </w:rPr>
        <w:t xml:space="preserve">e base of safe </w:t>
      </w:r>
      <w:r w:rsidR="00CD5FE9" w:rsidRPr="00A93ADF">
        <w:rPr>
          <w:b w:val="0"/>
          <w:bCs w:val="0"/>
        </w:rPr>
        <w:t xml:space="preserve">ED </w:t>
      </w:r>
      <w:r w:rsidR="00F653B1" w:rsidRPr="00A93ADF">
        <w:rPr>
          <w:b w:val="0"/>
          <w:bCs w:val="0"/>
        </w:rPr>
        <w:t>care</w:t>
      </w:r>
      <w:r w:rsidR="006A06CA" w:rsidRPr="00A93ADF">
        <w:rPr>
          <w:b w:val="0"/>
          <w:bCs w:val="0"/>
        </w:rPr>
        <w:t xml:space="preserve">. The new draft NICE self-harm guidelines state that people should not be </w:t>
      </w:r>
      <w:r w:rsidR="008A1372" w:rsidRPr="00A93ADF">
        <w:rPr>
          <w:b w:val="0"/>
          <w:bCs w:val="0"/>
        </w:rPr>
        <w:t xml:space="preserve">categorised </w:t>
      </w:r>
      <w:r w:rsidR="006A06CA" w:rsidRPr="00A93ADF">
        <w:rPr>
          <w:b w:val="0"/>
          <w:bCs w:val="0"/>
        </w:rPr>
        <w:t>by risk</w:t>
      </w:r>
      <w:r w:rsidR="008A1372" w:rsidRPr="00A93ADF">
        <w:rPr>
          <w:b w:val="0"/>
          <w:bCs w:val="0"/>
        </w:rPr>
        <w:t xml:space="preserve"> of suicide or harm</w:t>
      </w:r>
      <w:r w:rsidR="00AC4AC8" w:rsidRPr="00A93ADF">
        <w:rPr>
          <w:b w:val="0"/>
          <w:bCs w:val="0"/>
        </w:rPr>
        <w:t xml:space="preserve"> </w:t>
      </w:r>
      <w:r w:rsidR="00CD5FE9" w:rsidRPr="00A93ADF">
        <w:rPr>
          <w:b w:val="0"/>
          <w:bCs w:val="0"/>
        </w:rPr>
        <w:t>(let alone by ED clinicians)</w:t>
      </w:r>
      <w:r w:rsidR="006A06CA" w:rsidRPr="00A93ADF">
        <w:rPr>
          <w:b w:val="0"/>
          <w:bCs w:val="0"/>
        </w:rPr>
        <w:t xml:space="preserve"> and</w:t>
      </w:r>
      <w:r w:rsidR="008A1372" w:rsidRPr="00A93ADF">
        <w:rPr>
          <w:b w:val="0"/>
          <w:bCs w:val="0"/>
        </w:rPr>
        <w:t xml:space="preserve"> that</w:t>
      </w:r>
      <w:r w:rsidR="006A06CA" w:rsidRPr="00A93ADF">
        <w:rPr>
          <w:b w:val="0"/>
          <w:bCs w:val="0"/>
        </w:rPr>
        <w:t xml:space="preserve"> care should not be determined based on that stratification.</w:t>
      </w:r>
      <w:r w:rsidRPr="00A93ADF">
        <w:rPr>
          <w:b w:val="0"/>
          <w:bCs w:val="0"/>
        </w:rPr>
        <w:t xml:space="preserve"> </w:t>
      </w:r>
      <w:r w:rsidR="005B7D2F" w:rsidRPr="00A93ADF">
        <w:rPr>
          <w:b w:val="0"/>
          <w:bCs w:val="0"/>
        </w:rPr>
        <w:t xml:space="preserve"> </w:t>
      </w:r>
    </w:p>
    <w:p w14:paraId="12194D8A" w14:textId="4E88AAA9" w:rsidR="00055AEC" w:rsidRDefault="00AC4AC8" w:rsidP="000E21CA">
      <w:pPr>
        <w:rPr>
          <w:b w:val="0"/>
          <w:bCs w:val="0"/>
        </w:rPr>
      </w:pPr>
      <w:r w:rsidRPr="00A93ADF">
        <w:rPr>
          <w:b w:val="0"/>
          <w:bCs w:val="0"/>
        </w:rPr>
        <w:t xml:space="preserve">While </w:t>
      </w:r>
      <w:r w:rsidR="00670B1B" w:rsidRPr="00A93ADF">
        <w:rPr>
          <w:b w:val="0"/>
          <w:bCs w:val="0"/>
        </w:rPr>
        <w:t xml:space="preserve">risk </w:t>
      </w:r>
      <w:r w:rsidR="00DE28F7" w:rsidRPr="00A93ADF">
        <w:rPr>
          <w:b w:val="0"/>
          <w:bCs w:val="0"/>
        </w:rPr>
        <w:t xml:space="preserve">assessments are a key part of </w:t>
      </w:r>
      <w:r w:rsidR="00670B1B" w:rsidRPr="00A93ADF">
        <w:rPr>
          <w:b w:val="0"/>
          <w:bCs w:val="0"/>
        </w:rPr>
        <w:t>clinical practice</w:t>
      </w:r>
      <w:r w:rsidRPr="00A93ADF">
        <w:rPr>
          <w:b w:val="0"/>
          <w:bCs w:val="0"/>
        </w:rPr>
        <w:t xml:space="preserve">, </w:t>
      </w:r>
      <w:r w:rsidR="00DE28F7" w:rsidRPr="00A93ADF">
        <w:rPr>
          <w:b w:val="0"/>
          <w:bCs w:val="0"/>
        </w:rPr>
        <w:t xml:space="preserve">the </w:t>
      </w:r>
      <w:r w:rsidRPr="00A93ADF">
        <w:rPr>
          <w:b w:val="0"/>
          <w:bCs w:val="0"/>
        </w:rPr>
        <w:t xml:space="preserve">evidence suggests that </w:t>
      </w:r>
      <w:r w:rsidR="004E3F58">
        <w:rPr>
          <w:b w:val="0"/>
          <w:bCs w:val="0"/>
        </w:rPr>
        <w:t xml:space="preserve">it is not possible </w:t>
      </w:r>
      <w:r w:rsidR="004F47E3" w:rsidRPr="00A93ADF">
        <w:rPr>
          <w:b w:val="0"/>
          <w:bCs w:val="0"/>
        </w:rPr>
        <w:t>to reliably categorise people into high / medium / low risk</w:t>
      </w:r>
      <w:r w:rsidR="004E3F58">
        <w:rPr>
          <w:b w:val="0"/>
          <w:bCs w:val="0"/>
        </w:rPr>
        <w:t xml:space="preserve">, and </w:t>
      </w:r>
      <w:r w:rsidR="009C2BB6">
        <w:rPr>
          <w:b w:val="0"/>
          <w:bCs w:val="0"/>
        </w:rPr>
        <w:t xml:space="preserve">this </w:t>
      </w:r>
      <w:r w:rsidR="004E3F58">
        <w:rPr>
          <w:b w:val="0"/>
          <w:bCs w:val="0"/>
        </w:rPr>
        <w:t>may be actively unhelpful</w:t>
      </w:r>
      <w:r w:rsidR="004F47E3" w:rsidRPr="00A93ADF">
        <w:rPr>
          <w:b w:val="0"/>
          <w:bCs w:val="0"/>
        </w:rPr>
        <w:t>. Instead</w:t>
      </w:r>
      <w:r w:rsidR="003A411C">
        <w:rPr>
          <w:b w:val="0"/>
          <w:bCs w:val="0"/>
        </w:rPr>
        <w:t xml:space="preserve"> all</w:t>
      </w:r>
      <w:r w:rsidR="00260D7E" w:rsidRPr="00A93ADF">
        <w:rPr>
          <w:b w:val="0"/>
          <w:bCs w:val="0"/>
        </w:rPr>
        <w:t xml:space="preserve"> people </w:t>
      </w:r>
      <w:r w:rsidR="003A411C">
        <w:rPr>
          <w:b w:val="0"/>
          <w:bCs w:val="0"/>
        </w:rPr>
        <w:t xml:space="preserve">presenting to hospital with self-harm, irrespective of risk, </w:t>
      </w:r>
      <w:r w:rsidR="00260D7E" w:rsidRPr="00A93ADF">
        <w:rPr>
          <w:b w:val="0"/>
          <w:bCs w:val="0"/>
        </w:rPr>
        <w:t>should have personalised assessment</w:t>
      </w:r>
      <w:r w:rsidR="004F47E3" w:rsidRPr="00A93ADF">
        <w:rPr>
          <w:b w:val="0"/>
          <w:bCs w:val="0"/>
        </w:rPr>
        <w:t>s</w:t>
      </w:r>
      <w:r w:rsidR="00260D7E" w:rsidRPr="00A93ADF">
        <w:rPr>
          <w:b w:val="0"/>
          <w:bCs w:val="0"/>
        </w:rPr>
        <w:t xml:space="preserve"> and care plan</w:t>
      </w:r>
      <w:r w:rsidR="004F47E3" w:rsidRPr="00A93ADF">
        <w:rPr>
          <w:b w:val="0"/>
          <w:bCs w:val="0"/>
        </w:rPr>
        <w:t>s</w:t>
      </w:r>
      <w:r w:rsidR="00260D7E" w:rsidRPr="00A93ADF">
        <w:rPr>
          <w:b w:val="0"/>
          <w:bCs w:val="0"/>
        </w:rPr>
        <w:t xml:space="preserve"> </w:t>
      </w:r>
      <w:r w:rsidR="004F47E3" w:rsidRPr="00A93ADF">
        <w:rPr>
          <w:b w:val="0"/>
          <w:bCs w:val="0"/>
        </w:rPr>
        <w:t xml:space="preserve">based on their unique </w:t>
      </w:r>
      <w:r w:rsidR="00673E43" w:rsidRPr="00A93ADF">
        <w:rPr>
          <w:b w:val="0"/>
          <w:bCs w:val="0"/>
        </w:rPr>
        <w:t>circumstances</w:t>
      </w:r>
      <w:r w:rsidR="00670B1B" w:rsidRPr="00A93ADF">
        <w:rPr>
          <w:b w:val="0"/>
          <w:bCs w:val="0"/>
        </w:rPr>
        <w:t>, and current presenting needs,</w:t>
      </w:r>
      <w:r w:rsidR="00673E43" w:rsidRPr="00A93ADF">
        <w:rPr>
          <w:b w:val="0"/>
          <w:bCs w:val="0"/>
        </w:rPr>
        <w:t xml:space="preserve"> </w:t>
      </w:r>
      <w:r w:rsidR="00260D7E" w:rsidRPr="00A93ADF">
        <w:rPr>
          <w:b w:val="0"/>
          <w:bCs w:val="0"/>
        </w:rPr>
        <w:t>from trained mental health professionals</w:t>
      </w:r>
      <w:r w:rsidR="00563B11" w:rsidRPr="00A93ADF">
        <w:rPr>
          <w:b w:val="0"/>
          <w:bCs w:val="0"/>
        </w:rPr>
        <w:t>.</w:t>
      </w:r>
      <w:r w:rsidR="00055AEC" w:rsidRPr="00A93ADF">
        <w:rPr>
          <w:b w:val="0"/>
          <w:bCs w:val="0"/>
        </w:rPr>
        <w:t xml:space="preserve"> </w:t>
      </w:r>
    </w:p>
    <w:p w14:paraId="0C00873B" w14:textId="726150D9" w:rsidR="003A411C" w:rsidRDefault="004E3F58" w:rsidP="000E21CA">
      <w:pPr>
        <w:rPr>
          <w:b w:val="0"/>
          <w:bCs w:val="0"/>
        </w:rPr>
      </w:pPr>
      <w:r>
        <w:rPr>
          <w:b w:val="0"/>
          <w:bCs w:val="0"/>
        </w:rPr>
        <w:t>Whilst referral from ED to mental health is of course a very important area of clinical practice, it is not a core focus of the current CQUIN</w:t>
      </w:r>
      <w:r w:rsidR="009C2BB6">
        <w:rPr>
          <w:b w:val="0"/>
          <w:bCs w:val="0"/>
        </w:rPr>
        <w:t xml:space="preserve">, </w:t>
      </w:r>
      <w:r>
        <w:rPr>
          <w:b w:val="0"/>
          <w:bCs w:val="0"/>
        </w:rPr>
        <w:t>which is intended to identify how many people referred into liaison psychiatry services after self-harm get a full assessment (see specification)</w:t>
      </w:r>
    </w:p>
    <w:p w14:paraId="2DDBBA16" w14:textId="77777777" w:rsidR="003A411C" w:rsidRPr="00A93ADF" w:rsidRDefault="003A411C" w:rsidP="000E21CA">
      <w:pPr>
        <w:rPr>
          <w:b w:val="0"/>
          <w:bCs w:val="0"/>
        </w:rPr>
      </w:pPr>
    </w:p>
    <w:p w14:paraId="24686260" w14:textId="17BC1D8B" w:rsidR="003A411C" w:rsidRDefault="000E21CA" w:rsidP="000E21CA">
      <w:r w:rsidRPr="00A93ADF">
        <w:t>The 2013 study of psychosocial assessments in different trusts is rather old, has it been repeated so we have an up to date snapshot?</w:t>
      </w:r>
      <w:r w:rsidR="00670B1B">
        <w:t xml:space="preserve"> </w:t>
      </w:r>
    </w:p>
    <w:p w14:paraId="3FDA2378" w14:textId="315F944B" w:rsidR="003A411C" w:rsidRDefault="003A411C" w:rsidP="000E21CA">
      <w:pPr>
        <w:rPr>
          <w:b w:val="0"/>
        </w:rPr>
      </w:pPr>
      <w:r w:rsidRPr="003A411C">
        <w:rPr>
          <w:b w:val="0"/>
        </w:rPr>
        <w:t xml:space="preserve">The NCISH </w:t>
      </w:r>
      <w:r>
        <w:rPr>
          <w:b w:val="0"/>
        </w:rPr>
        <w:t xml:space="preserve">study team are </w:t>
      </w:r>
      <w:r w:rsidR="004E3F58">
        <w:rPr>
          <w:b w:val="0"/>
        </w:rPr>
        <w:t xml:space="preserve">hoping </w:t>
      </w:r>
      <w:r>
        <w:rPr>
          <w:b w:val="0"/>
        </w:rPr>
        <w:t xml:space="preserve">to repeat this </w:t>
      </w:r>
      <w:r w:rsidR="004E3F58">
        <w:rPr>
          <w:b w:val="0"/>
        </w:rPr>
        <w:t xml:space="preserve">national study at some point.  </w:t>
      </w:r>
      <w:r>
        <w:rPr>
          <w:b w:val="0"/>
        </w:rPr>
        <w:t xml:space="preserve"> However, </w:t>
      </w:r>
      <w:proofErr w:type="gramStart"/>
      <w:r>
        <w:rPr>
          <w:b w:val="0"/>
        </w:rPr>
        <w:t>several  more</w:t>
      </w:r>
      <w:proofErr w:type="gramEnd"/>
      <w:r>
        <w:rPr>
          <w:b w:val="0"/>
        </w:rPr>
        <w:t xml:space="preserve"> recent studies using data from </w:t>
      </w:r>
      <w:r w:rsidR="004E3F58">
        <w:rPr>
          <w:b w:val="0"/>
        </w:rPr>
        <w:t xml:space="preserve">selected </w:t>
      </w:r>
      <w:r w:rsidR="00C54142">
        <w:rPr>
          <w:b w:val="0"/>
        </w:rPr>
        <w:t>hospitals</w:t>
      </w:r>
      <w:r>
        <w:rPr>
          <w:b w:val="0"/>
        </w:rPr>
        <w:t xml:space="preserve"> in England have found similar</w:t>
      </w:r>
      <w:r w:rsidR="004E3F58">
        <w:rPr>
          <w:b w:val="0"/>
        </w:rPr>
        <w:t>ly</w:t>
      </w:r>
      <w:r>
        <w:rPr>
          <w:b w:val="0"/>
        </w:rPr>
        <w:t xml:space="preserve"> </w:t>
      </w:r>
      <w:r w:rsidR="00C54142">
        <w:rPr>
          <w:b w:val="0"/>
        </w:rPr>
        <w:t xml:space="preserve">variable </w:t>
      </w:r>
      <w:r>
        <w:rPr>
          <w:b w:val="0"/>
        </w:rPr>
        <w:t xml:space="preserve">rates of psychosocial assessment. </w:t>
      </w:r>
    </w:p>
    <w:p w14:paraId="0F8C5ACC" w14:textId="676CDD8B" w:rsidR="00C54142" w:rsidRDefault="00C54142" w:rsidP="00B82627">
      <w:pPr>
        <w:spacing w:after="0" w:line="240" w:lineRule="auto"/>
        <w:rPr>
          <w:rFonts w:ascii="Times New Roman" w:eastAsia="Times New Roman" w:hAnsi="Times New Roman" w:cs="Times New Roman"/>
          <w:b w:val="0"/>
          <w:bCs w:val="0"/>
        </w:rPr>
      </w:pPr>
      <w:r w:rsidRPr="00C54142">
        <w:rPr>
          <w:rFonts w:eastAsia="Times New Roman"/>
          <w:b w:val="0"/>
          <w:bCs w:val="0"/>
          <w:color w:val="222222"/>
          <w:sz w:val="20"/>
          <w:szCs w:val="20"/>
          <w:shd w:val="clear" w:color="auto" w:fill="FFFFFF"/>
        </w:rPr>
        <w:t>Farooq, B., Clements, C., Hawton, K., Geulayov, G., Casey, D., Waters, K., ... &amp; Kapur, N. (2021). Self-harm in children and adolescents by ethnic group: an observational cohort study from the Multicentre Study of Self-Harm in England. </w:t>
      </w:r>
      <w:r w:rsidRPr="00C54142">
        <w:rPr>
          <w:rFonts w:eastAsia="Times New Roman"/>
          <w:b w:val="0"/>
          <w:bCs w:val="0"/>
          <w:i/>
          <w:iCs/>
          <w:color w:val="222222"/>
          <w:sz w:val="20"/>
          <w:szCs w:val="20"/>
          <w:shd w:val="clear" w:color="auto" w:fill="FFFFFF"/>
        </w:rPr>
        <w:t>The Lancet Child &amp; Adolescent Health</w:t>
      </w:r>
      <w:r w:rsidRPr="00C54142">
        <w:rPr>
          <w:rFonts w:eastAsia="Times New Roman"/>
          <w:b w:val="0"/>
          <w:bCs w:val="0"/>
          <w:color w:val="222222"/>
          <w:sz w:val="20"/>
          <w:szCs w:val="20"/>
          <w:shd w:val="clear" w:color="auto" w:fill="FFFFFF"/>
        </w:rPr>
        <w:t>, </w:t>
      </w:r>
      <w:r w:rsidRPr="00C54142">
        <w:rPr>
          <w:rFonts w:eastAsia="Times New Roman"/>
          <w:b w:val="0"/>
          <w:bCs w:val="0"/>
          <w:i/>
          <w:iCs/>
          <w:color w:val="222222"/>
          <w:sz w:val="20"/>
          <w:szCs w:val="20"/>
          <w:shd w:val="clear" w:color="auto" w:fill="FFFFFF"/>
        </w:rPr>
        <w:t>5</w:t>
      </w:r>
      <w:r w:rsidRPr="00C54142">
        <w:rPr>
          <w:rFonts w:eastAsia="Times New Roman"/>
          <w:b w:val="0"/>
          <w:bCs w:val="0"/>
          <w:color w:val="222222"/>
          <w:sz w:val="20"/>
          <w:szCs w:val="20"/>
          <w:shd w:val="clear" w:color="auto" w:fill="FFFFFF"/>
        </w:rPr>
        <w:t>(11), 782-791.</w:t>
      </w:r>
    </w:p>
    <w:p w14:paraId="567BFF47" w14:textId="77777777" w:rsidR="00B82627" w:rsidRPr="00B82627" w:rsidRDefault="00B82627" w:rsidP="00B82627">
      <w:pPr>
        <w:spacing w:after="0" w:line="240" w:lineRule="auto"/>
        <w:rPr>
          <w:rFonts w:ascii="Times New Roman" w:eastAsia="Times New Roman" w:hAnsi="Times New Roman" w:cs="Times New Roman"/>
          <w:b w:val="0"/>
          <w:bCs w:val="0"/>
        </w:rPr>
      </w:pPr>
    </w:p>
    <w:p w14:paraId="20B78687" w14:textId="5B61A09E" w:rsidR="00C54142" w:rsidRDefault="00C54142" w:rsidP="00AF6480">
      <w:pPr>
        <w:spacing w:after="0" w:line="240" w:lineRule="auto"/>
        <w:rPr>
          <w:rFonts w:ascii="Times New Roman" w:eastAsia="Times New Roman" w:hAnsi="Times New Roman" w:cs="Times New Roman"/>
          <w:b w:val="0"/>
          <w:bCs w:val="0"/>
        </w:rPr>
      </w:pPr>
      <w:proofErr w:type="spellStart"/>
      <w:r w:rsidRPr="00C54142">
        <w:rPr>
          <w:rFonts w:eastAsia="Times New Roman"/>
          <w:b w:val="0"/>
          <w:bCs w:val="0"/>
          <w:color w:val="222222"/>
          <w:sz w:val="20"/>
          <w:szCs w:val="20"/>
          <w:shd w:val="clear" w:color="auto" w:fill="FFFFFF"/>
        </w:rPr>
        <w:t>Opmeer</w:t>
      </w:r>
      <w:proofErr w:type="spellEnd"/>
      <w:r w:rsidRPr="00C54142">
        <w:rPr>
          <w:rFonts w:eastAsia="Times New Roman"/>
          <w:b w:val="0"/>
          <w:bCs w:val="0"/>
          <w:color w:val="222222"/>
          <w:sz w:val="20"/>
          <w:szCs w:val="20"/>
          <w:shd w:val="clear" w:color="auto" w:fill="FFFFFF"/>
        </w:rPr>
        <w:t xml:space="preserve">, B. C., Hollingworth, W., Marques, E. M., </w:t>
      </w:r>
      <w:proofErr w:type="spellStart"/>
      <w:r w:rsidRPr="00C54142">
        <w:rPr>
          <w:rFonts w:eastAsia="Times New Roman"/>
          <w:b w:val="0"/>
          <w:bCs w:val="0"/>
          <w:color w:val="222222"/>
          <w:sz w:val="20"/>
          <w:szCs w:val="20"/>
          <w:shd w:val="clear" w:color="auto" w:fill="FFFFFF"/>
        </w:rPr>
        <w:t>Margelyte</w:t>
      </w:r>
      <w:proofErr w:type="spellEnd"/>
      <w:r w:rsidRPr="00C54142">
        <w:rPr>
          <w:rFonts w:eastAsia="Times New Roman"/>
          <w:b w:val="0"/>
          <w:bCs w:val="0"/>
          <w:color w:val="222222"/>
          <w:sz w:val="20"/>
          <w:szCs w:val="20"/>
          <w:shd w:val="clear" w:color="auto" w:fill="FFFFFF"/>
        </w:rPr>
        <w:t>, R., &amp; Gunnell, D. (2017). Extending the liaison psychiatry service in a large hospital in the UK: a before and after evaluation of the economic impact and patient care following ED attendances for self-harm. </w:t>
      </w:r>
      <w:r w:rsidRPr="00C54142">
        <w:rPr>
          <w:rFonts w:eastAsia="Times New Roman"/>
          <w:b w:val="0"/>
          <w:bCs w:val="0"/>
          <w:i/>
          <w:iCs/>
          <w:color w:val="222222"/>
          <w:sz w:val="20"/>
          <w:szCs w:val="20"/>
          <w:shd w:val="clear" w:color="auto" w:fill="FFFFFF"/>
        </w:rPr>
        <w:t>BMJ open</w:t>
      </w:r>
      <w:r w:rsidRPr="00C54142">
        <w:rPr>
          <w:rFonts w:eastAsia="Times New Roman"/>
          <w:b w:val="0"/>
          <w:bCs w:val="0"/>
          <w:color w:val="222222"/>
          <w:sz w:val="20"/>
          <w:szCs w:val="20"/>
          <w:shd w:val="clear" w:color="auto" w:fill="FFFFFF"/>
        </w:rPr>
        <w:t>, </w:t>
      </w:r>
      <w:r w:rsidRPr="00C54142">
        <w:rPr>
          <w:rFonts w:eastAsia="Times New Roman"/>
          <w:b w:val="0"/>
          <w:bCs w:val="0"/>
          <w:i/>
          <w:iCs/>
          <w:color w:val="222222"/>
          <w:sz w:val="20"/>
          <w:szCs w:val="20"/>
          <w:shd w:val="clear" w:color="auto" w:fill="FFFFFF"/>
        </w:rPr>
        <w:t>7</w:t>
      </w:r>
      <w:r w:rsidRPr="00C54142">
        <w:rPr>
          <w:rFonts w:eastAsia="Times New Roman"/>
          <w:b w:val="0"/>
          <w:bCs w:val="0"/>
          <w:color w:val="222222"/>
          <w:sz w:val="20"/>
          <w:szCs w:val="20"/>
          <w:shd w:val="clear" w:color="auto" w:fill="FFFFFF"/>
        </w:rPr>
        <w:t>(8), e016906.</w:t>
      </w:r>
    </w:p>
    <w:p w14:paraId="4B5BBB18" w14:textId="77777777" w:rsidR="00AF6480" w:rsidRPr="00AF6480" w:rsidRDefault="00AF6480" w:rsidP="00AF6480">
      <w:pPr>
        <w:spacing w:after="0" w:line="240" w:lineRule="auto"/>
        <w:rPr>
          <w:rFonts w:ascii="Times New Roman" w:eastAsia="Times New Roman" w:hAnsi="Times New Roman" w:cs="Times New Roman"/>
          <w:b w:val="0"/>
          <w:bCs w:val="0"/>
        </w:rPr>
      </w:pPr>
    </w:p>
    <w:p w14:paraId="32F0ED29" w14:textId="77777777" w:rsidR="00C54142" w:rsidRPr="00C54142" w:rsidRDefault="00C54142" w:rsidP="00C54142">
      <w:pPr>
        <w:spacing w:after="0" w:line="240" w:lineRule="auto"/>
        <w:rPr>
          <w:rFonts w:ascii="Times New Roman" w:eastAsia="Times New Roman" w:hAnsi="Times New Roman" w:cs="Times New Roman"/>
          <w:b w:val="0"/>
          <w:bCs w:val="0"/>
        </w:rPr>
      </w:pPr>
      <w:r w:rsidRPr="00C54142">
        <w:rPr>
          <w:rFonts w:eastAsia="Times New Roman"/>
          <w:b w:val="0"/>
          <w:bCs w:val="0"/>
          <w:color w:val="222222"/>
          <w:sz w:val="20"/>
          <w:szCs w:val="20"/>
          <w:shd w:val="clear" w:color="auto" w:fill="FFFFFF"/>
        </w:rPr>
        <w:t>Geulayov, G., Kapur, N., Turnbull, P., Clements, C., Waters, K., Ness, J., ... &amp; Hawton, K. (2016). Epidemiology and trends in non-fatal self-harm in three centres in England, 2000–2012: findings from the Multicentre Study of Self-harm in England. </w:t>
      </w:r>
      <w:r w:rsidRPr="00C54142">
        <w:rPr>
          <w:rFonts w:eastAsia="Times New Roman"/>
          <w:b w:val="0"/>
          <w:bCs w:val="0"/>
          <w:i/>
          <w:iCs/>
          <w:color w:val="222222"/>
          <w:sz w:val="20"/>
          <w:szCs w:val="20"/>
          <w:shd w:val="clear" w:color="auto" w:fill="FFFFFF"/>
        </w:rPr>
        <w:t>BMJ open</w:t>
      </w:r>
      <w:r w:rsidRPr="00C54142">
        <w:rPr>
          <w:rFonts w:eastAsia="Times New Roman"/>
          <w:b w:val="0"/>
          <w:bCs w:val="0"/>
          <w:color w:val="222222"/>
          <w:sz w:val="20"/>
          <w:szCs w:val="20"/>
          <w:shd w:val="clear" w:color="auto" w:fill="FFFFFF"/>
        </w:rPr>
        <w:t>, </w:t>
      </w:r>
      <w:r w:rsidRPr="00C54142">
        <w:rPr>
          <w:rFonts w:eastAsia="Times New Roman"/>
          <w:b w:val="0"/>
          <w:bCs w:val="0"/>
          <w:i/>
          <w:iCs/>
          <w:color w:val="222222"/>
          <w:sz w:val="20"/>
          <w:szCs w:val="20"/>
          <w:shd w:val="clear" w:color="auto" w:fill="FFFFFF"/>
        </w:rPr>
        <w:t>6</w:t>
      </w:r>
      <w:r w:rsidRPr="00C54142">
        <w:rPr>
          <w:rFonts w:eastAsia="Times New Roman"/>
          <w:b w:val="0"/>
          <w:bCs w:val="0"/>
          <w:color w:val="222222"/>
          <w:sz w:val="20"/>
          <w:szCs w:val="20"/>
          <w:shd w:val="clear" w:color="auto" w:fill="FFFFFF"/>
        </w:rPr>
        <w:t>(4), e010538.</w:t>
      </w:r>
    </w:p>
    <w:p w14:paraId="070E7ADC" w14:textId="77777777" w:rsidR="00C54142" w:rsidRDefault="00C54142" w:rsidP="00C54142">
      <w:pPr>
        <w:spacing w:after="0" w:line="240" w:lineRule="auto"/>
        <w:rPr>
          <w:rFonts w:eastAsia="Times New Roman"/>
          <w:b w:val="0"/>
          <w:bCs w:val="0"/>
          <w:color w:val="222222"/>
          <w:sz w:val="20"/>
          <w:szCs w:val="20"/>
        </w:rPr>
      </w:pPr>
    </w:p>
    <w:p w14:paraId="57C3920F" w14:textId="379C6D00" w:rsidR="00C54142" w:rsidRDefault="00C54142" w:rsidP="00C54142">
      <w:pPr>
        <w:spacing w:after="0" w:line="240" w:lineRule="auto"/>
        <w:rPr>
          <w:rFonts w:eastAsia="Times New Roman"/>
          <w:b w:val="0"/>
          <w:bCs w:val="0"/>
          <w:color w:val="222222"/>
          <w:sz w:val="20"/>
          <w:szCs w:val="20"/>
        </w:rPr>
      </w:pPr>
      <w:r w:rsidRPr="00C54142">
        <w:rPr>
          <w:rFonts w:eastAsia="Times New Roman"/>
          <w:b w:val="0"/>
          <w:bCs w:val="0"/>
          <w:color w:val="222222"/>
          <w:sz w:val="20"/>
          <w:szCs w:val="20"/>
        </w:rPr>
        <w:t>Carroll, R., Metcalfe, C., Steeg, S., Davies, N. M., Cooper, J., Kapur, N., &amp; Gunnell, D. (2016). Psychosocial assessment of self-harm patients and risk of repeat presentation: an instrumental variable analysis using time of hospital presentation. </w:t>
      </w:r>
      <w:proofErr w:type="spellStart"/>
      <w:r w:rsidRPr="00C54142">
        <w:rPr>
          <w:rFonts w:eastAsia="Times New Roman"/>
          <w:b w:val="0"/>
          <w:bCs w:val="0"/>
          <w:i/>
          <w:iCs/>
          <w:color w:val="222222"/>
          <w:sz w:val="20"/>
          <w:szCs w:val="20"/>
        </w:rPr>
        <w:t>PLoS</w:t>
      </w:r>
      <w:proofErr w:type="spellEnd"/>
      <w:r w:rsidRPr="00C54142">
        <w:rPr>
          <w:rFonts w:eastAsia="Times New Roman"/>
          <w:b w:val="0"/>
          <w:bCs w:val="0"/>
          <w:i/>
          <w:iCs/>
          <w:color w:val="222222"/>
          <w:sz w:val="20"/>
          <w:szCs w:val="20"/>
        </w:rPr>
        <w:t xml:space="preserve"> One</w:t>
      </w:r>
      <w:r w:rsidRPr="00C54142">
        <w:rPr>
          <w:rFonts w:eastAsia="Times New Roman"/>
          <w:b w:val="0"/>
          <w:bCs w:val="0"/>
          <w:color w:val="222222"/>
          <w:sz w:val="20"/>
          <w:szCs w:val="20"/>
        </w:rPr>
        <w:t>, </w:t>
      </w:r>
      <w:r w:rsidRPr="00C54142">
        <w:rPr>
          <w:rFonts w:eastAsia="Times New Roman"/>
          <w:b w:val="0"/>
          <w:bCs w:val="0"/>
          <w:i/>
          <w:iCs/>
          <w:color w:val="222222"/>
          <w:sz w:val="20"/>
          <w:szCs w:val="20"/>
        </w:rPr>
        <w:t>11</w:t>
      </w:r>
      <w:r w:rsidRPr="00C54142">
        <w:rPr>
          <w:rFonts w:eastAsia="Times New Roman"/>
          <w:b w:val="0"/>
          <w:bCs w:val="0"/>
          <w:color w:val="222222"/>
          <w:sz w:val="20"/>
          <w:szCs w:val="20"/>
        </w:rPr>
        <w:t>(2), e0149713.</w:t>
      </w:r>
    </w:p>
    <w:p w14:paraId="7E912DEC" w14:textId="77777777" w:rsidR="00C54142" w:rsidRPr="00C54142" w:rsidRDefault="00C54142" w:rsidP="00C54142">
      <w:pPr>
        <w:spacing w:after="0" w:line="240" w:lineRule="auto"/>
        <w:rPr>
          <w:rFonts w:ascii="Times New Roman" w:eastAsia="Times New Roman" w:hAnsi="Times New Roman" w:cs="Times New Roman"/>
          <w:b w:val="0"/>
          <w:bCs w:val="0"/>
        </w:rPr>
      </w:pPr>
    </w:p>
    <w:p w14:paraId="354E4C03" w14:textId="41B548BB" w:rsidR="00C54142" w:rsidRDefault="00C54142" w:rsidP="00C54142">
      <w:pPr>
        <w:spacing w:after="0" w:line="240" w:lineRule="auto"/>
        <w:rPr>
          <w:rFonts w:eastAsia="Times New Roman"/>
          <w:b w:val="0"/>
          <w:bCs w:val="0"/>
          <w:color w:val="222222"/>
          <w:sz w:val="20"/>
          <w:szCs w:val="20"/>
          <w:shd w:val="clear" w:color="auto" w:fill="FFFFFF"/>
        </w:rPr>
      </w:pPr>
      <w:r w:rsidRPr="00C54142">
        <w:rPr>
          <w:rFonts w:eastAsia="Times New Roman"/>
          <w:b w:val="0"/>
          <w:bCs w:val="0"/>
          <w:color w:val="222222"/>
          <w:sz w:val="20"/>
          <w:szCs w:val="20"/>
          <w:shd w:val="clear" w:color="auto" w:fill="FFFFFF"/>
        </w:rPr>
        <w:t xml:space="preserve">Steeg, S., Emsley, R., </w:t>
      </w:r>
      <w:proofErr w:type="spellStart"/>
      <w:r w:rsidRPr="00C54142">
        <w:rPr>
          <w:rFonts w:eastAsia="Times New Roman"/>
          <w:b w:val="0"/>
          <w:bCs w:val="0"/>
          <w:color w:val="222222"/>
          <w:sz w:val="20"/>
          <w:szCs w:val="20"/>
          <w:shd w:val="clear" w:color="auto" w:fill="FFFFFF"/>
        </w:rPr>
        <w:t>Carr</w:t>
      </w:r>
      <w:proofErr w:type="spellEnd"/>
      <w:r w:rsidRPr="00C54142">
        <w:rPr>
          <w:rFonts w:eastAsia="Times New Roman"/>
          <w:b w:val="0"/>
          <w:bCs w:val="0"/>
          <w:color w:val="222222"/>
          <w:sz w:val="20"/>
          <w:szCs w:val="20"/>
          <w:shd w:val="clear" w:color="auto" w:fill="FFFFFF"/>
        </w:rPr>
        <w:t>, M., Cooper, J., &amp; Kapur, N. (2018). Routine hospital management of self-harm and risk of further self-harm: propensity score analysis using record-based cohort data. </w:t>
      </w:r>
      <w:r w:rsidRPr="00C54142">
        <w:rPr>
          <w:rFonts w:eastAsia="Times New Roman"/>
          <w:b w:val="0"/>
          <w:bCs w:val="0"/>
          <w:i/>
          <w:iCs/>
          <w:color w:val="222222"/>
          <w:sz w:val="20"/>
          <w:szCs w:val="20"/>
          <w:shd w:val="clear" w:color="auto" w:fill="FFFFFF"/>
        </w:rPr>
        <w:t>Psychological medicine</w:t>
      </w:r>
      <w:r w:rsidRPr="00C54142">
        <w:rPr>
          <w:rFonts w:eastAsia="Times New Roman"/>
          <w:b w:val="0"/>
          <w:bCs w:val="0"/>
          <w:color w:val="222222"/>
          <w:sz w:val="20"/>
          <w:szCs w:val="20"/>
          <w:shd w:val="clear" w:color="auto" w:fill="FFFFFF"/>
        </w:rPr>
        <w:t>, </w:t>
      </w:r>
      <w:r w:rsidRPr="00C54142">
        <w:rPr>
          <w:rFonts w:eastAsia="Times New Roman"/>
          <w:b w:val="0"/>
          <w:bCs w:val="0"/>
          <w:i/>
          <w:iCs/>
          <w:color w:val="222222"/>
          <w:sz w:val="20"/>
          <w:szCs w:val="20"/>
          <w:shd w:val="clear" w:color="auto" w:fill="FFFFFF"/>
        </w:rPr>
        <w:t>48</w:t>
      </w:r>
      <w:r w:rsidRPr="00C54142">
        <w:rPr>
          <w:rFonts w:eastAsia="Times New Roman"/>
          <w:b w:val="0"/>
          <w:bCs w:val="0"/>
          <w:color w:val="222222"/>
          <w:sz w:val="20"/>
          <w:szCs w:val="20"/>
          <w:shd w:val="clear" w:color="auto" w:fill="FFFFFF"/>
        </w:rPr>
        <w:t>(2), 315-326.</w:t>
      </w:r>
    </w:p>
    <w:p w14:paraId="4C83FBC5" w14:textId="77777777" w:rsidR="00C54142" w:rsidRDefault="00C54142" w:rsidP="000E21CA">
      <w:pPr>
        <w:rPr>
          <w:b w:val="0"/>
        </w:rPr>
      </w:pPr>
    </w:p>
    <w:p w14:paraId="42D47DF2" w14:textId="5A0EE365" w:rsidR="00C54142" w:rsidRDefault="00C54142" w:rsidP="006A0FF1">
      <w:pPr>
        <w:spacing w:after="0" w:line="240" w:lineRule="auto"/>
        <w:rPr>
          <w:rFonts w:ascii="Times New Roman" w:eastAsia="Times New Roman" w:hAnsi="Times New Roman" w:cs="Times New Roman"/>
          <w:b w:val="0"/>
          <w:bCs w:val="0"/>
        </w:rPr>
      </w:pPr>
      <w:r w:rsidRPr="00C54142">
        <w:rPr>
          <w:rFonts w:eastAsia="Times New Roman"/>
          <w:b w:val="0"/>
          <w:bCs w:val="0"/>
          <w:color w:val="222222"/>
          <w:sz w:val="20"/>
          <w:szCs w:val="20"/>
          <w:shd w:val="clear" w:color="auto" w:fill="FFFFFF"/>
        </w:rPr>
        <w:t xml:space="preserve">Pitman, A., </w:t>
      </w:r>
      <w:proofErr w:type="spellStart"/>
      <w:r w:rsidRPr="00C54142">
        <w:rPr>
          <w:rFonts w:eastAsia="Times New Roman"/>
          <w:b w:val="0"/>
          <w:bCs w:val="0"/>
          <w:color w:val="222222"/>
          <w:sz w:val="20"/>
          <w:szCs w:val="20"/>
          <w:shd w:val="clear" w:color="auto" w:fill="FFFFFF"/>
        </w:rPr>
        <w:t>Tsiachristas</w:t>
      </w:r>
      <w:proofErr w:type="spellEnd"/>
      <w:r w:rsidRPr="00C54142">
        <w:rPr>
          <w:rFonts w:eastAsia="Times New Roman"/>
          <w:b w:val="0"/>
          <w:bCs w:val="0"/>
          <w:color w:val="222222"/>
          <w:sz w:val="20"/>
          <w:szCs w:val="20"/>
          <w:shd w:val="clear" w:color="auto" w:fill="FFFFFF"/>
        </w:rPr>
        <w:t>, A., Casey, D., Geulayov, G., Brand, F., Bale, E., &amp; Hawton, K. (2020). Comparing short-term risk of repeat self-harm after psychosocial assessment of patients who self-harm by psychiatrists or psychiatric nurses in a general hospital: cohort study. </w:t>
      </w:r>
      <w:r w:rsidRPr="00C54142">
        <w:rPr>
          <w:rFonts w:eastAsia="Times New Roman"/>
          <w:b w:val="0"/>
          <w:bCs w:val="0"/>
          <w:i/>
          <w:iCs/>
          <w:color w:val="222222"/>
          <w:sz w:val="20"/>
          <w:szCs w:val="20"/>
          <w:shd w:val="clear" w:color="auto" w:fill="FFFFFF"/>
        </w:rPr>
        <w:t>Journal of affective disorders</w:t>
      </w:r>
      <w:r w:rsidRPr="00C54142">
        <w:rPr>
          <w:rFonts w:eastAsia="Times New Roman"/>
          <w:b w:val="0"/>
          <w:bCs w:val="0"/>
          <w:color w:val="222222"/>
          <w:sz w:val="20"/>
          <w:szCs w:val="20"/>
          <w:shd w:val="clear" w:color="auto" w:fill="FFFFFF"/>
        </w:rPr>
        <w:t>, </w:t>
      </w:r>
      <w:r w:rsidRPr="00C54142">
        <w:rPr>
          <w:rFonts w:eastAsia="Times New Roman"/>
          <w:b w:val="0"/>
          <w:bCs w:val="0"/>
          <w:i/>
          <w:iCs/>
          <w:color w:val="222222"/>
          <w:sz w:val="20"/>
          <w:szCs w:val="20"/>
          <w:shd w:val="clear" w:color="auto" w:fill="FFFFFF"/>
        </w:rPr>
        <w:t>272</w:t>
      </w:r>
      <w:r w:rsidRPr="00C54142">
        <w:rPr>
          <w:rFonts w:eastAsia="Times New Roman"/>
          <w:b w:val="0"/>
          <w:bCs w:val="0"/>
          <w:color w:val="222222"/>
          <w:sz w:val="20"/>
          <w:szCs w:val="20"/>
          <w:shd w:val="clear" w:color="auto" w:fill="FFFFFF"/>
        </w:rPr>
        <w:t>, 158-165.</w:t>
      </w:r>
    </w:p>
    <w:p w14:paraId="08368C43" w14:textId="77777777" w:rsidR="006A0FF1" w:rsidRPr="006A0FF1" w:rsidRDefault="006A0FF1" w:rsidP="006A0FF1">
      <w:pPr>
        <w:spacing w:after="0" w:line="240" w:lineRule="auto"/>
        <w:rPr>
          <w:rFonts w:ascii="Times New Roman" w:eastAsia="Times New Roman" w:hAnsi="Times New Roman" w:cs="Times New Roman"/>
          <w:b w:val="0"/>
          <w:bCs w:val="0"/>
        </w:rPr>
      </w:pPr>
    </w:p>
    <w:p w14:paraId="5FFB3408" w14:textId="616759B5" w:rsidR="00043F64" w:rsidRDefault="00043F64" w:rsidP="00043F64">
      <w:pPr>
        <w:pStyle w:val="Heading1"/>
      </w:pPr>
      <w:r>
        <w:t xml:space="preserve">Information and resources: </w:t>
      </w:r>
    </w:p>
    <w:p w14:paraId="16A9FA1F" w14:textId="77777777" w:rsidR="00043F64" w:rsidRDefault="00043F64" w:rsidP="00043F64"/>
    <w:p w14:paraId="47188C09" w14:textId="06BD1F7B" w:rsidR="004639A2" w:rsidRDefault="000E21CA" w:rsidP="00E00E66">
      <w:r>
        <w:t>Can we get access to the CQUIN webinar slides and recording?</w:t>
      </w:r>
    </w:p>
    <w:p w14:paraId="3259040F" w14:textId="77777777" w:rsidR="000E21CA" w:rsidRDefault="000E21CA" w:rsidP="002E7621">
      <w:pPr>
        <w:pStyle w:val="NoSpacing"/>
        <w:numPr>
          <w:ilvl w:val="0"/>
          <w:numId w:val="0"/>
        </w:numPr>
      </w:pPr>
      <w:r>
        <w:t xml:space="preserve">Yes, the slides and recording have been uploaded to the </w:t>
      </w:r>
      <w:hyperlink r:id="rId18" w:history="1">
        <w:r w:rsidRPr="000E21CA">
          <w:rPr>
            <w:rStyle w:val="Hyperlink"/>
          </w:rPr>
          <w:t>MH CQUIN collaboration platform.</w:t>
        </w:r>
      </w:hyperlink>
    </w:p>
    <w:p w14:paraId="67C09176" w14:textId="77777777" w:rsidR="000E21CA" w:rsidRDefault="000E21CA" w:rsidP="000E21CA">
      <w:pPr>
        <w:pStyle w:val="NoSpacing"/>
        <w:numPr>
          <w:ilvl w:val="0"/>
          <w:numId w:val="0"/>
        </w:numPr>
        <w:ind w:left="720" w:hanging="360"/>
      </w:pPr>
    </w:p>
    <w:p w14:paraId="6144A34A" w14:textId="77777777" w:rsidR="00250403" w:rsidRDefault="00250403" w:rsidP="000E21CA">
      <w:r>
        <w:t>Is there any further guidance for this CQUIN?</w:t>
      </w:r>
    </w:p>
    <w:p w14:paraId="752EB34E" w14:textId="092D9676" w:rsidR="00250403" w:rsidRDefault="00250403" w:rsidP="002E7621">
      <w:pPr>
        <w:pStyle w:val="NoSpacing"/>
        <w:numPr>
          <w:ilvl w:val="0"/>
          <w:numId w:val="0"/>
        </w:numPr>
      </w:pPr>
      <w:r>
        <w:t xml:space="preserve">Yes, we have an additional guidance document that can also be accessed via the </w:t>
      </w:r>
      <w:hyperlink r:id="rId19" w:history="1">
        <w:r w:rsidRPr="000E21CA">
          <w:rPr>
            <w:rStyle w:val="Hyperlink"/>
          </w:rPr>
          <w:t>MH CQUIN collaboration platform.</w:t>
        </w:r>
      </w:hyperlink>
    </w:p>
    <w:p w14:paraId="34F1DA9D" w14:textId="77777777" w:rsidR="00250403" w:rsidRDefault="00250403" w:rsidP="00250403">
      <w:pPr>
        <w:pStyle w:val="NoSpacing"/>
        <w:numPr>
          <w:ilvl w:val="0"/>
          <w:numId w:val="0"/>
        </w:numPr>
        <w:ind w:left="720"/>
      </w:pPr>
    </w:p>
    <w:p w14:paraId="206D7472" w14:textId="6F3EC9AA" w:rsidR="000E21CA" w:rsidRDefault="00250403" w:rsidP="00250403">
      <w:r>
        <w:t>Where can I access the audit tool?</w:t>
      </w:r>
    </w:p>
    <w:p w14:paraId="414850C1" w14:textId="7A3187E0" w:rsidR="00250403" w:rsidRPr="00A74ADC" w:rsidRDefault="00250403" w:rsidP="002E7621">
      <w:pPr>
        <w:pStyle w:val="NoSpacing"/>
        <w:numPr>
          <w:ilvl w:val="0"/>
          <w:numId w:val="0"/>
        </w:numPr>
        <w:rPr>
          <w:rStyle w:val="Hyperlink"/>
          <w:color w:val="000000"/>
          <w:u w:val="none"/>
        </w:rPr>
      </w:pPr>
      <w:r>
        <w:t xml:space="preserve">Yes, we have published the audit tool on the </w:t>
      </w:r>
      <w:hyperlink r:id="rId20" w:history="1">
        <w:r w:rsidRPr="000E21CA">
          <w:rPr>
            <w:rStyle w:val="Hyperlink"/>
          </w:rPr>
          <w:t>MH CQUIN collaboration platform.</w:t>
        </w:r>
      </w:hyperlink>
    </w:p>
    <w:p w14:paraId="59369409" w14:textId="77777777" w:rsidR="00A74ADC" w:rsidRDefault="00A74ADC" w:rsidP="00A74ADC">
      <w:pPr>
        <w:pStyle w:val="NoSpacing"/>
        <w:numPr>
          <w:ilvl w:val="0"/>
          <w:numId w:val="0"/>
        </w:numPr>
        <w:ind w:left="720"/>
      </w:pPr>
    </w:p>
    <w:p w14:paraId="32A71E1B" w14:textId="5C54EE56" w:rsidR="00250403" w:rsidRDefault="00250403" w:rsidP="00250403">
      <w:r>
        <w:t>Is there any further guidance on the overall 2022/23 CQUIN scheme?</w:t>
      </w:r>
    </w:p>
    <w:p w14:paraId="2709C862" w14:textId="7BB4A618" w:rsidR="00250403" w:rsidRPr="002E7621" w:rsidRDefault="00250403" w:rsidP="002E7621">
      <w:pPr>
        <w:pStyle w:val="NoSpacing"/>
        <w:numPr>
          <w:ilvl w:val="0"/>
          <w:numId w:val="0"/>
        </w:numPr>
      </w:pPr>
      <w:r w:rsidRPr="002E7621">
        <w:lastRenderedPageBreak/>
        <w:t>Yes, the CQUIN team have published the</w:t>
      </w:r>
      <w:r w:rsidRPr="002E7621">
        <w:rPr>
          <w:color w:val="202A30"/>
        </w:rPr>
        <w:t> </w:t>
      </w:r>
      <w:hyperlink r:id="rId21" w:history="1">
        <w:r w:rsidRPr="002E7621">
          <w:rPr>
            <w:rStyle w:val="Hyperlink"/>
          </w:rPr>
          <w:t>Commissioning for Quality and Innovation (CQUIN) scheme for 2022-2023.</w:t>
        </w:r>
      </w:hyperlink>
    </w:p>
    <w:p w14:paraId="69B34690" w14:textId="4C77210D" w:rsidR="00250403" w:rsidRDefault="00250403" w:rsidP="00250403">
      <w:pPr>
        <w:rPr>
          <w:b w:val="0"/>
          <w:bCs w:val="0"/>
        </w:rPr>
      </w:pPr>
    </w:p>
    <w:p w14:paraId="113BCCC9" w14:textId="3E2C056C" w:rsidR="006A0FF1" w:rsidRDefault="006A0FF1" w:rsidP="00250403">
      <w:pPr>
        <w:rPr>
          <w:b w:val="0"/>
          <w:bCs w:val="0"/>
        </w:rPr>
      </w:pPr>
    </w:p>
    <w:p w14:paraId="39D8E83C" w14:textId="51522422" w:rsidR="006A0FF1" w:rsidRDefault="006A0FF1" w:rsidP="00250403">
      <w:pPr>
        <w:rPr>
          <w:b w:val="0"/>
          <w:bCs w:val="0"/>
        </w:rPr>
      </w:pPr>
    </w:p>
    <w:p w14:paraId="5740FA20" w14:textId="77777777" w:rsidR="006A0FF1" w:rsidRPr="00250403" w:rsidRDefault="006A0FF1" w:rsidP="00250403">
      <w:pPr>
        <w:rPr>
          <w:b w:val="0"/>
          <w:bCs w:val="0"/>
        </w:rPr>
      </w:pPr>
    </w:p>
    <w:p w14:paraId="49C2F0F7" w14:textId="77777777" w:rsidR="006A0FF1" w:rsidRDefault="006A0FF1" w:rsidP="002E7621">
      <w:pPr>
        <w:pStyle w:val="NoSpacing"/>
        <w:numPr>
          <w:ilvl w:val="0"/>
          <w:numId w:val="0"/>
        </w:numPr>
      </w:pPr>
    </w:p>
    <w:p w14:paraId="6E6BCE80" w14:textId="7067660D" w:rsidR="00043F64" w:rsidRPr="006A0FF1" w:rsidRDefault="00043F64" w:rsidP="00B64D7E">
      <w:pPr>
        <w:pStyle w:val="Heading1"/>
        <w:rPr>
          <w:rFonts w:eastAsiaTheme="minorHAnsi"/>
          <w:color w:val="auto"/>
          <w:sz w:val="24"/>
          <w:szCs w:val="24"/>
        </w:rPr>
      </w:pPr>
      <w:r w:rsidRPr="00043F64">
        <w:t xml:space="preserve">Data reporting and audit tool: </w:t>
      </w:r>
    </w:p>
    <w:p w14:paraId="12BAFDF4" w14:textId="77777777" w:rsidR="006A0FF1" w:rsidRDefault="006A0FF1" w:rsidP="006A0FF1">
      <w:pPr>
        <w:pStyle w:val="NoSpacing"/>
        <w:numPr>
          <w:ilvl w:val="0"/>
          <w:numId w:val="0"/>
        </w:numPr>
        <w:ind w:left="720"/>
      </w:pPr>
    </w:p>
    <w:p w14:paraId="7349552E" w14:textId="72C88C4B" w:rsidR="00E00E66" w:rsidRDefault="00E00E66" w:rsidP="00E00E66">
      <w:r w:rsidRPr="00E165D2">
        <w:t>Are we expected to use the audit tool for a 100 cases per quarter or are we providing you with a figure of how many people we saw?</w:t>
      </w:r>
    </w:p>
    <w:p w14:paraId="2528A49B" w14:textId="08D161D3" w:rsidR="008B6B88" w:rsidRDefault="00C24021" w:rsidP="00E00E66">
      <w:pPr>
        <w:rPr>
          <w:b w:val="0"/>
        </w:rPr>
      </w:pPr>
      <w:r w:rsidRPr="00D15361">
        <w:rPr>
          <w:b w:val="0"/>
        </w:rPr>
        <w:t xml:space="preserve">The audit tool </w:t>
      </w:r>
      <w:r w:rsidR="002E31D6">
        <w:rPr>
          <w:b w:val="0"/>
        </w:rPr>
        <w:t xml:space="preserve">is not mandatory nor </w:t>
      </w:r>
      <w:r w:rsidRPr="00D15361">
        <w:rPr>
          <w:b w:val="0"/>
        </w:rPr>
        <w:t xml:space="preserve">does </w:t>
      </w:r>
      <w:r w:rsidR="002E31D6">
        <w:rPr>
          <w:b w:val="0"/>
        </w:rPr>
        <w:t xml:space="preserve">it </w:t>
      </w:r>
      <w:r w:rsidRPr="00D15361">
        <w:rPr>
          <w:b w:val="0"/>
        </w:rPr>
        <w:t xml:space="preserve">need to be comprehensively checked-listed for each psychosocial assessment. </w:t>
      </w:r>
      <w:r w:rsidR="002E31D6">
        <w:rPr>
          <w:b w:val="0"/>
        </w:rPr>
        <w:t xml:space="preserve">It is intended as a </w:t>
      </w:r>
      <w:r w:rsidR="002E31D6" w:rsidRPr="00D15361">
        <w:rPr>
          <w:b w:val="0"/>
          <w:i/>
        </w:rPr>
        <w:t>guide</w:t>
      </w:r>
      <w:r w:rsidR="002E31D6">
        <w:rPr>
          <w:b w:val="0"/>
        </w:rPr>
        <w:t xml:space="preserve">.  </w:t>
      </w:r>
      <w:r w:rsidR="002E31D6" w:rsidRPr="002E31D6">
        <w:rPr>
          <w:b w:val="0"/>
        </w:rPr>
        <w:t>Experienced clinicians may use their own judgement on the concordance of the assessment to NICE guidelines</w:t>
      </w:r>
      <w:r w:rsidR="002E31D6">
        <w:rPr>
          <w:b w:val="0"/>
        </w:rPr>
        <w:t xml:space="preserve"> instead</w:t>
      </w:r>
      <w:r w:rsidR="002E31D6" w:rsidRPr="002E31D6">
        <w:rPr>
          <w:b w:val="0"/>
        </w:rPr>
        <w:t xml:space="preserve">. </w:t>
      </w:r>
      <w:r w:rsidR="002E31D6">
        <w:rPr>
          <w:b w:val="0"/>
        </w:rPr>
        <w:t xml:space="preserve">However, we are making the tool available as we feel it might be helpful to the process. </w:t>
      </w:r>
      <w:r w:rsidRPr="00D15361">
        <w:rPr>
          <w:b w:val="0"/>
        </w:rPr>
        <w:t xml:space="preserve">The </w:t>
      </w:r>
      <w:r w:rsidR="002E31D6">
        <w:rPr>
          <w:b w:val="0"/>
        </w:rPr>
        <w:t xml:space="preserve">purposes </w:t>
      </w:r>
      <w:r w:rsidRPr="00D15361">
        <w:rPr>
          <w:b w:val="0"/>
        </w:rPr>
        <w:t xml:space="preserve">of the audit tool are to: (1) </w:t>
      </w:r>
      <w:r w:rsidR="002E31D6">
        <w:rPr>
          <w:b w:val="0"/>
        </w:rPr>
        <w:t xml:space="preserve">act as a reminder of </w:t>
      </w:r>
      <w:r w:rsidRPr="00D15361">
        <w:rPr>
          <w:b w:val="0"/>
        </w:rPr>
        <w:t>the areas of relevance within the NICE guidelines, and (</w:t>
      </w:r>
      <w:r w:rsidR="00006395">
        <w:rPr>
          <w:b w:val="0"/>
        </w:rPr>
        <w:t>2</w:t>
      </w:r>
      <w:r w:rsidRPr="00D15361">
        <w:rPr>
          <w:b w:val="0"/>
        </w:rPr>
        <w:t xml:space="preserve">) identify areas to focus </w:t>
      </w:r>
      <w:r w:rsidR="00455AE7">
        <w:rPr>
          <w:b w:val="0"/>
        </w:rPr>
        <w:t xml:space="preserve">local </w:t>
      </w:r>
      <w:r w:rsidRPr="00D15361">
        <w:rPr>
          <w:b w:val="0"/>
        </w:rPr>
        <w:t xml:space="preserve">quality improvement efforts. </w:t>
      </w:r>
      <w:r w:rsidR="00455AE7">
        <w:rPr>
          <w:b w:val="0"/>
        </w:rPr>
        <w:t xml:space="preserve">Please see also our sections above on what constitutes a full </w:t>
      </w:r>
      <w:r w:rsidR="009C2BB6" w:rsidRPr="00D15361">
        <w:rPr>
          <w:b w:val="0"/>
        </w:rPr>
        <w:t>assessment</w:t>
      </w:r>
      <w:r w:rsidR="00E81E92">
        <w:rPr>
          <w:b w:val="0"/>
        </w:rPr>
        <w:t xml:space="preserve">, and CQUIN reporting requirements and data collections. </w:t>
      </w:r>
    </w:p>
    <w:p w14:paraId="50253CAC" w14:textId="77777777" w:rsidR="008B6B88" w:rsidRDefault="008B6B88" w:rsidP="008B6B88">
      <w:r>
        <w:t>How will providers demonstrate they have met the indicator?</w:t>
      </w:r>
    </w:p>
    <w:p w14:paraId="3F9576BD" w14:textId="77777777" w:rsidR="008B6B88" w:rsidRDefault="008B6B88" w:rsidP="008B6B88">
      <w:pPr>
        <w:rPr>
          <w:b w:val="0"/>
          <w:bCs w:val="0"/>
        </w:rPr>
      </w:pPr>
      <w:r>
        <w:rPr>
          <w:b w:val="0"/>
          <w:bCs w:val="0"/>
        </w:rPr>
        <w:t xml:space="preserve">Providers will be required to submit audit </w:t>
      </w:r>
      <w:r w:rsidRPr="0041790C">
        <w:rPr>
          <w:b w:val="0"/>
          <w:bCs w:val="0"/>
        </w:rPr>
        <w:t>data</w:t>
      </w:r>
      <w:r>
        <w:rPr>
          <w:b w:val="0"/>
          <w:bCs w:val="0"/>
        </w:rPr>
        <w:t xml:space="preserve"> to demonstrate meeting of the this CQUIN indicator</w:t>
      </w:r>
      <w:r w:rsidRPr="0041790C">
        <w:rPr>
          <w:b w:val="0"/>
          <w:bCs w:val="0"/>
        </w:rPr>
        <w:t xml:space="preserve"> </w:t>
      </w:r>
      <w:r>
        <w:rPr>
          <w:b w:val="0"/>
          <w:bCs w:val="0"/>
        </w:rPr>
        <w:t>to a</w:t>
      </w:r>
      <w:r w:rsidRPr="0041790C">
        <w:rPr>
          <w:b w:val="0"/>
          <w:bCs w:val="0"/>
        </w:rPr>
        <w:t xml:space="preserve"> national collection</w:t>
      </w:r>
      <w:r>
        <w:rPr>
          <w:b w:val="0"/>
          <w:bCs w:val="0"/>
        </w:rPr>
        <w:t xml:space="preserve"> on a quarterly basis. You can find out more about the collection in this </w:t>
      </w:r>
      <w:hyperlink r:id="rId22" w:history="1">
        <w:r w:rsidRPr="0041790C">
          <w:rPr>
            <w:rStyle w:val="Hyperlink"/>
            <w:b w:val="0"/>
            <w:bCs w:val="0"/>
          </w:rPr>
          <w:t>document</w:t>
        </w:r>
      </w:hyperlink>
      <w:r>
        <w:rPr>
          <w:b w:val="0"/>
          <w:bCs w:val="0"/>
        </w:rPr>
        <w:t xml:space="preserve">, with further </w:t>
      </w:r>
      <w:r w:rsidRPr="0041790C">
        <w:rPr>
          <w:b w:val="0"/>
          <w:bCs w:val="0"/>
        </w:rPr>
        <w:t>details will be made available in due course</w:t>
      </w:r>
      <w:r>
        <w:rPr>
          <w:b w:val="0"/>
          <w:bCs w:val="0"/>
        </w:rPr>
        <w:t>.</w:t>
      </w:r>
    </w:p>
    <w:p w14:paraId="63F90BD9" w14:textId="43A736F6" w:rsidR="008B6B88" w:rsidRPr="00EB6C39" w:rsidRDefault="008B6B88" w:rsidP="008B6B88">
      <w:pPr>
        <w:rPr>
          <w:b w:val="0"/>
          <w:bCs w:val="0"/>
        </w:rPr>
      </w:pPr>
      <w:r>
        <w:rPr>
          <w:b w:val="0"/>
          <w:bCs w:val="0"/>
        </w:rPr>
        <w:t xml:space="preserve">For the quarterly collection, providers will only be required to submit the numerator and denominator for the indicator. To support providers in calculating their numerator and denominator for the quarterly self-audits, a </w:t>
      </w:r>
      <w:hyperlink r:id="rId23" w:history="1">
        <w:r w:rsidRPr="005507C6">
          <w:rPr>
            <w:rStyle w:val="Hyperlink"/>
            <w:b w:val="0"/>
            <w:bCs w:val="0"/>
          </w:rPr>
          <w:t>CQUIN Audit Spreadsheet</w:t>
        </w:r>
      </w:hyperlink>
      <w:r>
        <w:rPr>
          <w:b w:val="0"/>
          <w:bCs w:val="0"/>
        </w:rPr>
        <w:t xml:space="preserve"> has been provided. </w:t>
      </w:r>
      <w:r w:rsidRPr="00EB6C39">
        <w:rPr>
          <w:b w:val="0"/>
          <w:bCs w:val="0"/>
        </w:rPr>
        <w:t xml:space="preserve">The audit spreadsheet will provide a record of the quarterly self-audit been completed and ensure providers can evidence the audit to their commissioners (if this is required/requested). Clinicians can complete the </w:t>
      </w:r>
      <w:r>
        <w:rPr>
          <w:b w:val="0"/>
          <w:bCs w:val="0"/>
        </w:rPr>
        <w:t xml:space="preserve">audit </w:t>
      </w:r>
      <w:r w:rsidRPr="00EB6C39">
        <w:rPr>
          <w:b w:val="0"/>
          <w:bCs w:val="0"/>
        </w:rPr>
        <w:t xml:space="preserve">spreadsheet whilst auditing by either using their clinical judgement and/or using the developed </w:t>
      </w:r>
      <w:hyperlink r:id="rId24" w:history="1">
        <w:r w:rsidRPr="00EB6C39">
          <w:rPr>
            <w:rStyle w:val="Hyperlink"/>
            <w:b w:val="0"/>
            <w:bCs w:val="0"/>
          </w:rPr>
          <w:t>audit tool</w:t>
        </w:r>
      </w:hyperlink>
      <w:r w:rsidRPr="00EB6C39">
        <w:rPr>
          <w:b w:val="0"/>
          <w:bCs w:val="0"/>
        </w:rPr>
        <w:t xml:space="preserve"> (see </w:t>
      </w:r>
      <w:r>
        <w:rPr>
          <w:b w:val="0"/>
          <w:bCs w:val="0"/>
        </w:rPr>
        <w:t>section at the start of the document on the Biopsycho</w:t>
      </w:r>
      <w:r w:rsidR="00C52B4F">
        <w:rPr>
          <w:b w:val="0"/>
          <w:bCs w:val="0"/>
        </w:rPr>
        <w:t>social assessment</w:t>
      </w:r>
      <w:r>
        <w:rPr>
          <w:b w:val="0"/>
          <w:bCs w:val="0"/>
        </w:rPr>
        <w:t>).</w:t>
      </w:r>
    </w:p>
    <w:p w14:paraId="78809C3F" w14:textId="66D8D7D5" w:rsidR="00E00E66" w:rsidRDefault="00E00E66" w:rsidP="00E00E66">
      <w:r w:rsidRPr="00E165D2">
        <w:t xml:space="preserve">How long will it take to audit one </w:t>
      </w:r>
      <w:r w:rsidR="000E21CA" w:rsidRPr="00E165D2">
        <w:t>person’s</w:t>
      </w:r>
      <w:r w:rsidRPr="00E165D2">
        <w:t xml:space="preserve"> notes?</w:t>
      </w:r>
    </w:p>
    <w:p w14:paraId="585B7239" w14:textId="00F46612" w:rsidR="00B82627" w:rsidRDefault="00E165D2" w:rsidP="00E81E92">
      <w:pPr>
        <w:pStyle w:val="NoSpacing"/>
        <w:numPr>
          <w:ilvl w:val="0"/>
          <w:numId w:val="0"/>
        </w:numPr>
      </w:pPr>
      <w:r>
        <w:t>The answer to this question may vary</w:t>
      </w:r>
      <w:r w:rsidR="004E3F58">
        <w:t>, h</w:t>
      </w:r>
      <w:r>
        <w:t xml:space="preserve">owever </w:t>
      </w:r>
      <w:r w:rsidR="00D03F30">
        <w:t xml:space="preserve">a reasonable estimate could </w:t>
      </w:r>
      <w:proofErr w:type="gramStart"/>
      <w:r w:rsidR="00D03F30">
        <w:t xml:space="preserve">be </w:t>
      </w:r>
      <w:r>
        <w:t xml:space="preserve"> </w:t>
      </w:r>
      <w:r w:rsidR="004E3F58">
        <w:t>around</w:t>
      </w:r>
      <w:proofErr w:type="gramEnd"/>
      <w:r w:rsidR="004E3F58">
        <w:t xml:space="preserve"> 15 </w:t>
      </w:r>
      <w:r>
        <w:t>minutes</w:t>
      </w:r>
      <w:r w:rsidR="00DA7EDE">
        <w:t xml:space="preserve"> per record</w:t>
      </w:r>
      <w:r w:rsidR="00B82627">
        <w:t>.</w:t>
      </w:r>
      <w:r w:rsidR="00B82627" w:rsidRPr="00B82627">
        <w:t xml:space="preserve"> </w:t>
      </w:r>
      <w:r w:rsidR="004E3F58">
        <w:t xml:space="preserve">Clinicians familiar with </w:t>
      </w:r>
      <w:r w:rsidR="00455AE7">
        <w:t xml:space="preserve">both </w:t>
      </w:r>
      <w:r w:rsidR="00DA7EDE">
        <w:t xml:space="preserve">the self-harm </w:t>
      </w:r>
      <w:r w:rsidR="004E3F58">
        <w:t xml:space="preserve">service and electronic records systems </w:t>
      </w:r>
      <w:r w:rsidR="00DA7EDE">
        <w:t xml:space="preserve">should help to make the process more efficient.  Please also refer to answers above on the definition of assessment and the audit tool.  We would stress the tool is a </w:t>
      </w:r>
      <w:r w:rsidR="00DA7EDE">
        <w:rPr>
          <w:i/>
        </w:rPr>
        <w:t xml:space="preserve">guide. </w:t>
      </w:r>
      <w:r w:rsidR="00DA7EDE" w:rsidRPr="00D15361">
        <w:t>W</w:t>
      </w:r>
      <w:r w:rsidR="00DA7EDE" w:rsidRPr="00DA7EDE">
        <w:t>e</w:t>
      </w:r>
      <w:r w:rsidR="00DA7EDE">
        <w:t xml:space="preserve"> would not expect every field to be completed on every patient and the tool is not part of the reporting process.  Neither is the use of the tool mandatory. Its main purpose is to </w:t>
      </w:r>
      <w:proofErr w:type="spellStart"/>
      <w:r w:rsidR="00DA7EDE">
        <w:t>faciliiate</w:t>
      </w:r>
      <w:proofErr w:type="spellEnd"/>
      <w:r w:rsidR="00DA7EDE">
        <w:t xml:space="preserve"> local quality improvement.  </w:t>
      </w:r>
    </w:p>
    <w:p w14:paraId="48F7C8D4" w14:textId="77777777" w:rsidR="00E165D2" w:rsidRPr="00E00E66" w:rsidRDefault="00E165D2" w:rsidP="007C3074">
      <w:pPr>
        <w:pStyle w:val="NoSpacing"/>
        <w:numPr>
          <w:ilvl w:val="0"/>
          <w:numId w:val="0"/>
        </w:numPr>
      </w:pPr>
    </w:p>
    <w:p w14:paraId="48BBD3CF" w14:textId="0EA96AD8" w:rsidR="00E165D2" w:rsidRDefault="00E00E66" w:rsidP="00E165D2">
      <w:r w:rsidRPr="00E165D2">
        <w:t>Is there guidance for how liaison teams should be recording 'Biopsychosocial Assessments' in the MHSDS?</w:t>
      </w:r>
    </w:p>
    <w:p w14:paraId="52BB8820" w14:textId="5E81D7D4" w:rsidR="00A24CBB" w:rsidRPr="00754FF7" w:rsidRDefault="00E165D2" w:rsidP="007C3074">
      <w:pPr>
        <w:pStyle w:val="NoSpacing"/>
        <w:numPr>
          <w:ilvl w:val="0"/>
          <w:numId w:val="0"/>
        </w:numPr>
      </w:pPr>
      <w:r w:rsidRPr="00754FF7">
        <w:t xml:space="preserve">Biopsychosocial assessments </w:t>
      </w:r>
      <w:r w:rsidR="00854A27" w:rsidRPr="00754FF7">
        <w:t xml:space="preserve">are </w:t>
      </w:r>
      <w:r w:rsidRPr="00754FF7">
        <w:t>not</w:t>
      </w:r>
      <w:r w:rsidR="00854A27" w:rsidRPr="00754FF7">
        <w:t xml:space="preserve"> required to</w:t>
      </w:r>
      <w:r w:rsidRPr="00754FF7">
        <w:t xml:space="preserve"> be recorded in the MHSDS</w:t>
      </w:r>
      <w:r w:rsidR="00854A27" w:rsidRPr="00754FF7">
        <w:t xml:space="preserve"> for the purposes of this CQUIN</w:t>
      </w:r>
      <w:r w:rsidRPr="00754FF7">
        <w:t xml:space="preserve">. </w:t>
      </w:r>
      <w:r w:rsidR="001C2BB4" w:rsidRPr="00754FF7">
        <w:t>There is a SNOMED code for ‘biopsychosocial assessments’ that can be flowed to the MHSDS however this is currently used in less than 1-2% of referrals to psychiatric liaison services.</w:t>
      </w:r>
    </w:p>
    <w:p w14:paraId="146C279E" w14:textId="77777777" w:rsidR="001C2BB4" w:rsidRPr="00754FF7" w:rsidRDefault="001C2BB4" w:rsidP="00A93ADF">
      <w:pPr>
        <w:pStyle w:val="NoSpacing"/>
        <w:numPr>
          <w:ilvl w:val="0"/>
          <w:numId w:val="0"/>
        </w:numPr>
        <w:ind w:left="720"/>
      </w:pPr>
    </w:p>
    <w:p w14:paraId="1474AAE0" w14:textId="0A278790" w:rsidR="00E165D2" w:rsidRPr="00754FF7" w:rsidRDefault="00E165D2" w:rsidP="007C3074">
      <w:pPr>
        <w:pStyle w:val="NoSpacing"/>
        <w:numPr>
          <w:ilvl w:val="0"/>
          <w:numId w:val="0"/>
        </w:numPr>
      </w:pPr>
      <w:r w:rsidRPr="00754FF7">
        <w:t>Instead,</w:t>
      </w:r>
      <w:r w:rsidR="001C2BB4" w:rsidRPr="00754FF7">
        <w:t xml:space="preserve"> for this CQUIN</w:t>
      </w:r>
      <w:r w:rsidRPr="00754FF7">
        <w:t xml:space="preserve"> </w:t>
      </w:r>
      <w:proofErr w:type="spellStart"/>
      <w:r w:rsidRPr="00754FF7">
        <w:t>CQUIN</w:t>
      </w:r>
      <w:proofErr w:type="spellEnd"/>
      <w:r w:rsidRPr="00754FF7">
        <w:t xml:space="preserve"> data reporting will take place on a quarterly basis, via submission to the national CQUIN data collection. Each quarter, in scope Trusts are expected to self-audit a random sample of 100 records per quarter (or all records where there are fewer than 100 records); you can find more detail on this process in the </w:t>
      </w:r>
      <w:hyperlink r:id="rId25" w:history="1">
        <w:r w:rsidRPr="00754FF7">
          <w:rPr>
            <w:rStyle w:val="Hyperlink"/>
          </w:rPr>
          <w:t>‘Understanding Performance’ section of the Commissioning for Quality and Innovation (CQUIN) scheme for 2022/23 annex document</w:t>
        </w:r>
      </w:hyperlink>
      <w:r w:rsidRPr="00754FF7">
        <w:t>.</w:t>
      </w:r>
      <w:r w:rsidR="0082147D">
        <w:t xml:space="preserve"> Also, see sect</w:t>
      </w:r>
      <w:r w:rsidR="00C52B4F">
        <w:t>i</w:t>
      </w:r>
      <w:r w:rsidR="0082147D">
        <w:t>ons above</w:t>
      </w:r>
      <w:r w:rsidR="00C52B4F">
        <w:t xml:space="preserve"> on data collection.</w:t>
      </w:r>
      <w:r w:rsidR="0082147D">
        <w:t xml:space="preserve"> </w:t>
      </w:r>
    </w:p>
    <w:p w14:paraId="79314784" w14:textId="77777777" w:rsidR="00E165D2" w:rsidRPr="00E00E66" w:rsidRDefault="00E165D2" w:rsidP="00E165D2">
      <w:pPr>
        <w:pStyle w:val="NoSpacing"/>
        <w:numPr>
          <w:ilvl w:val="0"/>
          <w:numId w:val="0"/>
        </w:numPr>
        <w:ind w:left="720"/>
      </w:pPr>
    </w:p>
    <w:p w14:paraId="25FF170E" w14:textId="4E83D854" w:rsidR="00E00E66" w:rsidRPr="00741D8E" w:rsidRDefault="00E00E66" w:rsidP="00E00E66">
      <w:r w:rsidRPr="00741D8E">
        <w:t>Are we including suicidal acts when the intention was to end one’s life, not to self-harm but therefore they harmed themselves?</w:t>
      </w:r>
    </w:p>
    <w:p w14:paraId="35305546" w14:textId="29886047" w:rsidR="0090601C" w:rsidRDefault="00D74D62" w:rsidP="00E00E66">
      <w:pPr>
        <w:rPr>
          <w:b w:val="0"/>
        </w:rPr>
      </w:pPr>
      <w:r w:rsidRPr="00741D8E">
        <w:rPr>
          <w:b w:val="0"/>
        </w:rPr>
        <w:t xml:space="preserve">Yes, </w:t>
      </w:r>
      <w:r w:rsidR="00DA7EDE">
        <w:rPr>
          <w:b w:val="0"/>
        </w:rPr>
        <w:t xml:space="preserve">these </w:t>
      </w:r>
      <w:r w:rsidRPr="00741D8E">
        <w:rPr>
          <w:b w:val="0"/>
        </w:rPr>
        <w:t>should be included</w:t>
      </w:r>
      <w:r w:rsidR="00DA7EDE">
        <w:rPr>
          <w:b w:val="0"/>
        </w:rPr>
        <w:t>. We are using the NICE definition of self-</w:t>
      </w:r>
      <w:proofErr w:type="gramStart"/>
      <w:r w:rsidR="00DA7EDE">
        <w:rPr>
          <w:b w:val="0"/>
        </w:rPr>
        <w:t xml:space="preserve">harm </w:t>
      </w:r>
      <w:r w:rsidR="00352D13">
        <w:rPr>
          <w:b w:val="0"/>
        </w:rPr>
        <w:t>:</w:t>
      </w:r>
      <w:proofErr w:type="gramEnd"/>
      <w:r w:rsidR="00352D13">
        <w:rPr>
          <w:b w:val="0"/>
        </w:rPr>
        <w:t xml:space="preserve"> </w:t>
      </w:r>
    </w:p>
    <w:p w14:paraId="4AFD231B" w14:textId="3D5938CD" w:rsidR="00D74D62" w:rsidRDefault="00352D13" w:rsidP="00E00E66">
      <w:pPr>
        <w:rPr>
          <w:b w:val="0"/>
        </w:rPr>
      </w:pPr>
      <w:r>
        <w:rPr>
          <w:b w:val="0"/>
        </w:rPr>
        <w:t>‘Self-harm refers to any intentional act of self-poisoning or self-injury carried out by an individual, irrespective of the motivation</w:t>
      </w:r>
      <w:r w:rsidR="0090601C">
        <w:rPr>
          <w:b w:val="0"/>
        </w:rPr>
        <w:t>’</w:t>
      </w:r>
      <w:r>
        <w:rPr>
          <w:b w:val="0"/>
        </w:rPr>
        <w:t xml:space="preserve">. </w:t>
      </w:r>
    </w:p>
    <w:p w14:paraId="59DDC6FA" w14:textId="606BA71D" w:rsidR="00352D13" w:rsidRDefault="0090601C" w:rsidP="00E00E66">
      <w:pPr>
        <w:rPr>
          <w:b w:val="0"/>
        </w:rPr>
      </w:pPr>
      <w:hyperlink r:id="rId26" w:history="1">
        <w:r w:rsidRPr="0090601C">
          <w:rPr>
            <w:rStyle w:val="Hyperlink"/>
            <w:b w:val="0"/>
          </w:rPr>
          <w:t>https://www.nice.org.uk/guidance/cg133</w:t>
        </w:r>
      </w:hyperlink>
    </w:p>
    <w:p w14:paraId="18F9BB0D" w14:textId="2CAB0E1F" w:rsidR="00352D13" w:rsidRPr="00C52B4F" w:rsidRDefault="0090601C" w:rsidP="00E00E66">
      <w:pPr>
        <w:rPr>
          <w:b w:val="0"/>
        </w:rPr>
      </w:pPr>
      <w:hyperlink r:id="rId27" w:history="1">
        <w:r w:rsidRPr="0090601C">
          <w:rPr>
            <w:rStyle w:val="Hyperlink"/>
            <w:b w:val="0"/>
          </w:rPr>
          <w:t>https://cks.nice.org.uk/topics/self-harm/background-information/definition/</w:t>
        </w:r>
      </w:hyperlink>
    </w:p>
    <w:p w14:paraId="330EE6C8" w14:textId="52400FB3" w:rsidR="00E00E66" w:rsidRPr="00741D8E" w:rsidRDefault="004639A2" w:rsidP="00E00E66">
      <w:r w:rsidRPr="00741D8E">
        <w:t>W</w:t>
      </w:r>
      <w:r w:rsidR="00E00E66" w:rsidRPr="00741D8E">
        <w:t>hy isn't the MHSDS being used as the source of evaluation against the CQUIN?</w:t>
      </w:r>
    </w:p>
    <w:p w14:paraId="0B13AE67" w14:textId="59F20704" w:rsidR="00052EE7" w:rsidRPr="00741D8E" w:rsidRDefault="00052EE7" w:rsidP="00E00E66">
      <w:pPr>
        <w:rPr>
          <w:b w:val="0"/>
          <w:bCs w:val="0"/>
        </w:rPr>
      </w:pPr>
      <w:r w:rsidRPr="00741D8E">
        <w:rPr>
          <w:b w:val="0"/>
          <w:bCs w:val="0"/>
        </w:rPr>
        <w:t>There is a SNOMED code for ‘biopsychosocial assessments’ that can be flowed to the MHSDS however this is currently used in less than 1-2% of referrals to psychiatric liaison services. Therefore the data quality is too far from being able to</w:t>
      </w:r>
      <w:r w:rsidR="008F1737" w:rsidRPr="00741D8E">
        <w:rPr>
          <w:b w:val="0"/>
          <w:bCs w:val="0"/>
        </w:rPr>
        <w:t xml:space="preserve"> use the MHSDS to assess this. Moreover, simply recording a code in the data set would not necessarily </w:t>
      </w:r>
      <w:r w:rsidR="000224A3">
        <w:rPr>
          <w:b w:val="0"/>
          <w:bCs w:val="0"/>
        </w:rPr>
        <w:t>identify</w:t>
      </w:r>
      <w:r w:rsidR="008F1737" w:rsidRPr="00741D8E">
        <w:rPr>
          <w:b w:val="0"/>
          <w:bCs w:val="0"/>
        </w:rPr>
        <w:t xml:space="preserve"> the quality of </w:t>
      </w:r>
      <w:r w:rsidR="000224A3">
        <w:rPr>
          <w:b w:val="0"/>
          <w:bCs w:val="0"/>
        </w:rPr>
        <w:t xml:space="preserve">the </w:t>
      </w:r>
      <w:r w:rsidR="008F1737" w:rsidRPr="00741D8E">
        <w:rPr>
          <w:b w:val="0"/>
          <w:bCs w:val="0"/>
        </w:rPr>
        <w:t xml:space="preserve">assessments. </w:t>
      </w:r>
    </w:p>
    <w:p w14:paraId="138003B5" w14:textId="6F279AAB" w:rsidR="00043F64" w:rsidRPr="00741D8E" w:rsidRDefault="004639A2" w:rsidP="00043F64">
      <w:r w:rsidRPr="00741D8E">
        <w:t>I</w:t>
      </w:r>
      <w:r w:rsidR="00043F64" w:rsidRPr="00741D8E">
        <w:t>f we are only counting liaison referrals rather than A&amp;E attendances, how are we going to show that we have improved compared to the (rather old) data in 2013?</w:t>
      </w:r>
    </w:p>
    <w:p w14:paraId="399C186D" w14:textId="7C0949BF" w:rsidR="00391A23" w:rsidRDefault="00DA7EDE" w:rsidP="00BF11E3">
      <w:pPr>
        <w:rPr>
          <w:b w:val="0"/>
        </w:rPr>
      </w:pPr>
      <w:r>
        <w:rPr>
          <w:b w:val="0"/>
        </w:rPr>
        <w:t xml:space="preserve">The proportion of people presenting to EDs/Hospitals who receive a psychosocial assessment is not the main focus of the study. As discussed at the launch webinar, this </w:t>
      </w:r>
      <w:r w:rsidR="00455AE7">
        <w:rPr>
          <w:b w:val="0"/>
        </w:rPr>
        <w:t xml:space="preserve">is a very important metric. It </w:t>
      </w:r>
      <w:r>
        <w:rPr>
          <w:b w:val="0"/>
        </w:rPr>
        <w:t xml:space="preserve">was considered as the CQUIN was being developed but was not </w:t>
      </w:r>
      <w:r w:rsidR="00455AE7">
        <w:rPr>
          <w:b w:val="0"/>
        </w:rPr>
        <w:t>judged to be f</w:t>
      </w:r>
      <w:r>
        <w:rPr>
          <w:b w:val="0"/>
        </w:rPr>
        <w:t xml:space="preserve">easible because of service and data collection complexities raised by stakeholders. Whether more people are getting </w:t>
      </w:r>
      <w:proofErr w:type="spellStart"/>
      <w:r>
        <w:rPr>
          <w:b w:val="0"/>
        </w:rPr>
        <w:t>assessemnts</w:t>
      </w:r>
      <w:proofErr w:type="spellEnd"/>
      <w:r>
        <w:rPr>
          <w:b w:val="0"/>
        </w:rPr>
        <w:t xml:space="preserve"> after self-harm than they did in the past </w:t>
      </w:r>
      <w:r w:rsidR="00391A23">
        <w:rPr>
          <w:b w:val="0"/>
        </w:rPr>
        <w:t xml:space="preserve">(for example the 2013 study) </w:t>
      </w:r>
      <w:r>
        <w:rPr>
          <w:b w:val="0"/>
        </w:rPr>
        <w:t xml:space="preserve">will require </w:t>
      </w:r>
      <w:r w:rsidR="00391A23">
        <w:rPr>
          <w:b w:val="0"/>
        </w:rPr>
        <w:t xml:space="preserve">bespoke investigation that NCISH and others would hope to undertake.  </w:t>
      </w:r>
    </w:p>
    <w:p w14:paraId="2DEA1B2A" w14:textId="2F60F694" w:rsidR="00BF11E3" w:rsidRPr="00067823" w:rsidRDefault="00391A23" w:rsidP="00BF11E3">
      <w:pPr>
        <w:rPr>
          <w:b w:val="0"/>
        </w:rPr>
      </w:pPr>
      <w:r>
        <w:rPr>
          <w:b w:val="0"/>
        </w:rPr>
        <w:t xml:space="preserve">The current </w:t>
      </w:r>
      <w:r w:rsidR="008A0DAD" w:rsidRPr="00741D8E">
        <w:rPr>
          <w:b w:val="0"/>
        </w:rPr>
        <w:t xml:space="preserve">CQUIN </w:t>
      </w:r>
      <w:r>
        <w:rPr>
          <w:b w:val="0"/>
        </w:rPr>
        <w:t xml:space="preserve">focuses on the quality of assessments undertaken by liaison psychiatry teams but it is not a </w:t>
      </w:r>
      <w:r w:rsidR="006B3B8E" w:rsidRPr="00741D8E">
        <w:rPr>
          <w:b w:val="0"/>
        </w:rPr>
        <w:t>robust academic study</w:t>
      </w:r>
      <w:r>
        <w:rPr>
          <w:b w:val="0"/>
        </w:rPr>
        <w:t>.</w:t>
      </w:r>
      <w:r w:rsidR="00430E37">
        <w:rPr>
          <w:b w:val="0"/>
        </w:rPr>
        <w:t xml:space="preserve"> </w:t>
      </w:r>
      <w:proofErr w:type="gramStart"/>
      <w:r>
        <w:rPr>
          <w:b w:val="0"/>
        </w:rPr>
        <w:t>I</w:t>
      </w:r>
      <w:r w:rsidR="006B3B8E" w:rsidRPr="00741D8E">
        <w:rPr>
          <w:b w:val="0"/>
        </w:rPr>
        <w:t>t</w:t>
      </w:r>
      <w:proofErr w:type="gramEnd"/>
      <w:r w:rsidR="006B3B8E" w:rsidRPr="00741D8E">
        <w:rPr>
          <w:b w:val="0"/>
        </w:rPr>
        <w:t xml:space="preserve"> </w:t>
      </w:r>
      <w:r w:rsidR="009318F9" w:rsidRPr="00741D8E">
        <w:rPr>
          <w:b w:val="0"/>
        </w:rPr>
        <w:t xml:space="preserve">relies on local </w:t>
      </w:r>
      <w:r w:rsidR="006B3B8E" w:rsidRPr="00741D8E">
        <w:rPr>
          <w:b w:val="0"/>
        </w:rPr>
        <w:t>self-assessment as part of a national financial incentive scheme</w:t>
      </w:r>
      <w:r w:rsidR="00221BC5" w:rsidRPr="00741D8E">
        <w:rPr>
          <w:b w:val="0"/>
        </w:rPr>
        <w:t xml:space="preserve">. It is therefore not the intention that this will </w:t>
      </w:r>
      <w:r w:rsidR="00221BC5" w:rsidRPr="00741D8E">
        <w:rPr>
          <w:b w:val="0"/>
          <w:i/>
          <w:iCs/>
        </w:rPr>
        <w:t>demonstrate</w:t>
      </w:r>
      <w:r w:rsidR="00221BC5" w:rsidRPr="00741D8E">
        <w:rPr>
          <w:b w:val="0"/>
        </w:rPr>
        <w:t xml:space="preserve"> progress compared to the 2013 data</w:t>
      </w:r>
      <w:r w:rsidR="009318F9" w:rsidRPr="00741D8E">
        <w:rPr>
          <w:b w:val="0"/>
        </w:rPr>
        <w:t xml:space="preserve"> with </w:t>
      </w:r>
      <w:r w:rsidR="00455AE7">
        <w:rPr>
          <w:b w:val="0"/>
        </w:rPr>
        <w:t xml:space="preserve">research </w:t>
      </w:r>
      <w:r w:rsidR="009318F9" w:rsidRPr="00741D8E">
        <w:rPr>
          <w:b w:val="0"/>
        </w:rPr>
        <w:t xml:space="preserve">rigour, but the hope is that </w:t>
      </w:r>
      <w:r>
        <w:rPr>
          <w:b w:val="0"/>
        </w:rPr>
        <w:t xml:space="preserve">it will provide an impetus to local quality improvement.  </w:t>
      </w:r>
    </w:p>
    <w:p w14:paraId="611F8751" w14:textId="08490463" w:rsidR="008A0DAD" w:rsidRPr="00741D8E" w:rsidRDefault="008A0DAD" w:rsidP="00043F64">
      <w:pPr>
        <w:rPr>
          <w:b w:val="0"/>
        </w:rPr>
      </w:pPr>
    </w:p>
    <w:p w14:paraId="16D17922" w14:textId="77777777" w:rsidR="00B77E99" w:rsidRPr="00741D8E" w:rsidRDefault="00043F64" w:rsidP="00043F64">
      <w:pPr>
        <w:rPr>
          <w:b w:val="0"/>
          <w:bCs w:val="0"/>
        </w:rPr>
      </w:pPr>
      <w:r w:rsidRPr="00741D8E">
        <w:t>Are we also considering the number of patients who also decline for liaison psychiatry assessment/intervention? these are 'received referrals' but would not have a full BPS assessment</w:t>
      </w:r>
    </w:p>
    <w:p w14:paraId="26115F92" w14:textId="6287E719" w:rsidR="00757725" w:rsidRPr="00741D8E" w:rsidRDefault="005A4EAE" w:rsidP="00043F64">
      <w:pPr>
        <w:rPr>
          <w:b w:val="0"/>
          <w:bCs w:val="0"/>
        </w:rPr>
      </w:pPr>
      <w:r w:rsidRPr="00741D8E">
        <w:rPr>
          <w:b w:val="0"/>
          <w:bCs w:val="0"/>
        </w:rPr>
        <w:lastRenderedPageBreak/>
        <w:t>It would</w:t>
      </w:r>
      <w:r w:rsidR="00AB5DAC" w:rsidRPr="00741D8E">
        <w:rPr>
          <w:b w:val="0"/>
          <w:bCs w:val="0"/>
        </w:rPr>
        <w:t xml:space="preserve"> </w:t>
      </w:r>
      <w:r w:rsidRPr="00741D8E">
        <w:rPr>
          <w:b w:val="0"/>
          <w:bCs w:val="0"/>
        </w:rPr>
        <w:t xml:space="preserve">be challenging to </w:t>
      </w:r>
      <w:r w:rsidR="00AB5DAC" w:rsidRPr="00741D8E">
        <w:rPr>
          <w:b w:val="0"/>
          <w:bCs w:val="0"/>
        </w:rPr>
        <w:t xml:space="preserve">make a blanket </w:t>
      </w:r>
      <w:r w:rsidR="00757725" w:rsidRPr="00741D8E">
        <w:rPr>
          <w:b w:val="0"/>
          <w:bCs w:val="0"/>
        </w:rPr>
        <w:t xml:space="preserve">national </w:t>
      </w:r>
      <w:r w:rsidR="00AB5DAC" w:rsidRPr="00741D8E">
        <w:rPr>
          <w:b w:val="0"/>
          <w:bCs w:val="0"/>
        </w:rPr>
        <w:t>rule</w:t>
      </w:r>
      <w:r w:rsidRPr="00741D8E">
        <w:rPr>
          <w:b w:val="0"/>
          <w:bCs w:val="0"/>
        </w:rPr>
        <w:t xml:space="preserve"> </w:t>
      </w:r>
      <w:r w:rsidR="007305D1" w:rsidRPr="00741D8E">
        <w:rPr>
          <w:b w:val="0"/>
          <w:bCs w:val="0"/>
        </w:rPr>
        <w:t>on this question, so</w:t>
      </w:r>
      <w:r w:rsidRPr="00741D8E">
        <w:rPr>
          <w:b w:val="0"/>
          <w:bCs w:val="0"/>
        </w:rPr>
        <w:t xml:space="preserve"> it can be left to local discretion</w:t>
      </w:r>
      <w:r w:rsidR="007305D1" w:rsidRPr="00741D8E">
        <w:rPr>
          <w:b w:val="0"/>
          <w:bCs w:val="0"/>
        </w:rPr>
        <w:t xml:space="preserve"> to apply reasonably</w:t>
      </w:r>
      <w:r w:rsidR="00A9362D" w:rsidRPr="00741D8E">
        <w:rPr>
          <w:b w:val="0"/>
          <w:bCs w:val="0"/>
        </w:rPr>
        <w:t>. There may be many reasons people do not</w:t>
      </w:r>
      <w:r w:rsidR="00B405E7" w:rsidRPr="00741D8E">
        <w:rPr>
          <w:b w:val="0"/>
          <w:bCs w:val="0"/>
        </w:rPr>
        <w:t xml:space="preserve"> get seen by liaison psychiatry – some may be </w:t>
      </w:r>
      <w:r w:rsidR="003436B0" w:rsidRPr="00741D8E">
        <w:rPr>
          <w:b w:val="0"/>
          <w:bCs w:val="0"/>
        </w:rPr>
        <w:t xml:space="preserve">more </w:t>
      </w:r>
      <w:r w:rsidR="00B405E7" w:rsidRPr="00741D8E">
        <w:rPr>
          <w:b w:val="0"/>
          <w:bCs w:val="0"/>
        </w:rPr>
        <w:t xml:space="preserve">outside the </w:t>
      </w:r>
      <w:r w:rsidR="009114BF" w:rsidRPr="00741D8E">
        <w:rPr>
          <w:b w:val="0"/>
          <w:bCs w:val="0"/>
        </w:rPr>
        <w:t xml:space="preserve">control of services </w:t>
      </w:r>
      <w:r w:rsidR="00171DF4">
        <w:rPr>
          <w:b w:val="0"/>
          <w:bCs w:val="0"/>
        </w:rPr>
        <w:t xml:space="preserve">than </w:t>
      </w:r>
      <w:r w:rsidR="009114BF" w:rsidRPr="00741D8E">
        <w:rPr>
          <w:b w:val="0"/>
          <w:bCs w:val="0"/>
        </w:rPr>
        <w:t>other</w:t>
      </w:r>
      <w:r w:rsidR="007305D1" w:rsidRPr="00741D8E">
        <w:rPr>
          <w:b w:val="0"/>
          <w:bCs w:val="0"/>
        </w:rPr>
        <w:t xml:space="preserve">s. </w:t>
      </w:r>
      <w:r w:rsidR="00171DF4">
        <w:rPr>
          <w:b w:val="0"/>
          <w:bCs w:val="0"/>
        </w:rPr>
        <w:t xml:space="preserve">But in general the denominator will include all received </w:t>
      </w:r>
      <w:proofErr w:type="gramStart"/>
      <w:r w:rsidR="00171DF4">
        <w:rPr>
          <w:b w:val="0"/>
          <w:bCs w:val="0"/>
        </w:rPr>
        <w:t>referrals  -</w:t>
      </w:r>
      <w:proofErr w:type="gramEnd"/>
      <w:r w:rsidR="00171DF4">
        <w:rPr>
          <w:b w:val="0"/>
          <w:bCs w:val="0"/>
        </w:rPr>
        <w:t xml:space="preserve"> the 20% margin is intended to allow for service users refusing assessment or leaving before assessment can be completed.  </w:t>
      </w:r>
    </w:p>
    <w:p w14:paraId="5A72666F" w14:textId="203AD1D2" w:rsidR="004639A2" w:rsidRPr="00741D8E" w:rsidRDefault="004639A2" w:rsidP="004639A2">
      <w:r w:rsidRPr="00741D8E">
        <w:t>If a 'provider' manages more than one LP team, will each team audit a proportion of the 100 per quarter?</w:t>
      </w:r>
    </w:p>
    <w:p w14:paraId="4155F2F6" w14:textId="0A46AA7C" w:rsidR="00757725" w:rsidRPr="00741D8E" w:rsidRDefault="00757725" w:rsidP="004639A2">
      <w:pPr>
        <w:rPr>
          <w:b w:val="0"/>
        </w:rPr>
      </w:pPr>
      <w:r w:rsidRPr="00741D8E">
        <w:rPr>
          <w:b w:val="0"/>
        </w:rPr>
        <w:t xml:space="preserve">Yes, in this case the provider is usually the mental health trust. </w:t>
      </w:r>
      <w:r w:rsidR="004D0E37" w:rsidRPr="00741D8E">
        <w:rPr>
          <w:b w:val="0"/>
        </w:rPr>
        <w:t xml:space="preserve">It is recommended that where there are multiple teams in the MH trust area each </w:t>
      </w:r>
      <w:r w:rsidR="003E156F" w:rsidRPr="00741D8E">
        <w:rPr>
          <w:b w:val="0"/>
        </w:rPr>
        <w:t xml:space="preserve">liaison </w:t>
      </w:r>
      <w:r w:rsidR="004D0E37" w:rsidRPr="00741D8E">
        <w:rPr>
          <w:b w:val="0"/>
        </w:rPr>
        <w:t>team will audit a proportion of the 100 per quarter</w:t>
      </w:r>
      <w:r w:rsidR="003E156F" w:rsidRPr="00741D8E">
        <w:rPr>
          <w:b w:val="0"/>
        </w:rPr>
        <w:t xml:space="preserve"> as a minimum. Where the sites are </w:t>
      </w:r>
      <w:r w:rsidR="00C865BF" w:rsidRPr="00741D8E">
        <w:rPr>
          <w:b w:val="0"/>
        </w:rPr>
        <w:t xml:space="preserve">different sized teams, it is recommended that this is done proportionally to the number of referrals and/or the size of the teams. </w:t>
      </w:r>
    </w:p>
    <w:p w14:paraId="0B903A09" w14:textId="5C9C5A38" w:rsidR="000E21CA" w:rsidRPr="00741D8E" w:rsidRDefault="000E21CA" w:rsidP="004639A2">
      <w:r w:rsidRPr="00741D8E">
        <w:t>Shall we include referrals where self-harm is either a primary and secondary referral reason, or just primary?</w:t>
      </w:r>
    </w:p>
    <w:p w14:paraId="3E7C68F5" w14:textId="0B8912A1" w:rsidR="004D0E37" w:rsidRPr="00741D8E" w:rsidRDefault="004D0E37" w:rsidP="004639A2">
      <w:pPr>
        <w:rPr>
          <w:b w:val="0"/>
          <w:bCs w:val="0"/>
        </w:rPr>
      </w:pPr>
      <w:r w:rsidRPr="00741D8E">
        <w:rPr>
          <w:b w:val="0"/>
          <w:bCs w:val="0"/>
        </w:rPr>
        <w:t xml:space="preserve">All self-harm referrals </w:t>
      </w:r>
      <w:r w:rsidR="005A1E17" w:rsidRPr="00741D8E">
        <w:rPr>
          <w:b w:val="0"/>
          <w:bCs w:val="0"/>
        </w:rPr>
        <w:t>are included in the NICE guidance</w:t>
      </w:r>
      <w:r w:rsidR="00AE7F9E">
        <w:rPr>
          <w:b w:val="0"/>
          <w:bCs w:val="0"/>
        </w:rPr>
        <w:t xml:space="preserve">, we suggest any referral where self-harm is a prominent feature be included as part of </w:t>
      </w:r>
      <w:r w:rsidR="005A1E17" w:rsidRPr="00741D8E">
        <w:rPr>
          <w:b w:val="0"/>
          <w:bCs w:val="0"/>
        </w:rPr>
        <w:t>this CQUIN.</w:t>
      </w:r>
      <w:r w:rsidR="00AE7F9E">
        <w:rPr>
          <w:b w:val="0"/>
          <w:bCs w:val="0"/>
        </w:rPr>
        <w:t xml:space="preserve"> This may include referrals where self-harm is a secondary reason for referral.  </w:t>
      </w:r>
      <w:r w:rsidR="005A1E17" w:rsidRPr="00741D8E">
        <w:rPr>
          <w:b w:val="0"/>
          <w:bCs w:val="0"/>
        </w:rPr>
        <w:t xml:space="preserve"> </w:t>
      </w:r>
      <w:r w:rsidRPr="00741D8E">
        <w:rPr>
          <w:b w:val="0"/>
          <w:bCs w:val="0"/>
        </w:rPr>
        <w:t xml:space="preserve"> </w:t>
      </w:r>
    </w:p>
    <w:p w14:paraId="6942B410" w14:textId="77777777" w:rsidR="004639A2" w:rsidRPr="00E00E66" w:rsidRDefault="004639A2" w:rsidP="004639A2">
      <w:r w:rsidRPr="00741D8E">
        <w:t>Will this CQUIN only being measured on referrals that have perverse outcome on assertive patient finding? It could lead to prioritising referrals over patients missed by ED clinicians</w:t>
      </w:r>
    </w:p>
    <w:p w14:paraId="581DB447" w14:textId="0ADA6DA0" w:rsidR="00043F64" w:rsidRPr="00A93ADF" w:rsidRDefault="008D7971" w:rsidP="00043F64">
      <w:pPr>
        <w:rPr>
          <w:b w:val="0"/>
          <w:bCs w:val="0"/>
        </w:rPr>
      </w:pPr>
      <w:r>
        <w:rPr>
          <w:b w:val="0"/>
          <w:bCs w:val="0"/>
        </w:rPr>
        <w:t>T</w:t>
      </w:r>
      <w:r w:rsidR="00F36CA3">
        <w:rPr>
          <w:b w:val="0"/>
          <w:bCs w:val="0"/>
        </w:rPr>
        <w:t xml:space="preserve">he CQUIN is focussed </w:t>
      </w:r>
      <w:r w:rsidR="00617EEC">
        <w:rPr>
          <w:b w:val="0"/>
          <w:bCs w:val="0"/>
        </w:rPr>
        <w:t xml:space="preserve">only </w:t>
      </w:r>
      <w:r w:rsidR="00F36CA3">
        <w:rPr>
          <w:b w:val="0"/>
          <w:bCs w:val="0"/>
        </w:rPr>
        <w:t>on one particular element of care</w:t>
      </w:r>
      <w:r w:rsidR="00617EEC">
        <w:rPr>
          <w:b w:val="0"/>
          <w:bCs w:val="0"/>
        </w:rPr>
        <w:t>, namely</w:t>
      </w:r>
      <w:r w:rsidR="00F36CA3">
        <w:rPr>
          <w:b w:val="0"/>
          <w:bCs w:val="0"/>
        </w:rPr>
        <w:t xml:space="preserve"> the quality of interventions provided by liaison services</w:t>
      </w:r>
      <w:r w:rsidR="00617EEC">
        <w:rPr>
          <w:b w:val="0"/>
          <w:bCs w:val="0"/>
        </w:rPr>
        <w:t xml:space="preserve">. The CQUIN </w:t>
      </w:r>
      <w:r w:rsidR="008A7CD7">
        <w:rPr>
          <w:b w:val="0"/>
          <w:bCs w:val="0"/>
        </w:rPr>
        <w:t xml:space="preserve">wont address </w:t>
      </w:r>
      <w:r w:rsidR="00617EEC">
        <w:rPr>
          <w:b w:val="0"/>
          <w:bCs w:val="0"/>
        </w:rPr>
        <w:t xml:space="preserve">issues across </w:t>
      </w:r>
      <w:r w:rsidR="008A7CD7">
        <w:rPr>
          <w:b w:val="0"/>
          <w:bCs w:val="0"/>
        </w:rPr>
        <w:t xml:space="preserve">the whole </w:t>
      </w:r>
      <w:r>
        <w:rPr>
          <w:b w:val="0"/>
          <w:bCs w:val="0"/>
        </w:rPr>
        <w:t xml:space="preserve">ED care pathway </w:t>
      </w:r>
      <w:r w:rsidR="00617EEC">
        <w:rPr>
          <w:b w:val="0"/>
          <w:bCs w:val="0"/>
        </w:rPr>
        <w:t>-</w:t>
      </w:r>
      <w:r w:rsidR="00F36CA3">
        <w:rPr>
          <w:b w:val="0"/>
          <w:bCs w:val="0"/>
        </w:rPr>
        <w:t xml:space="preserve"> the CQUIN guidance highlights th</w:t>
      </w:r>
      <w:r w:rsidR="00617EEC">
        <w:rPr>
          <w:b w:val="0"/>
          <w:bCs w:val="0"/>
        </w:rPr>
        <w:t xml:space="preserve">e </w:t>
      </w:r>
      <w:r w:rsidR="00F36CA3">
        <w:rPr>
          <w:b w:val="0"/>
          <w:bCs w:val="0"/>
        </w:rPr>
        <w:t>issue</w:t>
      </w:r>
      <w:r w:rsidR="00617EEC">
        <w:rPr>
          <w:b w:val="0"/>
          <w:bCs w:val="0"/>
        </w:rPr>
        <w:t xml:space="preserve"> raised as one to prioritise, namely that </w:t>
      </w:r>
      <w:r w:rsidR="008A7CD7">
        <w:rPr>
          <w:b w:val="0"/>
          <w:bCs w:val="0"/>
        </w:rPr>
        <w:t xml:space="preserve">liaison teams and ED teams </w:t>
      </w:r>
      <w:r w:rsidR="00617EEC">
        <w:rPr>
          <w:b w:val="0"/>
          <w:bCs w:val="0"/>
        </w:rPr>
        <w:t>should</w:t>
      </w:r>
      <w:r w:rsidR="008A7CD7">
        <w:rPr>
          <w:b w:val="0"/>
          <w:bCs w:val="0"/>
        </w:rPr>
        <w:t xml:space="preserve"> work together </w:t>
      </w:r>
      <w:r w:rsidR="00617EEC">
        <w:rPr>
          <w:b w:val="0"/>
          <w:bCs w:val="0"/>
        </w:rPr>
        <w:t xml:space="preserve">to ensure that </w:t>
      </w:r>
      <w:r w:rsidR="003E156F">
        <w:rPr>
          <w:b w:val="0"/>
          <w:bCs w:val="0"/>
        </w:rPr>
        <w:t xml:space="preserve">all patients are referred (and in a timely manner). </w:t>
      </w:r>
    </w:p>
    <w:p w14:paraId="5A5A7F89" w14:textId="77777777" w:rsidR="00043F64" w:rsidRDefault="00043F64" w:rsidP="00043F64"/>
    <w:p w14:paraId="1966853E" w14:textId="2868A2AF" w:rsidR="00E00E66" w:rsidRPr="00E00E66" w:rsidRDefault="00E00E66" w:rsidP="00E00E66"/>
    <w:sectPr w:rsidR="00E00E66" w:rsidRPr="00E00E66" w:rsidSect="005736A3">
      <w:headerReference w:type="default" r:id="rId28"/>
      <w:footerReference w:type="default" r:id="rId29"/>
      <w:pgSz w:w="11906" w:h="16838"/>
      <w:pgMar w:top="1440" w:right="1440" w:bottom="1440" w:left="1440" w:header="1587"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32074" w14:textId="77777777" w:rsidR="00F23823" w:rsidRDefault="00F23823" w:rsidP="00A91862">
      <w:pPr>
        <w:spacing w:after="0" w:line="240" w:lineRule="auto"/>
      </w:pPr>
      <w:r>
        <w:separator/>
      </w:r>
    </w:p>
  </w:endnote>
  <w:endnote w:type="continuationSeparator" w:id="0">
    <w:p w14:paraId="724582E1" w14:textId="77777777" w:rsidR="00F23823" w:rsidRDefault="00F23823" w:rsidP="00A9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C050E" w14:textId="7BA29BC8" w:rsidR="00A91862" w:rsidRDefault="00A91862" w:rsidP="003229EE">
    <w:pPr>
      <w:pStyle w:val="Footer"/>
      <w:tabs>
        <w:tab w:val="clear" w:pos="9026"/>
      </w:tabs>
    </w:pPr>
    <w:r w:rsidRPr="007D5D82">
      <w:rPr>
        <w:b w:val="0"/>
        <w:noProof/>
        <w:lang w:eastAsia="en-GB"/>
      </w:rPr>
      <w:drawing>
        <wp:anchor distT="0" distB="0" distL="114300" distR="114300" simplePos="0" relativeHeight="251659264" behindDoc="1" locked="0" layoutInCell="1" allowOverlap="1" wp14:anchorId="379F2D21" wp14:editId="4FC642E2">
          <wp:simplePos x="0" y="0"/>
          <wp:positionH relativeFrom="page">
            <wp:align>right</wp:align>
          </wp:positionH>
          <wp:positionV relativeFrom="page">
            <wp:posOffset>10059339</wp:posOffset>
          </wp:positionV>
          <wp:extent cx="7560000" cy="473057"/>
          <wp:effectExtent l="0" t="0" r="0" b="3810"/>
          <wp:wrapNone/>
          <wp:docPr id="16" name="straplin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bottom%20footer%20A4%20FINAL.a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473057"/>
                  </a:xfrm>
                  <a:prstGeom prst="rect">
                    <a:avLst/>
                  </a:prstGeom>
                  <a:noFill/>
                  <a:ln>
                    <a:noFill/>
                  </a:ln>
                </pic:spPr>
              </pic:pic>
            </a:graphicData>
          </a:graphic>
          <wp14:sizeRelH relativeFrom="page">
            <wp14:pctWidth>0</wp14:pctWidth>
          </wp14:sizeRelH>
          <wp14:sizeRelV relativeFrom="page">
            <wp14:pctHeight>0</wp14:pctHeight>
          </wp14:sizeRelV>
        </wp:anchor>
      </w:drawing>
    </w:r>
    <w:r w:rsidR="003229EE">
      <w:tab/>
    </w:r>
    <w:r w:rsidR="003229EE" w:rsidRPr="007D5D82">
      <w:t>NHS England and NHS Improvement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2FAA7" w14:textId="77777777" w:rsidR="00F23823" w:rsidRDefault="00F23823" w:rsidP="00A91862">
      <w:pPr>
        <w:spacing w:after="0" w:line="240" w:lineRule="auto"/>
      </w:pPr>
      <w:r>
        <w:separator/>
      </w:r>
    </w:p>
  </w:footnote>
  <w:footnote w:type="continuationSeparator" w:id="0">
    <w:p w14:paraId="02E0D19A" w14:textId="77777777" w:rsidR="00F23823" w:rsidRDefault="00F23823" w:rsidP="00A91862">
      <w:pPr>
        <w:spacing w:after="0" w:line="240" w:lineRule="auto"/>
      </w:pPr>
      <w:r>
        <w:continuationSeparator/>
      </w:r>
    </w:p>
  </w:footnote>
  <w:footnote w:id="1">
    <w:p w14:paraId="2F36FBF6" w14:textId="29572C41" w:rsidR="00F943CB" w:rsidRDefault="00F943CB">
      <w:pPr>
        <w:pStyle w:val="FootnoteText"/>
      </w:pPr>
      <w:r>
        <w:rPr>
          <w:rStyle w:val="FootnoteReference"/>
        </w:rPr>
        <w:footnoteRef/>
      </w:r>
      <w:r>
        <w:t xml:space="preserve"> </w:t>
      </w:r>
      <w:r w:rsidRPr="00F943CB">
        <w:rPr>
          <w:b w:val="0"/>
          <w:bCs w:val="0"/>
        </w:rPr>
        <w:t>The assessment of clinical risk in mental health services. National Confidential Inquiry into Suicide and Safety in Mental Health (NCISH). The University of Manchester, 2018.  https://sites.manchester.ac.uk/ncish/reports/the-assessment-of-clinical-risk-in-mental-health-services/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val="0"/>
        <w:bCs w:val="0"/>
      </w:rPr>
      <w:id w:val="-1555851220"/>
      <w:docPartObj>
        <w:docPartGallery w:val="Page Numbers (Top of Page)"/>
        <w:docPartUnique/>
      </w:docPartObj>
    </w:sdtPr>
    <w:sdtEndPr>
      <w:rPr>
        <w:noProof/>
      </w:rPr>
    </w:sdtEndPr>
    <w:sdtContent>
      <w:p w14:paraId="76BA5106" w14:textId="34F261E2" w:rsidR="00561FD7" w:rsidRPr="00561FD7" w:rsidRDefault="00561FD7">
        <w:pPr>
          <w:pStyle w:val="Header"/>
          <w:jc w:val="right"/>
          <w:rPr>
            <w:b w:val="0"/>
            <w:bCs w:val="0"/>
          </w:rPr>
        </w:pPr>
        <w:r w:rsidRPr="00561FD7">
          <w:rPr>
            <w:b w:val="0"/>
            <w:bCs w:val="0"/>
          </w:rPr>
          <w:fldChar w:fldCharType="begin"/>
        </w:r>
        <w:r w:rsidRPr="00561FD7">
          <w:rPr>
            <w:b w:val="0"/>
            <w:bCs w:val="0"/>
          </w:rPr>
          <w:instrText xml:space="preserve"> PAGE   \* MERGEFORMAT </w:instrText>
        </w:r>
        <w:r w:rsidRPr="00561FD7">
          <w:rPr>
            <w:b w:val="0"/>
            <w:bCs w:val="0"/>
          </w:rPr>
          <w:fldChar w:fldCharType="separate"/>
        </w:r>
        <w:r w:rsidRPr="00561FD7">
          <w:rPr>
            <w:b w:val="0"/>
            <w:bCs w:val="0"/>
            <w:noProof/>
          </w:rPr>
          <w:t>2</w:t>
        </w:r>
        <w:r w:rsidRPr="00561FD7">
          <w:rPr>
            <w:b w:val="0"/>
            <w:bCs w:val="0"/>
            <w:noProof/>
          </w:rPr>
          <w:fldChar w:fldCharType="end"/>
        </w:r>
      </w:p>
    </w:sdtContent>
  </w:sdt>
  <w:p w14:paraId="20FB5925" w14:textId="2524255E" w:rsidR="00A91862" w:rsidRDefault="00A91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A1233"/>
    <w:multiLevelType w:val="hybridMultilevel"/>
    <w:tmpl w:val="AD2034F6"/>
    <w:lvl w:ilvl="0" w:tplc="55180178">
      <w:start w:val="2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813E1"/>
    <w:multiLevelType w:val="hybridMultilevel"/>
    <w:tmpl w:val="A142C8BA"/>
    <w:lvl w:ilvl="0" w:tplc="08090003">
      <w:start w:val="1"/>
      <w:numFmt w:val="bullet"/>
      <w:lvlText w:val="o"/>
      <w:lvlJc w:val="left"/>
      <w:pPr>
        <w:ind w:left="1080" w:hanging="360"/>
      </w:pPr>
      <w:rPr>
        <w:rFonts w:ascii="Courier New" w:hAnsi="Courier New" w:cs="Courier New" w:hint="default"/>
        <w:sz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2274A0"/>
    <w:multiLevelType w:val="hybridMultilevel"/>
    <w:tmpl w:val="0D280188"/>
    <w:lvl w:ilvl="0" w:tplc="A94E8306">
      <w:start w:val="2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24457"/>
    <w:multiLevelType w:val="hybridMultilevel"/>
    <w:tmpl w:val="0450B540"/>
    <w:lvl w:ilvl="0" w:tplc="79B6C1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03DC9"/>
    <w:multiLevelType w:val="hybridMultilevel"/>
    <w:tmpl w:val="5C0E1208"/>
    <w:lvl w:ilvl="0" w:tplc="235A7A60">
      <w:start w:val="2022"/>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24EC4"/>
    <w:multiLevelType w:val="hybridMultilevel"/>
    <w:tmpl w:val="D1843BB6"/>
    <w:lvl w:ilvl="0" w:tplc="235A7A60">
      <w:start w:val="2022"/>
      <w:numFmt w:val="bullet"/>
      <w:lvlText w:val="-"/>
      <w:lvlJc w:val="left"/>
      <w:pPr>
        <w:ind w:left="1080" w:hanging="360"/>
      </w:pPr>
      <w:rPr>
        <w:rFonts w:ascii="Arial" w:eastAsiaTheme="minorHAnsi" w:hAnsi="Arial" w:cs="Arial" w:hint="default"/>
        <w:sz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6821A05"/>
    <w:multiLevelType w:val="hybridMultilevel"/>
    <w:tmpl w:val="BF64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A028A"/>
    <w:multiLevelType w:val="hybridMultilevel"/>
    <w:tmpl w:val="2C6695AC"/>
    <w:lvl w:ilvl="0" w:tplc="23A02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2B92EF"/>
    <w:multiLevelType w:val="hybridMultilevel"/>
    <w:tmpl w:val="8DF08E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8434F3B"/>
    <w:multiLevelType w:val="hybridMultilevel"/>
    <w:tmpl w:val="05EEC0C6"/>
    <w:lvl w:ilvl="0" w:tplc="EAEE6F56">
      <w:start w:val="2022"/>
      <w:numFmt w:val="bullet"/>
      <w:pStyle w:val="NoSpacing"/>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81261"/>
    <w:multiLevelType w:val="hybridMultilevel"/>
    <w:tmpl w:val="B5C4CC68"/>
    <w:lvl w:ilvl="0" w:tplc="2D4AF0F6">
      <w:start w:val="2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0"/>
  </w:num>
  <w:num w:numId="5">
    <w:abstractNumId w:val="2"/>
  </w:num>
  <w:num w:numId="6">
    <w:abstractNumId w:val="8"/>
  </w:num>
  <w:num w:numId="7">
    <w:abstractNumId w:val="4"/>
  </w:num>
  <w:num w:numId="8">
    <w:abstractNumId w:val="5"/>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E66"/>
    <w:rsid w:val="00006395"/>
    <w:rsid w:val="00016C6F"/>
    <w:rsid w:val="000224A3"/>
    <w:rsid w:val="00026760"/>
    <w:rsid w:val="00043F64"/>
    <w:rsid w:val="00052EE7"/>
    <w:rsid w:val="00055AEC"/>
    <w:rsid w:val="000C18C6"/>
    <w:rsid w:val="000C3329"/>
    <w:rsid w:val="000C7F95"/>
    <w:rsid w:val="000E21CA"/>
    <w:rsid w:val="0015032C"/>
    <w:rsid w:val="00171DF4"/>
    <w:rsid w:val="00174FBA"/>
    <w:rsid w:val="001A0168"/>
    <w:rsid w:val="001B1768"/>
    <w:rsid w:val="001C2BB4"/>
    <w:rsid w:val="001F1293"/>
    <w:rsid w:val="001F4A10"/>
    <w:rsid w:val="00221BC5"/>
    <w:rsid w:val="00224747"/>
    <w:rsid w:val="00234AA9"/>
    <w:rsid w:val="00250403"/>
    <w:rsid w:val="00260D7E"/>
    <w:rsid w:val="00263CC2"/>
    <w:rsid w:val="00290BFA"/>
    <w:rsid w:val="002A47E1"/>
    <w:rsid w:val="002B3A43"/>
    <w:rsid w:val="002B798F"/>
    <w:rsid w:val="002D0B4D"/>
    <w:rsid w:val="002E31D6"/>
    <w:rsid w:val="002E7621"/>
    <w:rsid w:val="002F2A3D"/>
    <w:rsid w:val="00314B5C"/>
    <w:rsid w:val="00321D03"/>
    <w:rsid w:val="003229EE"/>
    <w:rsid w:val="00323F2E"/>
    <w:rsid w:val="00330E07"/>
    <w:rsid w:val="0033620C"/>
    <w:rsid w:val="003436B0"/>
    <w:rsid w:val="00352D13"/>
    <w:rsid w:val="00391A23"/>
    <w:rsid w:val="00397F92"/>
    <w:rsid w:val="003A411C"/>
    <w:rsid w:val="003C3724"/>
    <w:rsid w:val="003E156F"/>
    <w:rsid w:val="00413F2D"/>
    <w:rsid w:val="00416C2E"/>
    <w:rsid w:val="0041790C"/>
    <w:rsid w:val="00430E37"/>
    <w:rsid w:val="004433C4"/>
    <w:rsid w:val="00452EC5"/>
    <w:rsid w:val="00455AE7"/>
    <w:rsid w:val="004639A2"/>
    <w:rsid w:val="004A2FC3"/>
    <w:rsid w:val="004D0E37"/>
    <w:rsid w:val="004E2114"/>
    <w:rsid w:val="004E3F58"/>
    <w:rsid w:val="004F47E3"/>
    <w:rsid w:val="00506338"/>
    <w:rsid w:val="00524D6B"/>
    <w:rsid w:val="005507C6"/>
    <w:rsid w:val="0055080C"/>
    <w:rsid w:val="00561FD7"/>
    <w:rsid w:val="00563B11"/>
    <w:rsid w:val="005736A3"/>
    <w:rsid w:val="00580000"/>
    <w:rsid w:val="0058004B"/>
    <w:rsid w:val="005A1E17"/>
    <w:rsid w:val="005A4EAE"/>
    <w:rsid w:val="005B0792"/>
    <w:rsid w:val="005B7D2F"/>
    <w:rsid w:val="005C6566"/>
    <w:rsid w:val="005F5873"/>
    <w:rsid w:val="00617EEC"/>
    <w:rsid w:val="00623D69"/>
    <w:rsid w:val="00644C43"/>
    <w:rsid w:val="00665824"/>
    <w:rsid w:val="00670B1B"/>
    <w:rsid w:val="00673E43"/>
    <w:rsid w:val="006952B8"/>
    <w:rsid w:val="006A06CA"/>
    <w:rsid w:val="006A0FF1"/>
    <w:rsid w:val="006A7C29"/>
    <w:rsid w:val="006B3B8E"/>
    <w:rsid w:val="006E4788"/>
    <w:rsid w:val="006F4878"/>
    <w:rsid w:val="006F64D4"/>
    <w:rsid w:val="00705B1B"/>
    <w:rsid w:val="007265E8"/>
    <w:rsid w:val="007305D1"/>
    <w:rsid w:val="0073229A"/>
    <w:rsid w:val="00741D8E"/>
    <w:rsid w:val="00743BB5"/>
    <w:rsid w:val="00754FF7"/>
    <w:rsid w:val="00757725"/>
    <w:rsid w:val="00761B75"/>
    <w:rsid w:val="007753E4"/>
    <w:rsid w:val="007A5017"/>
    <w:rsid w:val="007C3074"/>
    <w:rsid w:val="007D62C4"/>
    <w:rsid w:val="007E4B31"/>
    <w:rsid w:val="0082147D"/>
    <w:rsid w:val="0085269F"/>
    <w:rsid w:val="00854A27"/>
    <w:rsid w:val="00860E84"/>
    <w:rsid w:val="008720C8"/>
    <w:rsid w:val="008A0ACB"/>
    <w:rsid w:val="008A0DAD"/>
    <w:rsid w:val="008A1372"/>
    <w:rsid w:val="008A66EA"/>
    <w:rsid w:val="008A7CD7"/>
    <w:rsid w:val="008B6B88"/>
    <w:rsid w:val="008C2FC0"/>
    <w:rsid w:val="008D6C2A"/>
    <w:rsid w:val="008D7971"/>
    <w:rsid w:val="008E76F9"/>
    <w:rsid w:val="008F13EC"/>
    <w:rsid w:val="008F1737"/>
    <w:rsid w:val="0090601C"/>
    <w:rsid w:val="009111AB"/>
    <w:rsid w:val="009114BF"/>
    <w:rsid w:val="00911D99"/>
    <w:rsid w:val="00922B9F"/>
    <w:rsid w:val="00926CA5"/>
    <w:rsid w:val="009318F9"/>
    <w:rsid w:val="0094046A"/>
    <w:rsid w:val="0095036D"/>
    <w:rsid w:val="0096055E"/>
    <w:rsid w:val="009A0DBA"/>
    <w:rsid w:val="009C2BB6"/>
    <w:rsid w:val="009C47F1"/>
    <w:rsid w:val="009F13FA"/>
    <w:rsid w:val="009F20D6"/>
    <w:rsid w:val="00A24CBB"/>
    <w:rsid w:val="00A4227F"/>
    <w:rsid w:val="00A526EE"/>
    <w:rsid w:val="00A55558"/>
    <w:rsid w:val="00A572EB"/>
    <w:rsid w:val="00A74ADC"/>
    <w:rsid w:val="00A8187D"/>
    <w:rsid w:val="00A91862"/>
    <w:rsid w:val="00A9362D"/>
    <w:rsid w:val="00A93ADF"/>
    <w:rsid w:val="00AB27A8"/>
    <w:rsid w:val="00AB5DAC"/>
    <w:rsid w:val="00AC4AC8"/>
    <w:rsid w:val="00AD454B"/>
    <w:rsid w:val="00AE7F9E"/>
    <w:rsid w:val="00AF6480"/>
    <w:rsid w:val="00B34AAE"/>
    <w:rsid w:val="00B405E7"/>
    <w:rsid w:val="00B40DBE"/>
    <w:rsid w:val="00B53F01"/>
    <w:rsid w:val="00B575D0"/>
    <w:rsid w:val="00B64D7E"/>
    <w:rsid w:val="00B77E99"/>
    <w:rsid w:val="00B82627"/>
    <w:rsid w:val="00BC4082"/>
    <w:rsid w:val="00BF11E3"/>
    <w:rsid w:val="00C21950"/>
    <w:rsid w:val="00C21B60"/>
    <w:rsid w:val="00C24021"/>
    <w:rsid w:val="00C52B4F"/>
    <w:rsid w:val="00C54142"/>
    <w:rsid w:val="00C601FD"/>
    <w:rsid w:val="00C82FE3"/>
    <w:rsid w:val="00C865BF"/>
    <w:rsid w:val="00C95BB4"/>
    <w:rsid w:val="00CA5811"/>
    <w:rsid w:val="00CA5E9C"/>
    <w:rsid w:val="00CB6DE1"/>
    <w:rsid w:val="00CD5FE9"/>
    <w:rsid w:val="00CD7860"/>
    <w:rsid w:val="00CE2F6B"/>
    <w:rsid w:val="00D03511"/>
    <w:rsid w:val="00D03F30"/>
    <w:rsid w:val="00D15361"/>
    <w:rsid w:val="00D202C6"/>
    <w:rsid w:val="00D37AEE"/>
    <w:rsid w:val="00D45875"/>
    <w:rsid w:val="00D74D62"/>
    <w:rsid w:val="00D870BF"/>
    <w:rsid w:val="00D91EC0"/>
    <w:rsid w:val="00DA7EDE"/>
    <w:rsid w:val="00DC0EDE"/>
    <w:rsid w:val="00DC65FB"/>
    <w:rsid w:val="00DD7397"/>
    <w:rsid w:val="00DE28F7"/>
    <w:rsid w:val="00E00E66"/>
    <w:rsid w:val="00E029BC"/>
    <w:rsid w:val="00E02B90"/>
    <w:rsid w:val="00E07888"/>
    <w:rsid w:val="00E165D2"/>
    <w:rsid w:val="00E60A64"/>
    <w:rsid w:val="00E81E92"/>
    <w:rsid w:val="00EB20F8"/>
    <w:rsid w:val="00EB6C39"/>
    <w:rsid w:val="00ED549C"/>
    <w:rsid w:val="00EE5DC0"/>
    <w:rsid w:val="00EF6401"/>
    <w:rsid w:val="00F14023"/>
    <w:rsid w:val="00F146C3"/>
    <w:rsid w:val="00F15EA6"/>
    <w:rsid w:val="00F16FEF"/>
    <w:rsid w:val="00F23823"/>
    <w:rsid w:val="00F3598C"/>
    <w:rsid w:val="00F36CA3"/>
    <w:rsid w:val="00F4400E"/>
    <w:rsid w:val="00F477CD"/>
    <w:rsid w:val="00F506CA"/>
    <w:rsid w:val="00F50F7E"/>
    <w:rsid w:val="00F630B6"/>
    <w:rsid w:val="00F653B1"/>
    <w:rsid w:val="00F73FC4"/>
    <w:rsid w:val="00F85605"/>
    <w:rsid w:val="00F90838"/>
    <w:rsid w:val="00F943CB"/>
    <w:rsid w:val="00FC57EF"/>
    <w:rsid w:val="00FF2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F8E0"/>
  <w15:chartTrackingRefBased/>
  <w15:docId w15:val="{E4FC7F78-0736-4325-ADBA-CD456BB5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66"/>
    <w:rPr>
      <w:rFonts w:ascii="Arial" w:hAnsi="Arial" w:cs="Arial"/>
      <w:b/>
      <w:bCs/>
      <w:sz w:val="24"/>
      <w:szCs w:val="24"/>
    </w:rPr>
  </w:style>
  <w:style w:type="paragraph" w:styleId="Heading1">
    <w:name w:val="heading 1"/>
    <w:basedOn w:val="Normal"/>
    <w:next w:val="Normal"/>
    <w:link w:val="Heading1Char"/>
    <w:uiPriority w:val="9"/>
    <w:qFormat/>
    <w:rsid w:val="00043F64"/>
    <w:pPr>
      <w:keepNext/>
      <w:keepLines/>
      <w:spacing w:before="240" w:after="0"/>
      <w:outlineLvl w:val="0"/>
    </w:pPr>
    <w:rPr>
      <w:rFonts w:eastAsia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0E66"/>
    <w:pPr>
      <w:spacing w:after="0" w:line="240" w:lineRule="auto"/>
      <w:contextualSpacing/>
    </w:pPr>
    <w:rPr>
      <w:rFonts w:eastAsiaTheme="majorEastAsia"/>
      <w:b w:val="0"/>
      <w:bCs w:val="0"/>
      <w:color w:val="0070C0"/>
      <w:spacing w:val="-10"/>
      <w:kern w:val="28"/>
      <w:sz w:val="72"/>
      <w:szCs w:val="72"/>
    </w:rPr>
  </w:style>
  <w:style w:type="character" w:customStyle="1" w:styleId="TitleChar">
    <w:name w:val="Title Char"/>
    <w:basedOn w:val="DefaultParagraphFont"/>
    <w:link w:val="Title"/>
    <w:uiPriority w:val="10"/>
    <w:rsid w:val="00E00E66"/>
    <w:rPr>
      <w:rFonts w:ascii="Arial" w:eastAsiaTheme="majorEastAsia" w:hAnsi="Arial" w:cs="Arial"/>
      <w:b/>
      <w:bCs/>
      <w:color w:val="0070C0"/>
      <w:spacing w:val="-10"/>
      <w:kern w:val="28"/>
      <w:sz w:val="72"/>
      <w:szCs w:val="72"/>
    </w:rPr>
  </w:style>
  <w:style w:type="paragraph" w:styleId="ListParagraph">
    <w:name w:val="List Paragraph"/>
    <w:basedOn w:val="Normal"/>
    <w:uiPriority w:val="34"/>
    <w:qFormat/>
    <w:rsid w:val="00E00E66"/>
    <w:pPr>
      <w:ind w:left="720"/>
      <w:contextualSpacing/>
    </w:pPr>
  </w:style>
  <w:style w:type="character" w:customStyle="1" w:styleId="Heading1Char">
    <w:name w:val="Heading 1 Char"/>
    <w:basedOn w:val="DefaultParagraphFont"/>
    <w:link w:val="Heading1"/>
    <w:uiPriority w:val="9"/>
    <w:rsid w:val="00043F64"/>
    <w:rPr>
      <w:rFonts w:ascii="Arial" w:eastAsiaTheme="majorEastAsia" w:hAnsi="Arial" w:cs="Arial"/>
      <w:b/>
      <w:bCs/>
      <w:color w:val="2F5496" w:themeColor="accent1" w:themeShade="BF"/>
      <w:sz w:val="32"/>
      <w:szCs w:val="32"/>
    </w:rPr>
  </w:style>
  <w:style w:type="paragraph" w:customStyle="1" w:styleId="Default">
    <w:name w:val="Default"/>
    <w:rsid w:val="008C2FC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65824"/>
    <w:rPr>
      <w:color w:val="0563C1" w:themeColor="hyperlink"/>
      <w:u w:val="single"/>
    </w:rPr>
  </w:style>
  <w:style w:type="character" w:customStyle="1" w:styleId="UnresolvedMention1">
    <w:name w:val="Unresolved Mention1"/>
    <w:basedOn w:val="DefaultParagraphFont"/>
    <w:uiPriority w:val="99"/>
    <w:semiHidden/>
    <w:unhideWhenUsed/>
    <w:rsid w:val="00665824"/>
    <w:rPr>
      <w:color w:val="605E5C"/>
      <w:shd w:val="clear" w:color="auto" w:fill="E1DFDD"/>
    </w:rPr>
  </w:style>
  <w:style w:type="paragraph" w:customStyle="1" w:styleId="paragraph">
    <w:name w:val="paragraph"/>
    <w:basedOn w:val="Normal"/>
    <w:rsid w:val="00CE2F6B"/>
    <w:pPr>
      <w:spacing w:before="100" w:beforeAutospacing="1" w:after="100" w:afterAutospacing="1" w:line="240" w:lineRule="auto"/>
    </w:pPr>
    <w:rPr>
      <w:rFonts w:ascii="Times New Roman" w:eastAsia="Times New Roman" w:hAnsi="Times New Roman" w:cs="Times New Roman"/>
      <w:b w:val="0"/>
      <w:bCs w:val="0"/>
      <w:lang w:eastAsia="en-GB"/>
    </w:rPr>
  </w:style>
  <w:style w:type="character" w:customStyle="1" w:styleId="normaltextrun">
    <w:name w:val="normaltextrun"/>
    <w:basedOn w:val="DefaultParagraphFont"/>
    <w:rsid w:val="00CE2F6B"/>
  </w:style>
  <w:style w:type="character" w:customStyle="1" w:styleId="eop">
    <w:name w:val="eop"/>
    <w:basedOn w:val="DefaultParagraphFont"/>
    <w:rsid w:val="00CE2F6B"/>
  </w:style>
  <w:style w:type="paragraph" w:styleId="NoSpacing">
    <w:name w:val="No Spacing"/>
    <w:uiPriority w:val="1"/>
    <w:qFormat/>
    <w:rsid w:val="00E165D2"/>
    <w:pPr>
      <w:numPr>
        <w:numId w:val="2"/>
      </w:numPr>
      <w:spacing w:after="0" w:line="240" w:lineRule="auto"/>
    </w:pPr>
    <w:rPr>
      <w:rFonts w:ascii="Arial" w:hAnsi="Arial" w:cs="Arial"/>
      <w:color w:val="000000"/>
      <w:sz w:val="24"/>
      <w:szCs w:val="24"/>
      <w:shd w:val="clear" w:color="auto" w:fill="FFFFFF"/>
    </w:rPr>
  </w:style>
  <w:style w:type="paragraph" w:styleId="BalloonText">
    <w:name w:val="Balloon Text"/>
    <w:basedOn w:val="Normal"/>
    <w:link w:val="BalloonTextChar"/>
    <w:uiPriority w:val="99"/>
    <w:semiHidden/>
    <w:unhideWhenUsed/>
    <w:rsid w:val="00CE2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F6B"/>
    <w:rPr>
      <w:rFonts w:ascii="Segoe UI" w:hAnsi="Segoe UI" w:cs="Segoe UI"/>
      <w:b/>
      <w:bCs/>
      <w:sz w:val="18"/>
      <w:szCs w:val="18"/>
    </w:rPr>
  </w:style>
  <w:style w:type="character" w:styleId="FollowedHyperlink">
    <w:name w:val="FollowedHyperlink"/>
    <w:basedOn w:val="DefaultParagraphFont"/>
    <w:uiPriority w:val="99"/>
    <w:semiHidden/>
    <w:unhideWhenUsed/>
    <w:rsid w:val="00EF6401"/>
    <w:rPr>
      <w:color w:val="954F72" w:themeColor="followedHyperlink"/>
      <w:u w:val="single"/>
    </w:rPr>
  </w:style>
  <w:style w:type="character" w:styleId="CommentReference">
    <w:name w:val="annotation reference"/>
    <w:basedOn w:val="DefaultParagraphFont"/>
    <w:uiPriority w:val="99"/>
    <w:semiHidden/>
    <w:unhideWhenUsed/>
    <w:rsid w:val="00580000"/>
    <w:rPr>
      <w:sz w:val="16"/>
      <w:szCs w:val="16"/>
    </w:rPr>
  </w:style>
  <w:style w:type="paragraph" w:styleId="CommentText">
    <w:name w:val="annotation text"/>
    <w:basedOn w:val="Normal"/>
    <w:link w:val="CommentTextChar"/>
    <w:uiPriority w:val="99"/>
    <w:semiHidden/>
    <w:unhideWhenUsed/>
    <w:rsid w:val="00580000"/>
    <w:pPr>
      <w:spacing w:line="240" w:lineRule="auto"/>
    </w:pPr>
    <w:rPr>
      <w:sz w:val="20"/>
      <w:szCs w:val="20"/>
    </w:rPr>
  </w:style>
  <w:style w:type="character" w:customStyle="1" w:styleId="CommentTextChar">
    <w:name w:val="Comment Text Char"/>
    <w:basedOn w:val="DefaultParagraphFont"/>
    <w:link w:val="CommentText"/>
    <w:uiPriority w:val="99"/>
    <w:semiHidden/>
    <w:rsid w:val="00580000"/>
    <w:rPr>
      <w:rFonts w:ascii="Arial" w:hAnsi="Arial" w:cs="Arial"/>
      <w:b/>
      <w:bCs/>
      <w:sz w:val="20"/>
      <w:szCs w:val="20"/>
    </w:rPr>
  </w:style>
  <w:style w:type="paragraph" w:styleId="CommentSubject">
    <w:name w:val="annotation subject"/>
    <w:basedOn w:val="CommentText"/>
    <w:next w:val="CommentText"/>
    <w:link w:val="CommentSubjectChar"/>
    <w:uiPriority w:val="99"/>
    <w:semiHidden/>
    <w:unhideWhenUsed/>
    <w:rsid w:val="00580000"/>
  </w:style>
  <w:style w:type="character" w:customStyle="1" w:styleId="CommentSubjectChar">
    <w:name w:val="Comment Subject Char"/>
    <w:basedOn w:val="CommentTextChar"/>
    <w:link w:val="CommentSubject"/>
    <w:uiPriority w:val="99"/>
    <w:semiHidden/>
    <w:rsid w:val="00580000"/>
    <w:rPr>
      <w:rFonts w:ascii="Arial" w:hAnsi="Arial" w:cs="Arial"/>
      <w:b/>
      <w:bCs/>
      <w:sz w:val="20"/>
      <w:szCs w:val="20"/>
    </w:rPr>
  </w:style>
  <w:style w:type="paragraph" w:styleId="Header">
    <w:name w:val="header"/>
    <w:basedOn w:val="Normal"/>
    <w:link w:val="HeaderChar"/>
    <w:uiPriority w:val="99"/>
    <w:unhideWhenUsed/>
    <w:rsid w:val="00A91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62"/>
    <w:rPr>
      <w:rFonts w:ascii="Arial" w:hAnsi="Arial" w:cs="Arial"/>
      <w:b/>
      <w:bCs/>
      <w:sz w:val="24"/>
      <w:szCs w:val="24"/>
    </w:rPr>
  </w:style>
  <w:style w:type="paragraph" w:styleId="Footer">
    <w:name w:val="footer"/>
    <w:basedOn w:val="Normal"/>
    <w:link w:val="FooterChar"/>
    <w:uiPriority w:val="99"/>
    <w:unhideWhenUsed/>
    <w:rsid w:val="00A91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62"/>
    <w:rPr>
      <w:rFonts w:ascii="Arial" w:hAnsi="Arial" w:cs="Arial"/>
      <w:b/>
      <w:bCs/>
      <w:sz w:val="24"/>
      <w:szCs w:val="24"/>
    </w:rPr>
  </w:style>
  <w:style w:type="character" w:styleId="UnresolvedMention">
    <w:name w:val="Unresolved Mention"/>
    <w:basedOn w:val="DefaultParagraphFont"/>
    <w:uiPriority w:val="99"/>
    <w:semiHidden/>
    <w:unhideWhenUsed/>
    <w:rsid w:val="00352D13"/>
    <w:rPr>
      <w:color w:val="605E5C"/>
      <w:shd w:val="clear" w:color="auto" w:fill="E1DFDD"/>
    </w:rPr>
  </w:style>
  <w:style w:type="paragraph" w:styleId="FootnoteText">
    <w:name w:val="footnote text"/>
    <w:basedOn w:val="Normal"/>
    <w:link w:val="FootnoteTextChar"/>
    <w:uiPriority w:val="99"/>
    <w:semiHidden/>
    <w:unhideWhenUsed/>
    <w:rsid w:val="00F943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3CB"/>
    <w:rPr>
      <w:rFonts w:ascii="Arial" w:hAnsi="Arial" w:cs="Arial"/>
      <w:b/>
      <w:bCs/>
      <w:sz w:val="20"/>
      <w:szCs w:val="20"/>
    </w:rPr>
  </w:style>
  <w:style w:type="character" w:styleId="FootnoteReference">
    <w:name w:val="footnote reference"/>
    <w:basedOn w:val="DefaultParagraphFont"/>
    <w:uiPriority w:val="99"/>
    <w:semiHidden/>
    <w:unhideWhenUsed/>
    <w:rsid w:val="00F94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9054">
      <w:bodyDiv w:val="1"/>
      <w:marLeft w:val="0"/>
      <w:marRight w:val="0"/>
      <w:marTop w:val="0"/>
      <w:marBottom w:val="0"/>
      <w:divBdr>
        <w:top w:val="none" w:sz="0" w:space="0" w:color="auto"/>
        <w:left w:val="none" w:sz="0" w:space="0" w:color="auto"/>
        <w:bottom w:val="none" w:sz="0" w:space="0" w:color="auto"/>
        <w:right w:val="none" w:sz="0" w:space="0" w:color="auto"/>
      </w:divBdr>
    </w:div>
    <w:div w:id="474295243">
      <w:bodyDiv w:val="1"/>
      <w:marLeft w:val="0"/>
      <w:marRight w:val="0"/>
      <w:marTop w:val="0"/>
      <w:marBottom w:val="0"/>
      <w:divBdr>
        <w:top w:val="none" w:sz="0" w:space="0" w:color="auto"/>
        <w:left w:val="none" w:sz="0" w:space="0" w:color="auto"/>
        <w:bottom w:val="none" w:sz="0" w:space="0" w:color="auto"/>
        <w:right w:val="none" w:sz="0" w:space="0" w:color="auto"/>
      </w:divBdr>
    </w:div>
    <w:div w:id="639186991">
      <w:bodyDiv w:val="1"/>
      <w:marLeft w:val="0"/>
      <w:marRight w:val="0"/>
      <w:marTop w:val="0"/>
      <w:marBottom w:val="0"/>
      <w:divBdr>
        <w:top w:val="none" w:sz="0" w:space="0" w:color="auto"/>
        <w:left w:val="none" w:sz="0" w:space="0" w:color="auto"/>
        <w:bottom w:val="none" w:sz="0" w:space="0" w:color="auto"/>
        <w:right w:val="none" w:sz="0" w:space="0" w:color="auto"/>
      </w:divBdr>
      <w:divsChild>
        <w:div w:id="1860584608">
          <w:marLeft w:val="0"/>
          <w:marRight w:val="0"/>
          <w:marTop w:val="0"/>
          <w:marBottom w:val="0"/>
          <w:divBdr>
            <w:top w:val="none" w:sz="0" w:space="0" w:color="auto"/>
            <w:left w:val="none" w:sz="0" w:space="0" w:color="auto"/>
            <w:bottom w:val="none" w:sz="0" w:space="0" w:color="auto"/>
            <w:right w:val="none" w:sz="0" w:space="0" w:color="auto"/>
          </w:divBdr>
        </w:div>
        <w:div w:id="1181354749">
          <w:marLeft w:val="0"/>
          <w:marRight w:val="0"/>
          <w:marTop w:val="0"/>
          <w:marBottom w:val="0"/>
          <w:divBdr>
            <w:top w:val="none" w:sz="0" w:space="0" w:color="auto"/>
            <w:left w:val="none" w:sz="0" w:space="0" w:color="auto"/>
            <w:bottom w:val="none" w:sz="0" w:space="0" w:color="auto"/>
            <w:right w:val="none" w:sz="0" w:space="0" w:color="auto"/>
          </w:divBdr>
        </w:div>
      </w:divsChild>
    </w:div>
    <w:div w:id="709375799">
      <w:bodyDiv w:val="1"/>
      <w:marLeft w:val="0"/>
      <w:marRight w:val="0"/>
      <w:marTop w:val="0"/>
      <w:marBottom w:val="0"/>
      <w:divBdr>
        <w:top w:val="none" w:sz="0" w:space="0" w:color="auto"/>
        <w:left w:val="none" w:sz="0" w:space="0" w:color="auto"/>
        <w:bottom w:val="none" w:sz="0" w:space="0" w:color="auto"/>
        <w:right w:val="none" w:sz="0" w:space="0" w:color="auto"/>
      </w:divBdr>
    </w:div>
    <w:div w:id="1211720880">
      <w:bodyDiv w:val="1"/>
      <w:marLeft w:val="0"/>
      <w:marRight w:val="0"/>
      <w:marTop w:val="0"/>
      <w:marBottom w:val="0"/>
      <w:divBdr>
        <w:top w:val="none" w:sz="0" w:space="0" w:color="auto"/>
        <w:left w:val="none" w:sz="0" w:space="0" w:color="auto"/>
        <w:bottom w:val="none" w:sz="0" w:space="0" w:color="auto"/>
        <w:right w:val="none" w:sz="0" w:space="0" w:color="auto"/>
      </w:divBdr>
    </w:div>
    <w:div w:id="1484077687">
      <w:bodyDiv w:val="1"/>
      <w:marLeft w:val="0"/>
      <w:marRight w:val="0"/>
      <w:marTop w:val="0"/>
      <w:marBottom w:val="0"/>
      <w:divBdr>
        <w:top w:val="none" w:sz="0" w:space="0" w:color="auto"/>
        <w:left w:val="none" w:sz="0" w:space="0" w:color="auto"/>
        <w:bottom w:val="none" w:sz="0" w:space="0" w:color="auto"/>
        <w:right w:val="none" w:sz="0" w:space="0" w:color="auto"/>
      </w:divBdr>
      <w:divsChild>
        <w:div w:id="1634750450">
          <w:marLeft w:val="0"/>
          <w:marRight w:val="0"/>
          <w:marTop w:val="0"/>
          <w:marBottom w:val="0"/>
          <w:divBdr>
            <w:top w:val="none" w:sz="0" w:space="0" w:color="auto"/>
            <w:left w:val="none" w:sz="0" w:space="0" w:color="auto"/>
            <w:bottom w:val="none" w:sz="0" w:space="0" w:color="auto"/>
            <w:right w:val="none" w:sz="0" w:space="0" w:color="auto"/>
          </w:divBdr>
        </w:div>
      </w:divsChild>
    </w:div>
    <w:div w:id="1598514926">
      <w:bodyDiv w:val="1"/>
      <w:marLeft w:val="0"/>
      <w:marRight w:val="0"/>
      <w:marTop w:val="0"/>
      <w:marBottom w:val="0"/>
      <w:divBdr>
        <w:top w:val="none" w:sz="0" w:space="0" w:color="auto"/>
        <w:left w:val="none" w:sz="0" w:space="0" w:color="auto"/>
        <w:bottom w:val="none" w:sz="0" w:space="0" w:color="auto"/>
        <w:right w:val="none" w:sz="0" w:space="0" w:color="auto"/>
      </w:divBdr>
    </w:div>
    <w:div w:id="1690259409">
      <w:bodyDiv w:val="1"/>
      <w:marLeft w:val="0"/>
      <w:marRight w:val="0"/>
      <w:marTop w:val="0"/>
      <w:marBottom w:val="0"/>
      <w:divBdr>
        <w:top w:val="none" w:sz="0" w:space="0" w:color="auto"/>
        <w:left w:val="none" w:sz="0" w:space="0" w:color="auto"/>
        <w:bottom w:val="none" w:sz="0" w:space="0" w:color="auto"/>
        <w:right w:val="none" w:sz="0" w:space="0" w:color="auto"/>
      </w:divBdr>
    </w:div>
    <w:div w:id="19720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cg136/chapter/1-Guidance" TargetMode="External"/><Relationship Id="rId18" Type="http://schemas.openxmlformats.org/officeDocument/2006/relationships/hyperlink" Target="https://future.nhs.uk/MHCQUIN/view?objectId=33151312" TargetMode="External"/><Relationship Id="rId26" Type="http://schemas.openxmlformats.org/officeDocument/2006/relationships/hyperlink" Target="https://www.nice.org.uk/guidance/cg133" TargetMode="External"/><Relationship Id="rId3" Type="http://schemas.openxmlformats.org/officeDocument/2006/relationships/customXml" Target="../customXml/item3.xml"/><Relationship Id="rId21" Type="http://schemas.openxmlformats.org/officeDocument/2006/relationships/hyperlink" Target="https://www.england.nhs.uk/publication/combined-ccg-icb-and-pss-commissioning-for-quality-and-innovation-cquin-guidance/" TargetMode="External"/><Relationship Id="rId7" Type="http://schemas.openxmlformats.org/officeDocument/2006/relationships/settings" Target="settings.xml"/><Relationship Id="rId12" Type="http://schemas.openxmlformats.org/officeDocument/2006/relationships/hyperlink" Target="https://future.nhs.uk/MHCQUIN/view?objectID=33191024" TargetMode="External"/><Relationship Id="rId17" Type="http://schemas.openxmlformats.org/officeDocument/2006/relationships/hyperlink" Target="https://future.nhs.uk/MHCQUIN/view?objectID=33191024" TargetMode="External"/><Relationship Id="rId25" Type="http://schemas.openxmlformats.org/officeDocument/2006/relationships/hyperlink" Target="https://www.england.nhs.uk/publication/combined-ccg-icb-and-pss-commissioning-for-quality-and-innovation-cquin-indicator-specification/" TargetMode="External"/><Relationship Id="rId2" Type="http://schemas.openxmlformats.org/officeDocument/2006/relationships/customXml" Target="../customXml/item2.xml"/><Relationship Id="rId16" Type="http://schemas.openxmlformats.org/officeDocument/2006/relationships/hyperlink" Target="https://future.nhs.uk/MHCQUIN/viewdocument?docid=130560357" TargetMode="External"/><Relationship Id="rId20" Type="http://schemas.openxmlformats.org/officeDocument/2006/relationships/hyperlink" Target="https://future.nhs.uk/MHCQUIN/view?objectId=331513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cg133/chapter/1-guidance" TargetMode="External"/><Relationship Id="rId24" Type="http://schemas.openxmlformats.org/officeDocument/2006/relationships/hyperlink" Target="https://future.nhs.uk/MHCQUIN/view?objectID=33191024" TargetMode="External"/><Relationship Id="rId5" Type="http://schemas.openxmlformats.org/officeDocument/2006/relationships/numbering" Target="numbering.xml"/><Relationship Id="rId15" Type="http://schemas.openxmlformats.org/officeDocument/2006/relationships/hyperlink" Target="https://www.england.nhs.uk/publication/combined-ccg-icb-and-pss-commissioning-for-quality-and-innovation-cquin-indicator-specification/" TargetMode="External"/><Relationship Id="rId23" Type="http://schemas.openxmlformats.org/officeDocument/2006/relationships/hyperlink" Target="https://future.nhs.uk/MHCQUIN/viewdocument?docid=130560357"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uture.nhs.uk/MHCQUIN/view?objectId=3315131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qs14" TargetMode="External"/><Relationship Id="rId22" Type="http://schemas.openxmlformats.org/officeDocument/2006/relationships/hyperlink" Target="https://www.england.nhs.uk/publication/combined-ccg-icb-and-pss-commissioning-for-quality-and-innovation-cquin-indicator-specification/" TargetMode="External"/><Relationship Id="rId27" Type="http://schemas.openxmlformats.org/officeDocument/2006/relationships/hyperlink" Target="https://cks.nice.org.uk/topics/self-harm/background-information/definition/"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0dfbdfbb-daf3-4dfc-a880-f4c305ebc4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97009D167F4F4783A263AA59D50693" ma:contentTypeVersion="43" ma:contentTypeDescription="Create a new document." ma:contentTypeScope="" ma:versionID="b858d350a6e9a578a361c509ec07b181">
  <xsd:schema xmlns:xsd="http://www.w3.org/2001/XMLSchema" xmlns:xs="http://www.w3.org/2001/XMLSchema" xmlns:p="http://schemas.microsoft.com/office/2006/metadata/properties" xmlns:ns1="http://schemas.microsoft.com/sharepoint/v3" xmlns:ns2="0dfbdfbb-daf3-4dfc-a880-f4c305ebc41b" xmlns:ns3="bc83e312-1fd5-438f-8523-1bb7cb9fc612" targetNamespace="http://schemas.microsoft.com/office/2006/metadata/properties" ma:root="true" ma:fieldsID="94097c274c7bea29c5bb1d22d7f461e9" ns1:_="" ns2:_="" ns3:_="">
    <xsd:import namespace="http://schemas.microsoft.com/sharepoint/v3"/>
    <xsd:import namespace="0dfbdfbb-daf3-4dfc-a880-f4c305ebc41b"/>
    <xsd:import namespace="bc83e312-1fd5-438f-8523-1bb7cb9fc612"/>
    <xsd:element name="properties">
      <xsd:complexType>
        <xsd:sequence>
          <xsd:element name="documentManagement">
            <xsd:complexType>
              <xsd:all>
                <xsd:element ref="ns1:_ip_UnifiedCompliancePolicyProperties" minOccurs="0"/>
                <xsd:element ref="ns1:_ip_UnifiedCompliancePolicyUIAction" minOccurs="0"/>
                <xsd:element ref="ns2:Review_x0020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bdfbb-daf3-4dfc-a880-f4c305ebc41b" elementFormDefault="qualified">
    <xsd:import namespace="http://schemas.microsoft.com/office/2006/documentManagement/types"/>
    <xsd:import namespace="http://schemas.microsoft.com/office/infopath/2007/PartnerControls"/>
    <xsd:element name="Review_x0020_Date" ma:index="10" nillable="true" ma:displayName="Review date" ma:indexed="true" ma:internalName="Review_x0020_Dat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3e312-1fd5-438f-8523-1bb7cb9fc61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1A44F-F4D2-BB4F-B086-0A7DCAAB1D4C}">
  <ds:schemaRefs>
    <ds:schemaRef ds:uri="http://schemas.openxmlformats.org/officeDocument/2006/bibliography"/>
  </ds:schemaRefs>
</ds:datastoreItem>
</file>

<file path=customXml/itemProps2.xml><?xml version="1.0" encoding="utf-8"?>
<ds:datastoreItem xmlns:ds="http://schemas.openxmlformats.org/officeDocument/2006/customXml" ds:itemID="{327B4802-8C60-46C5-A818-048841599F51}">
  <ds:schemaRefs>
    <ds:schemaRef ds:uri="http://purl.org/dc/terms/"/>
    <ds:schemaRef ds:uri="http://schemas.microsoft.com/office/2006/documentManagement/types"/>
    <ds:schemaRef ds:uri="http://purl.org/dc/dcmitype/"/>
    <ds:schemaRef ds:uri="http://schemas.microsoft.com/office/infopath/2007/PartnerControls"/>
    <ds:schemaRef ds:uri="0dfbdfbb-daf3-4dfc-a880-f4c305ebc41b"/>
    <ds:schemaRef ds:uri="http://purl.org/dc/elements/1.1/"/>
    <ds:schemaRef ds:uri="http://schemas.microsoft.com/office/2006/metadata/properties"/>
    <ds:schemaRef ds:uri="http://schemas.microsoft.com/sharepoint/v3"/>
    <ds:schemaRef ds:uri="bc83e312-1fd5-438f-8523-1bb7cb9fc612"/>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3E311D3-7A7A-4535-8D93-DE87A55B0AA3}">
  <ds:schemaRefs>
    <ds:schemaRef ds:uri="http://schemas.microsoft.com/sharepoint/v3/contenttype/forms"/>
  </ds:schemaRefs>
</ds:datastoreItem>
</file>

<file path=customXml/itemProps4.xml><?xml version="1.0" encoding="utf-8"?>
<ds:datastoreItem xmlns:ds="http://schemas.openxmlformats.org/officeDocument/2006/customXml" ds:itemID="{93F8E867-DAAC-41A0-AA72-79AB6037C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fbdfbb-daf3-4dfc-a880-f4c305ebc41b"/>
    <ds:schemaRef ds:uri="bc83e312-1fd5-438f-8523-1bb7cb9fc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3239</Words>
  <Characters>18465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21661</CharactersWithSpaces>
  <SharedDoc>false</SharedDoc>
  <HLinks>
    <vt:vector size="48" baseType="variant">
      <vt:variant>
        <vt:i4>8061055</vt:i4>
      </vt:variant>
      <vt:variant>
        <vt:i4>21</vt:i4>
      </vt:variant>
      <vt:variant>
        <vt:i4>0</vt:i4>
      </vt:variant>
      <vt:variant>
        <vt:i4>5</vt:i4>
      </vt:variant>
      <vt:variant>
        <vt:lpwstr>https://www.england.nhs.uk/publication/combined-ccg-icb-and-pss-commissioning-for-quality-and-innovation-cquin-indicator-specification/</vt:lpwstr>
      </vt:variant>
      <vt:variant>
        <vt:lpwstr/>
      </vt:variant>
      <vt:variant>
        <vt:i4>4194380</vt:i4>
      </vt:variant>
      <vt:variant>
        <vt:i4>18</vt:i4>
      </vt:variant>
      <vt:variant>
        <vt:i4>0</vt:i4>
      </vt:variant>
      <vt:variant>
        <vt:i4>5</vt:i4>
      </vt:variant>
      <vt:variant>
        <vt:lpwstr>https://www.england.nhs.uk/publication/combined-ccg-icb-and-pss-commissioning-for-quality-and-innovation-cquin-guidance/</vt:lpwstr>
      </vt:variant>
      <vt:variant>
        <vt:lpwstr/>
      </vt:variant>
      <vt:variant>
        <vt:i4>4653071</vt:i4>
      </vt:variant>
      <vt:variant>
        <vt:i4>15</vt:i4>
      </vt:variant>
      <vt:variant>
        <vt:i4>0</vt:i4>
      </vt:variant>
      <vt:variant>
        <vt:i4>5</vt:i4>
      </vt:variant>
      <vt:variant>
        <vt:lpwstr>https://future.nhs.uk/MHCQUIN/view?objectId=33151312</vt:lpwstr>
      </vt:variant>
      <vt:variant>
        <vt:lpwstr/>
      </vt:variant>
      <vt:variant>
        <vt:i4>4653071</vt:i4>
      </vt:variant>
      <vt:variant>
        <vt:i4>12</vt:i4>
      </vt:variant>
      <vt:variant>
        <vt:i4>0</vt:i4>
      </vt:variant>
      <vt:variant>
        <vt:i4>5</vt:i4>
      </vt:variant>
      <vt:variant>
        <vt:lpwstr>https://future.nhs.uk/MHCQUIN/view?objectId=33151312</vt:lpwstr>
      </vt:variant>
      <vt:variant>
        <vt:lpwstr/>
      </vt:variant>
      <vt:variant>
        <vt:i4>4653071</vt:i4>
      </vt:variant>
      <vt:variant>
        <vt:i4>9</vt:i4>
      </vt:variant>
      <vt:variant>
        <vt:i4>0</vt:i4>
      </vt:variant>
      <vt:variant>
        <vt:i4>5</vt:i4>
      </vt:variant>
      <vt:variant>
        <vt:lpwstr>https://future.nhs.uk/MHCQUIN/view?objectId=33151312</vt:lpwstr>
      </vt:variant>
      <vt:variant>
        <vt:lpwstr/>
      </vt:variant>
      <vt:variant>
        <vt:i4>5308440</vt:i4>
      </vt:variant>
      <vt:variant>
        <vt:i4>6</vt:i4>
      </vt:variant>
      <vt:variant>
        <vt:i4>0</vt:i4>
      </vt:variant>
      <vt:variant>
        <vt:i4>5</vt:i4>
      </vt:variant>
      <vt:variant>
        <vt:lpwstr>https://www.england.nhs.uk/wp-content/uploads/201https:/www.england.nhs.uk/wp-content/uploads/2016/11/lmhs-guidance.pdf6/11/lmhs-guidance.pdf</vt:lpwstr>
      </vt:variant>
      <vt:variant>
        <vt:lpwstr/>
      </vt:variant>
      <vt:variant>
        <vt:i4>4980740</vt:i4>
      </vt:variant>
      <vt:variant>
        <vt:i4>3</vt:i4>
      </vt:variant>
      <vt:variant>
        <vt:i4>0</vt:i4>
      </vt:variant>
      <vt:variant>
        <vt:i4>5</vt:i4>
      </vt:variant>
      <vt:variant>
        <vt:lpwstr>https://www.nice.org.uk/guidance/qs14</vt:lpwstr>
      </vt:variant>
      <vt:variant>
        <vt:lpwstr/>
      </vt:variant>
      <vt:variant>
        <vt:i4>6684790</vt:i4>
      </vt:variant>
      <vt:variant>
        <vt:i4>0</vt:i4>
      </vt:variant>
      <vt:variant>
        <vt:i4>0</vt:i4>
      </vt:variant>
      <vt:variant>
        <vt:i4>5</vt:i4>
      </vt:variant>
      <vt:variant>
        <vt:lpwstr>https://www.nice.org.uk/guidance/cg136/chapter/1-Guidance</vt:lpwstr>
      </vt:variant>
      <vt:variant>
        <vt:lpwstr>assessment-and-referral-in-a-crisis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Melbourne</dc:creator>
  <cp:keywords/>
  <dc:description/>
  <cp:lastModifiedBy>Silvia Davey</cp:lastModifiedBy>
  <cp:revision>25</cp:revision>
  <dcterms:created xsi:type="dcterms:W3CDTF">2022-04-06T17:48:00Z</dcterms:created>
  <dcterms:modified xsi:type="dcterms:W3CDTF">2022-04-11T18:16:00Z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0x010100AC97009D167F4F4783A263AA59D50693</vt:lpwstr>
  </property>
</Properties>
</file>