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E3D8" w14:textId="77777777" w:rsidR="002D33D0" w:rsidRDefault="002D33D0" w:rsidP="002D33D0">
      <w:pPr>
        <w:spacing w:after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88970E" wp14:editId="7417CF5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A37501D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AB6C7B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EB378F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05A80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74E402D" w14:textId="604083C9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 University of Manchester Global Futures Scholarship Eligibility and Application Criteria – 202</w:t>
      </w:r>
      <w:r w:rsidR="00106B4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B91CD6">
        <w:rPr>
          <w:rFonts w:asciiTheme="minorHAnsi" w:hAnsiTheme="minorHAnsi" w:cstheme="minorHAnsi"/>
          <w:b/>
          <w:bCs/>
          <w:sz w:val="22"/>
          <w:szCs w:val="22"/>
        </w:rPr>
        <w:t>awards</w:t>
      </w:r>
      <w:r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39BBE3" w14:textId="77777777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D35958" w14:textId="5BEED7A6" w:rsidR="002D33D0" w:rsidRDefault="0029622C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UAE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 – </w:t>
      </w:r>
      <w:r w:rsidR="002D33D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Undergraduate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Scholarships </w:t>
      </w:r>
      <w:r w:rsidR="002D33D0"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C8F396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C237980" w14:textId="044FE995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A total of </w:t>
      </w:r>
      <w:r w:rsidR="00106B40">
        <w:rPr>
          <w:rStyle w:val="eop"/>
          <w:rFonts w:asciiTheme="minorHAnsi" w:hAnsiTheme="minorHAnsi" w:cstheme="minorHAnsi"/>
          <w:sz w:val="22"/>
          <w:szCs w:val="22"/>
        </w:rPr>
        <w:t xml:space="preserve">7 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awards of £5,000 are available </w:t>
      </w:r>
      <w:r w:rsidRPr="008B30C8">
        <w:rPr>
          <w:rStyle w:val="normaltextrun"/>
          <w:rFonts w:ascii="Calibri" w:hAnsi="Calibri" w:cs="Calibri"/>
          <w:sz w:val="22"/>
          <w:szCs w:val="22"/>
        </w:rPr>
        <w:t>continuing with £5,000 for year 2</w:t>
      </w:r>
      <w:r w:rsidR="00106B40">
        <w:rPr>
          <w:rStyle w:val="normaltextrun"/>
          <w:rFonts w:ascii="Calibri" w:hAnsi="Calibri" w:cs="Calibri"/>
          <w:sz w:val="22"/>
          <w:szCs w:val="22"/>
        </w:rPr>
        <w:t xml:space="preserve"> and year 3</w:t>
      </w:r>
      <w:r w:rsidRPr="008B30C8">
        <w:rPr>
          <w:rStyle w:val="normaltextrun"/>
          <w:rFonts w:ascii="Calibri" w:hAnsi="Calibri" w:cs="Calibri"/>
          <w:sz w:val="22"/>
          <w:szCs w:val="22"/>
        </w:rPr>
        <w:t xml:space="preserve"> subject to attainment of 60% average in </w:t>
      </w:r>
      <w:r w:rsidR="00106B40">
        <w:rPr>
          <w:rStyle w:val="normaltextrun"/>
          <w:rFonts w:ascii="Calibri" w:hAnsi="Calibri" w:cs="Calibri"/>
          <w:sz w:val="22"/>
          <w:szCs w:val="22"/>
        </w:rPr>
        <w:t>each year</w:t>
      </w:r>
      <w:r w:rsidRPr="008B30C8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2A3D3E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C5F9D3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0D0B940D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7A3BB067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 xml:space="preserve">Applicants will only be considered for these awards if they are domiciled in </w:t>
      </w:r>
      <w:r w:rsidR="0029622C">
        <w:rPr>
          <w:rStyle w:val="normaltextrun"/>
          <w:rFonts w:asciiTheme="minorHAnsi" w:hAnsiTheme="minorHAnsi" w:cstheme="minorHAnsi"/>
          <w:sz w:val="22"/>
          <w:szCs w:val="22"/>
        </w:rPr>
        <w:t>the United Arab Emirates</w:t>
      </w:r>
      <w:r w:rsidR="00EE2E8A">
        <w:rPr>
          <w:rStyle w:val="normaltextrun"/>
          <w:rFonts w:asciiTheme="minorHAnsi" w:hAnsiTheme="minorHAnsi" w:cstheme="minorHAnsi"/>
          <w:sz w:val="22"/>
          <w:szCs w:val="22"/>
        </w:rPr>
        <w:t xml:space="preserve"> (UAE)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. </w:t>
      </w:r>
      <w:r w:rsidR="007A5064" w:rsidRPr="006F21D5">
        <w:rPr>
          <w:rStyle w:val="normaltextrun"/>
          <w:rFonts w:asciiTheme="minorHAnsi" w:hAnsiTheme="minorHAnsi" w:cstheme="minorHAnsi"/>
          <w:sz w:val="22"/>
          <w:szCs w:val="22"/>
        </w:rPr>
        <w:t>To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 xml:space="preserve"> be considered </w:t>
      </w:r>
      <w:r w:rsidR="007A5064">
        <w:rPr>
          <w:rStyle w:val="normaltextrun"/>
          <w:rFonts w:asciiTheme="minorHAnsi" w:hAnsiTheme="minorHAnsi" w:cstheme="minorHAnsi"/>
          <w:sz w:val="22"/>
          <w:szCs w:val="22"/>
        </w:rPr>
        <w:t xml:space="preserve">as 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 xml:space="preserve">domiciled in </w:t>
      </w:r>
      <w:r w:rsidR="0029622C">
        <w:rPr>
          <w:rStyle w:val="normaltextrun"/>
          <w:rFonts w:asciiTheme="minorHAnsi" w:hAnsiTheme="minorHAnsi" w:cstheme="minorHAnsi"/>
          <w:sz w:val="22"/>
          <w:szCs w:val="22"/>
        </w:rPr>
        <w:t>the country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 applicants must have predominantly resided there during the last three years. </w:t>
      </w:r>
    </w:p>
    <w:p w14:paraId="0E27B00A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2F8C00F2" w:rsidR="002D33D0" w:rsidRPr="006F21D5" w:rsidRDefault="002D33D0" w:rsidP="3DBCD17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no fixed </w:t>
      </w:r>
      <w:r w:rsidR="2BEB6E56" w:rsidRPr="3DBCD17D">
        <w:rPr>
          <w:rStyle w:val="normaltextrun"/>
          <w:rFonts w:asciiTheme="minorHAnsi" w:hAnsiTheme="minorHAnsi" w:cstheme="minorBidi"/>
          <w:sz w:val="22"/>
          <w:szCs w:val="22"/>
        </w:rPr>
        <w:t>number of awards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 by </w:t>
      </w:r>
      <w:r w:rsidR="00EE2E8A">
        <w:rPr>
          <w:rStyle w:val="normaltextrun"/>
          <w:rFonts w:asciiTheme="minorHAnsi" w:hAnsiTheme="minorHAnsi" w:cstheme="minorBidi"/>
          <w:sz w:val="22"/>
          <w:szCs w:val="22"/>
        </w:rPr>
        <w:t>nationality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3DBCD17D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061E4C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C8B0A7" w14:textId="371CC2BF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Applications for the scholarship should be submitted on the dedicated online form by </w:t>
      </w:r>
      <w:r w:rsidR="00106B40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19 </w:t>
      </w:r>
      <w:r w:rsidRPr="004E2E3F">
        <w:rPr>
          <w:rStyle w:val="normaltextrun"/>
          <w:rFonts w:ascii="Calibri" w:hAnsi="Calibri" w:cs="Calibri"/>
          <w:b/>
          <w:bCs/>
          <w:sz w:val="22"/>
          <w:szCs w:val="22"/>
        </w:rPr>
        <w:t>May 202</w:t>
      </w:r>
      <w:r w:rsidR="007809A8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Pr="3DBCD17D">
        <w:rPr>
          <w:rStyle w:val="normaltextrun"/>
          <w:rFonts w:ascii="Calibri" w:hAnsi="Calibri" w:cs="Calibri"/>
          <w:sz w:val="22"/>
          <w:szCs w:val="22"/>
        </w:rPr>
        <w:t>. The form will be emailed to relevant offer holders</w:t>
      </w:r>
    </w:p>
    <w:p w14:paraId="78829900" w14:textId="0B88A72A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Candidates must hold an offer to study on a U</w:t>
      </w:r>
      <w:r w:rsidR="4E4DFD74" w:rsidRPr="3DBCD17D">
        <w:rPr>
          <w:rStyle w:val="normaltextrun"/>
          <w:rFonts w:ascii="Calibri" w:hAnsi="Calibri" w:cs="Calibri"/>
          <w:sz w:val="22"/>
          <w:szCs w:val="22"/>
        </w:rPr>
        <w:t>niversity of Manchester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programme other than Medicine (MBChB) Dentistry (BDS) or Architecture which are not included in this award scheme</w:t>
      </w:r>
      <w:r w:rsidR="004E2E3F">
        <w:rPr>
          <w:rStyle w:val="normaltextrun"/>
          <w:rFonts w:ascii="Calibri" w:hAnsi="Calibri" w:cs="Calibri"/>
          <w:sz w:val="22"/>
          <w:szCs w:val="22"/>
        </w:rPr>
        <w:t>.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2FB66161" w14:textId="6C29A3A8" w:rsidR="00790583" w:rsidRPr="004E2E3F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awards are only open to candidates </w:t>
      </w:r>
      <w:r w:rsidR="00790583">
        <w:rPr>
          <w:rStyle w:val="normaltextrun"/>
          <w:rFonts w:ascii="Calibri" w:hAnsi="Calibri" w:cs="Calibri"/>
          <w:sz w:val="22"/>
          <w:szCs w:val="22"/>
        </w:rPr>
        <w:t>applying for direct Year 1 Entry</w:t>
      </w:r>
      <w:r w:rsidR="00EE2E8A">
        <w:rPr>
          <w:rStyle w:val="normaltextrun"/>
          <w:rFonts w:ascii="Calibri" w:hAnsi="Calibri" w:cs="Calibri"/>
          <w:sz w:val="22"/>
          <w:szCs w:val="22"/>
        </w:rPr>
        <w:t xml:space="preserve">; candidates for Foundation Year entry are not eligible for this award.  Candidates applying for direct Year 1 entry must 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have or </w:t>
      </w:r>
      <w:r w:rsidR="00EE2E8A">
        <w:rPr>
          <w:rStyle w:val="normaltextrun"/>
          <w:rFonts w:ascii="Calibri" w:hAnsi="Calibri" w:cs="Calibri"/>
          <w:sz w:val="22"/>
          <w:szCs w:val="22"/>
        </w:rPr>
        <w:t>be</w:t>
      </w:r>
      <w:r w:rsidR="00EE2E8A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3DBCD17D">
        <w:rPr>
          <w:rStyle w:val="normaltextrun"/>
          <w:rFonts w:ascii="Calibri" w:hAnsi="Calibri" w:cs="Calibri"/>
          <w:sz w:val="22"/>
          <w:szCs w:val="22"/>
        </w:rPr>
        <w:t>working towards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E2E8A">
        <w:rPr>
          <w:rStyle w:val="normaltextrun"/>
          <w:rFonts w:ascii="Calibri" w:hAnsi="Calibri" w:cs="Calibri"/>
          <w:sz w:val="22"/>
          <w:szCs w:val="22"/>
        </w:rPr>
        <w:t xml:space="preserve">attaining appropriate results in either 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of the following </w:t>
      </w:r>
      <w:r w:rsidR="004E2E3F">
        <w:rPr>
          <w:rStyle w:val="normaltextrun"/>
          <w:rFonts w:ascii="Calibri" w:hAnsi="Calibri" w:cs="Calibri"/>
          <w:sz w:val="22"/>
          <w:szCs w:val="22"/>
        </w:rPr>
        <w:t>qualifications</w:t>
      </w:r>
      <w:r w:rsidR="00EE2E8A">
        <w:rPr>
          <w:rStyle w:val="normaltextrun"/>
          <w:rFonts w:ascii="Calibri" w:hAnsi="Calibri" w:cs="Calibri"/>
          <w:sz w:val="22"/>
          <w:szCs w:val="22"/>
        </w:rPr>
        <w:t>, as required for their chosen programme of study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: </w:t>
      </w:r>
    </w:p>
    <w:p w14:paraId="00C520D6" w14:textId="6E3303FB" w:rsidR="00790583" w:rsidRPr="004E2E3F" w:rsidRDefault="002D33D0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="004E2E3F">
        <w:rPr>
          <w:rStyle w:val="normaltextrun"/>
          <w:rFonts w:ascii="Calibri" w:hAnsi="Calibri" w:cs="Calibri"/>
          <w:sz w:val="22"/>
          <w:szCs w:val="22"/>
        </w:rPr>
        <w:t>L</w:t>
      </w:r>
      <w:r w:rsidRPr="3DBCD17D">
        <w:rPr>
          <w:rStyle w:val="normaltextrun"/>
          <w:rFonts w:ascii="Calibri" w:hAnsi="Calibri" w:cs="Calibri"/>
          <w:sz w:val="22"/>
          <w:szCs w:val="22"/>
        </w:rPr>
        <w:t>evels</w:t>
      </w:r>
    </w:p>
    <w:p w14:paraId="690C350B" w14:textId="4934B8D8" w:rsidR="002D33D0" w:rsidRPr="004E2E3F" w:rsidRDefault="00790583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IB Diploma </w:t>
      </w:r>
      <w:r w:rsidR="002D33D0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4B740C0C" w14:textId="4AC2CEAC" w:rsidR="00790583" w:rsidRPr="00106B40" w:rsidRDefault="0029622C" w:rsidP="004E2E3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Indian Standard XII (C</w:t>
      </w:r>
      <w:r w:rsidRPr="0029622C">
        <w:rPr>
          <w:rStyle w:val="normaltextrun"/>
          <w:rFonts w:ascii="Calibri" w:hAnsi="Calibri" w:cs="Calibri"/>
          <w:sz w:val="22"/>
          <w:szCs w:val="22"/>
        </w:rPr>
        <w:t>BSE, CISCE, Maharashtra, West Bengal, Tamil Nadu, Karnataka and Gujarat boards only</w:t>
      </w:r>
      <w:r>
        <w:rPr>
          <w:rStyle w:val="normaltextrun"/>
          <w:rFonts w:ascii="Calibri" w:hAnsi="Calibri" w:cs="Calibri"/>
          <w:sz w:val="22"/>
          <w:szCs w:val="22"/>
        </w:rPr>
        <w:t>)</w:t>
      </w:r>
    </w:p>
    <w:p w14:paraId="513D4225" w14:textId="605AE4B2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Applicants must have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indicated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Manchester as their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Firm</w:t>
      </w:r>
      <w:r w:rsidR="00E87FC7"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UCAS choice by </w:t>
      </w:r>
      <w:r w:rsidR="00106B40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19</w:t>
      </w:r>
      <w:r w:rsidR="0079058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May 202</w:t>
      </w:r>
      <w:r w:rsidR="007809A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Pr="3DBCD17D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A9AFA37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Eligibility is based on domicile (rather than nationality);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11FCD998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classified as 'international' for tuition fee purposes;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35CCE760" w14:textId="387FF162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self-funded (i.e. not sponsored by an external government agency</w:t>
      </w:r>
      <w:r w:rsidR="00EE2E8A">
        <w:rPr>
          <w:rStyle w:val="normaltextrun"/>
          <w:rFonts w:ascii="Calibri" w:hAnsi="Calibri" w:cs="Calibri"/>
          <w:sz w:val="22"/>
          <w:szCs w:val="22"/>
        </w:rPr>
        <w:t xml:space="preserve"> or commercial funder</w:t>
      </w:r>
      <w:r w:rsidRPr="3DBCD17D">
        <w:rPr>
          <w:rStyle w:val="normaltextrun"/>
          <w:rFonts w:ascii="Calibri" w:hAnsi="Calibri" w:cs="Calibri"/>
          <w:sz w:val="22"/>
          <w:szCs w:val="22"/>
        </w:rPr>
        <w:t>);   </w:t>
      </w:r>
    </w:p>
    <w:p w14:paraId="4E6A70A5" w14:textId="6C0EFA2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scholarship </w:t>
      </w:r>
      <w:r w:rsidR="00790583">
        <w:rPr>
          <w:rStyle w:val="normaltextrun"/>
          <w:rFonts w:ascii="Calibri" w:hAnsi="Calibri" w:cs="Calibri"/>
          <w:sz w:val="22"/>
          <w:szCs w:val="22"/>
        </w:rPr>
        <w:t>can</w:t>
      </w:r>
      <w:r w:rsidR="00790583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50BD91CF" w:rsidRPr="3DBCD17D">
        <w:rPr>
          <w:rStyle w:val="normaltextrun"/>
          <w:rFonts w:ascii="Calibri" w:hAnsi="Calibri" w:cs="Calibri"/>
          <w:sz w:val="22"/>
          <w:szCs w:val="22"/>
        </w:rPr>
        <w:t>be u</w:t>
      </w:r>
      <w:r w:rsidRPr="3DBCD17D">
        <w:rPr>
          <w:rStyle w:val="normaltextrun"/>
          <w:rFonts w:ascii="Calibri" w:hAnsi="Calibri" w:cs="Calibri"/>
          <w:sz w:val="22"/>
          <w:szCs w:val="22"/>
        </w:rPr>
        <w:t>sed in conjunction with other internal awards; </w:t>
      </w:r>
    </w:p>
    <w:p w14:paraId="5073A797" w14:textId="60AEB402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The award cannot be deferred</w:t>
      </w:r>
      <w:r w:rsidR="00EE2E8A">
        <w:rPr>
          <w:rStyle w:val="normaltextrun"/>
          <w:rFonts w:ascii="Calibri" w:hAnsi="Calibri" w:cs="Calibri"/>
          <w:sz w:val="22"/>
          <w:szCs w:val="22"/>
        </w:rPr>
        <w:t>; it is for September 2023 entry</w:t>
      </w:r>
      <w:r w:rsidRPr="3DBCD17D">
        <w:rPr>
          <w:rStyle w:val="normaltextrun"/>
          <w:rFonts w:ascii="Calibri" w:hAnsi="Calibri" w:cs="Calibri"/>
          <w:sz w:val="22"/>
          <w:szCs w:val="22"/>
        </w:rPr>
        <w:t>(</w:t>
      </w:r>
      <w:r w:rsidR="37B036DA" w:rsidRPr="3DBCD17D">
        <w:rPr>
          <w:rStyle w:val="normaltextrun"/>
          <w:rFonts w:ascii="Calibri" w:hAnsi="Calibri" w:cs="Calibri"/>
          <w:sz w:val="22"/>
          <w:szCs w:val="22"/>
        </w:rPr>
        <w:t>i.e.</w:t>
      </w:r>
      <w:r w:rsidRPr="3DBCD17D">
        <w:rPr>
          <w:rStyle w:val="normaltextrun"/>
          <w:rFonts w:ascii="Calibri" w:hAnsi="Calibri" w:cs="Calibri"/>
          <w:sz w:val="22"/>
          <w:szCs w:val="22"/>
        </w:rPr>
        <w:t> </w:t>
      </w:r>
      <w:r w:rsidR="00EE2E8A">
        <w:rPr>
          <w:rStyle w:val="normaltextrun"/>
          <w:rFonts w:ascii="Calibri" w:hAnsi="Calibri" w:cs="Calibri"/>
          <w:sz w:val="22"/>
          <w:szCs w:val="22"/>
        </w:rPr>
        <w:t xml:space="preserve">cannot be postponed to 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a later intake cycle); </w:t>
      </w:r>
    </w:p>
    <w:p w14:paraId="43B9326A" w14:textId="77777777" w:rsidR="00106B40" w:rsidRPr="00106B40" w:rsidRDefault="002D33D0" w:rsidP="00106B40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Hlk121156756"/>
      <w:r w:rsidRPr="00106B40">
        <w:rPr>
          <w:rStyle w:val="normaltextrun"/>
          <w:rFonts w:ascii="Calibri" w:hAnsi="Calibri" w:cs="Calibri"/>
          <w:sz w:val="22"/>
          <w:szCs w:val="22"/>
        </w:rPr>
        <w:t>The award applies to full-time</w:t>
      </w:r>
      <w:r w:rsidR="00106B40" w:rsidRPr="00106B40">
        <w:rPr>
          <w:rStyle w:val="normaltextrun"/>
          <w:rFonts w:ascii="Calibri" w:hAnsi="Calibri" w:cs="Calibri"/>
          <w:sz w:val="22"/>
          <w:szCs w:val="22"/>
        </w:rPr>
        <w:t>, on campus</w:t>
      </w:r>
      <w:r w:rsidRPr="00106B40">
        <w:rPr>
          <w:rStyle w:val="normaltextrun"/>
          <w:rFonts w:ascii="Calibri" w:hAnsi="Calibri" w:cs="Calibri"/>
          <w:sz w:val="22"/>
          <w:szCs w:val="22"/>
        </w:rPr>
        <w:t xml:space="preserve"> courses of study only. </w:t>
      </w:r>
      <w:r w:rsidR="00106B40" w:rsidRPr="00106B40">
        <w:rPr>
          <w:rFonts w:asciiTheme="minorHAnsi" w:eastAsiaTheme="minorEastAsia" w:hAnsiTheme="minorHAnsi" w:cstheme="minorBidi"/>
          <w:sz w:val="22"/>
          <w:szCs w:val="22"/>
        </w:rPr>
        <w:t>Applicants for blended and distance learning programmes are not eligible for the award.</w:t>
      </w:r>
    </w:p>
    <w:p w14:paraId="0AC1EE04" w14:textId="5D1DA3AD" w:rsidR="00106B40" w:rsidRPr="00106B40" w:rsidRDefault="00106B40" w:rsidP="00106B40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Fonts w:asciiTheme="minorHAnsi" w:eastAsiaTheme="minorEastAsia" w:hAnsiTheme="minorHAnsi" w:cstheme="minorBidi"/>
          <w:sz w:val="22"/>
          <w:szCs w:val="22"/>
        </w:rPr>
        <w:t xml:space="preserve">Applicants who have previously studied </w:t>
      </w:r>
      <w:r w:rsidR="00EE2E8A">
        <w:rPr>
          <w:rFonts w:asciiTheme="minorHAnsi" w:eastAsiaTheme="minorEastAsia" w:hAnsiTheme="minorHAnsi" w:cstheme="minorBidi"/>
          <w:sz w:val="22"/>
          <w:szCs w:val="22"/>
        </w:rPr>
        <w:t xml:space="preserve">at a higher education institution 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>in the UK are not eligible for the award</w:t>
      </w:r>
      <w:bookmarkEnd w:id="0"/>
      <w:r w:rsidRPr="00106B40">
        <w:rPr>
          <w:rFonts w:asciiTheme="minorHAnsi" w:eastAsiaTheme="minorEastAsia" w:hAnsiTheme="minorHAnsi" w:cstheme="minorBidi"/>
          <w:sz w:val="22"/>
          <w:szCs w:val="22"/>
        </w:rPr>
        <w:t>.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79491401" w14:textId="77777777" w:rsidR="00E87FC7" w:rsidRPr="006F21D5" w:rsidRDefault="00E87FC7" w:rsidP="00E87F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08F3A543" w14:textId="77777777" w:rsidR="00E87FC7" w:rsidRPr="006F21D5" w:rsidRDefault="00E87FC7" w:rsidP="00E87F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10D3CEB7" w14:textId="7A900438" w:rsidR="00EE2E8A" w:rsidRDefault="002D33D0" w:rsidP="00EE2E8A">
      <w:r w:rsidRPr="3DBCD17D">
        <w:rPr>
          <w:rStyle w:val="normaltextrun"/>
          <w:rFonts w:ascii="Calibri" w:hAnsi="Calibri" w:cs="Calibri"/>
        </w:rPr>
        <w:t xml:space="preserve">Successful candidates must be willing to work with the international recruitment team from time to time to serve as a student ambassador for the University during their period of study to help inform prospective students about study at Manchester.  This may involve such activities as: attending physical or virtual presentations for prospective students; providing written or filmed testimonials/ vlogs and blogs for the University’s website; or serving as an advocate to help promote the scholarship programme. </w:t>
      </w:r>
      <w:bookmarkStart w:id="1" w:name="_Hlk121744241"/>
      <w:r w:rsidR="00EE2E8A">
        <w:rPr>
          <w:rStyle w:val="normaltextrun"/>
          <w:rFonts w:ascii="Calibri" w:hAnsi="Calibri" w:cs="Calibri"/>
        </w:rPr>
        <w:t xml:space="preserve">It may also include the University’s </w:t>
      </w:r>
      <w:r w:rsidR="00EE2E8A">
        <w:rPr>
          <w:rStyle w:val="normaltextrun"/>
        </w:rPr>
        <w:t xml:space="preserve">use of select identifying data (such as the scholarship recipients’ names, nationalities and courses of study) in the context of the above and related activities. </w:t>
      </w:r>
      <w:bookmarkEnd w:id="1"/>
    </w:p>
    <w:p w14:paraId="2D4583BB" w14:textId="28ADFB34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The time commitment for ambassador activities should not typically exceed 8 hours per semester. </w:t>
      </w:r>
    </w:p>
    <w:p w14:paraId="44EAFD9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9BEA35C" w14:textId="77777777" w:rsidR="00790583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Scholarship results will be announced following the confirmation of results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as follows:</w:t>
      </w:r>
    </w:p>
    <w:p w14:paraId="137A4C4D" w14:textId="2D520C0E" w:rsidR="00790583" w:rsidRDefault="00790583" w:rsidP="0079058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June </w:t>
      </w:r>
      <w:r w:rsidR="004E2E3F">
        <w:rPr>
          <w:rStyle w:val="normaltextrun"/>
          <w:rFonts w:ascii="Calibri" w:hAnsi="Calibri" w:cs="Calibri"/>
          <w:sz w:val="22"/>
          <w:szCs w:val="22"/>
        </w:rPr>
        <w:t>202</w:t>
      </w:r>
      <w:r w:rsidR="009561AD">
        <w:rPr>
          <w:rStyle w:val="normaltextrun"/>
          <w:rFonts w:ascii="Calibri" w:hAnsi="Calibri" w:cs="Calibri"/>
          <w:sz w:val="22"/>
          <w:szCs w:val="22"/>
        </w:rPr>
        <w:t>3</w:t>
      </w:r>
      <w:r w:rsidR="004E2E3F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for </w:t>
      </w:r>
      <w:r w:rsidR="0029622C">
        <w:rPr>
          <w:rStyle w:val="normaltextrun"/>
          <w:rFonts w:ascii="Calibri" w:hAnsi="Calibri" w:cs="Calibri"/>
          <w:sz w:val="22"/>
          <w:szCs w:val="22"/>
        </w:rPr>
        <w:t>Indian Standard XII</w:t>
      </w:r>
      <w:r>
        <w:rPr>
          <w:rStyle w:val="normaltextrun"/>
          <w:rFonts w:ascii="Calibri" w:hAnsi="Calibri" w:cs="Calibri"/>
          <w:sz w:val="22"/>
          <w:szCs w:val="22"/>
        </w:rPr>
        <w:t xml:space="preserve"> Students</w:t>
      </w:r>
    </w:p>
    <w:p w14:paraId="71AB6904" w14:textId="2F926C21" w:rsidR="00790583" w:rsidRPr="004E2E3F" w:rsidRDefault="002D33D0" w:rsidP="0079058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July 202</w:t>
      </w:r>
      <w:r w:rsidR="009561AD">
        <w:rPr>
          <w:rStyle w:val="normaltextrun"/>
          <w:rFonts w:ascii="Calibri" w:hAnsi="Calibri" w:cs="Calibri"/>
          <w:sz w:val="22"/>
          <w:szCs w:val="22"/>
        </w:rPr>
        <w:t xml:space="preserve">3 </w:t>
      </w:r>
      <w:r w:rsidRPr="004E2E3F">
        <w:rPr>
          <w:rStyle w:val="normaltextrun"/>
          <w:rFonts w:ascii="Calibri" w:hAnsi="Calibri" w:cs="Calibri"/>
          <w:sz w:val="22"/>
          <w:szCs w:val="22"/>
        </w:rPr>
        <w:t>for IB candidates</w:t>
      </w:r>
    </w:p>
    <w:p w14:paraId="622AA3F8" w14:textId="1CAEBF3C" w:rsidR="002D33D0" w:rsidRDefault="002D33D0" w:rsidP="004E2E3F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August 202</w:t>
      </w:r>
      <w:r w:rsidR="009561AD">
        <w:rPr>
          <w:rStyle w:val="normaltextrun"/>
          <w:rFonts w:ascii="Calibri" w:hAnsi="Calibri" w:cs="Calibri"/>
          <w:sz w:val="22"/>
          <w:szCs w:val="22"/>
        </w:rPr>
        <w:t>3</w:t>
      </w:r>
      <w:r w:rsidRPr="004E2E3F">
        <w:rPr>
          <w:rStyle w:val="normaltextrun"/>
          <w:rFonts w:ascii="Calibri" w:hAnsi="Calibri" w:cs="Calibri"/>
          <w:sz w:val="22"/>
          <w:szCs w:val="22"/>
        </w:rPr>
        <w:t xml:space="preserve"> for A level candidates</w:t>
      </w:r>
      <w:r w:rsidRPr="004E2E3F">
        <w:rPr>
          <w:rStyle w:val="eop"/>
          <w:rFonts w:ascii="Calibri" w:hAnsi="Calibri" w:cs="Calibri"/>
          <w:sz w:val="22"/>
          <w:szCs w:val="22"/>
        </w:rPr>
        <w:t> </w:t>
      </w:r>
    </w:p>
    <w:p w14:paraId="63E4A9CD" w14:textId="77777777" w:rsidR="002D33D0" w:rsidRDefault="002D33D0" w:rsidP="002D33D0">
      <w:pPr>
        <w:pStyle w:val="paragraph"/>
        <w:spacing w:before="0" w:beforeAutospacing="0" w:after="0" w:afterAutospacing="0"/>
        <w:ind w:left="2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94D5A5" w14:textId="1973F071" w:rsidR="002D33D0" w:rsidRDefault="002D33D0" w:rsidP="002D33D0"/>
    <w:p w14:paraId="0FDBDD9F" w14:textId="0EB2DC82" w:rsidR="00EE2E8A" w:rsidRDefault="00EE2E8A" w:rsidP="002D33D0"/>
    <w:p w14:paraId="3DEEC669" w14:textId="77777777" w:rsidR="0038617D" w:rsidRDefault="00A627AF"/>
    <w:sectPr w:rsidR="0038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B9C"/>
    <w:multiLevelType w:val="multilevel"/>
    <w:tmpl w:val="2CDC422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45AD"/>
    <w:multiLevelType w:val="multilevel"/>
    <w:tmpl w:val="7944C3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3CAF"/>
    <w:multiLevelType w:val="multilevel"/>
    <w:tmpl w:val="734A69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77FBB"/>
    <w:multiLevelType w:val="multilevel"/>
    <w:tmpl w:val="0E94AD3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3275D"/>
    <w:multiLevelType w:val="multilevel"/>
    <w:tmpl w:val="B798CA5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875CB"/>
    <w:multiLevelType w:val="hybridMultilevel"/>
    <w:tmpl w:val="615A39D6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F9C62EC"/>
    <w:multiLevelType w:val="hybridMultilevel"/>
    <w:tmpl w:val="A86CD67A"/>
    <w:lvl w:ilvl="0" w:tplc="EC1A61F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CAA8B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32A65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02CE2E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0667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91A8A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7A092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1840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0FCD1C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645A9"/>
    <w:multiLevelType w:val="multilevel"/>
    <w:tmpl w:val="52C494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6DB5"/>
    <w:multiLevelType w:val="multilevel"/>
    <w:tmpl w:val="EECA49D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A33E6"/>
    <w:multiLevelType w:val="multilevel"/>
    <w:tmpl w:val="76E254C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161E9"/>
    <w:multiLevelType w:val="multilevel"/>
    <w:tmpl w:val="F9D05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169C6"/>
    <w:multiLevelType w:val="multilevel"/>
    <w:tmpl w:val="62280E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66F"/>
    <w:multiLevelType w:val="multilevel"/>
    <w:tmpl w:val="114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CF79B7"/>
    <w:multiLevelType w:val="multilevel"/>
    <w:tmpl w:val="65DE88D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331E6"/>
    <w:multiLevelType w:val="multilevel"/>
    <w:tmpl w:val="E8D23E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132A0"/>
    <w:multiLevelType w:val="multilevel"/>
    <w:tmpl w:val="B9DA5C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61CB1"/>
    <w:multiLevelType w:val="multilevel"/>
    <w:tmpl w:val="D8BC20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92037"/>
    <w:multiLevelType w:val="multilevel"/>
    <w:tmpl w:val="0CF0B31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5525F"/>
    <w:multiLevelType w:val="multilevel"/>
    <w:tmpl w:val="C0425FF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24405"/>
    <w:multiLevelType w:val="multilevel"/>
    <w:tmpl w:val="614C152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34777"/>
    <w:multiLevelType w:val="multilevel"/>
    <w:tmpl w:val="BF46583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5438"/>
    <w:multiLevelType w:val="multilevel"/>
    <w:tmpl w:val="4978135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95CFE"/>
    <w:multiLevelType w:val="hybridMultilevel"/>
    <w:tmpl w:val="94225290"/>
    <w:lvl w:ilvl="0" w:tplc="EA10E460">
      <w:start w:val="1"/>
      <w:numFmt w:val="upperRoman"/>
      <w:lvlText w:val="%1."/>
      <w:lvlJc w:val="right"/>
      <w:pPr>
        <w:ind w:left="1230" w:hanging="360"/>
      </w:pPr>
    </w:lvl>
    <w:lvl w:ilvl="1" w:tplc="D1F06DEC">
      <w:start w:val="1"/>
      <w:numFmt w:val="lowerLetter"/>
      <w:lvlText w:val="%2."/>
      <w:lvlJc w:val="left"/>
      <w:pPr>
        <w:ind w:left="1950" w:hanging="360"/>
      </w:pPr>
    </w:lvl>
    <w:lvl w:ilvl="2" w:tplc="6218BFE0">
      <w:start w:val="1"/>
      <w:numFmt w:val="lowerRoman"/>
      <w:lvlText w:val="%3."/>
      <w:lvlJc w:val="right"/>
      <w:pPr>
        <w:ind w:left="2670" w:hanging="180"/>
      </w:pPr>
    </w:lvl>
    <w:lvl w:ilvl="3" w:tplc="AA8A0388">
      <w:start w:val="1"/>
      <w:numFmt w:val="decimal"/>
      <w:lvlText w:val="%4."/>
      <w:lvlJc w:val="left"/>
      <w:pPr>
        <w:ind w:left="3390" w:hanging="360"/>
      </w:pPr>
    </w:lvl>
    <w:lvl w:ilvl="4" w:tplc="F18AD292">
      <w:start w:val="1"/>
      <w:numFmt w:val="lowerLetter"/>
      <w:lvlText w:val="%5."/>
      <w:lvlJc w:val="left"/>
      <w:pPr>
        <w:ind w:left="4110" w:hanging="360"/>
      </w:pPr>
    </w:lvl>
    <w:lvl w:ilvl="5" w:tplc="AE7EC3C8">
      <w:start w:val="1"/>
      <w:numFmt w:val="lowerRoman"/>
      <w:lvlText w:val="%6."/>
      <w:lvlJc w:val="right"/>
      <w:pPr>
        <w:ind w:left="4830" w:hanging="180"/>
      </w:pPr>
    </w:lvl>
    <w:lvl w:ilvl="6" w:tplc="49549E0E">
      <w:start w:val="1"/>
      <w:numFmt w:val="decimal"/>
      <w:lvlText w:val="%7."/>
      <w:lvlJc w:val="left"/>
      <w:pPr>
        <w:ind w:left="5550" w:hanging="360"/>
      </w:pPr>
    </w:lvl>
    <w:lvl w:ilvl="7" w:tplc="2904C746">
      <w:start w:val="1"/>
      <w:numFmt w:val="lowerLetter"/>
      <w:lvlText w:val="%8."/>
      <w:lvlJc w:val="left"/>
      <w:pPr>
        <w:ind w:left="6270" w:hanging="360"/>
      </w:pPr>
    </w:lvl>
    <w:lvl w:ilvl="8" w:tplc="51C8B8EE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5A9E1920"/>
    <w:multiLevelType w:val="multilevel"/>
    <w:tmpl w:val="2318C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26634"/>
    <w:multiLevelType w:val="multilevel"/>
    <w:tmpl w:val="631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2EEC"/>
    <w:multiLevelType w:val="multilevel"/>
    <w:tmpl w:val="856E40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447B6"/>
    <w:multiLevelType w:val="multilevel"/>
    <w:tmpl w:val="8716C75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542406"/>
    <w:multiLevelType w:val="multilevel"/>
    <w:tmpl w:val="5BC063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C2B7B"/>
    <w:multiLevelType w:val="multilevel"/>
    <w:tmpl w:val="785A8BC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3F0901"/>
    <w:multiLevelType w:val="multilevel"/>
    <w:tmpl w:val="2506A63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BF60E6"/>
    <w:multiLevelType w:val="multilevel"/>
    <w:tmpl w:val="2ECE216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36CBA"/>
    <w:multiLevelType w:val="multilevel"/>
    <w:tmpl w:val="C79A122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133815203">
    <w:abstractNumId w:val="26"/>
  </w:num>
  <w:num w:numId="2" w16cid:durableId="2124494459">
    <w:abstractNumId w:val="22"/>
  </w:num>
  <w:num w:numId="3" w16cid:durableId="1131900158">
    <w:abstractNumId w:val="23"/>
  </w:num>
  <w:num w:numId="4" w16cid:durableId="340281287">
    <w:abstractNumId w:val="29"/>
  </w:num>
  <w:num w:numId="5" w16cid:durableId="639269420">
    <w:abstractNumId w:val="17"/>
  </w:num>
  <w:num w:numId="6" w16cid:durableId="1314917889">
    <w:abstractNumId w:val="6"/>
  </w:num>
  <w:num w:numId="7" w16cid:durableId="465395883">
    <w:abstractNumId w:val="11"/>
  </w:num>
  <w:num w:numId="8" w16cid:durableId="734813007">
    <w:abstractNumId w:val="2"/>
  </w:num>
  <w:num w:numId="9" w16cid:durableId="1318656503">
    <w:abstractNumId w:val="28"/>
  </w:num>
  <w:num w:numId="10" w16cid:durableId="2105615046">
    <w:abstractNumId w:val="8"/>
  </w:num>
  <w:num w:numId="11" w16cid:durableId="1018968773">
    <w:abstractNumId w:val="7"/>
  </w:num>
  <w:num w:numId="12" w16cid:durableId="691031734">
    <w:abstractNumId w:val="16"/>
  </w:num>
  <w:num w:numId="13" w16cid:durableId="1371761040">
    <w:abstractNumId w:val="4"/>
  </w:num>
  <w:num w:numId="14" w16cid:durableId="1716730616">
    <w:abstractNumId w:val="20"/>
  </w:num>
  <w:num w:numId="15" w16cid:durableId="1829982799">
    <w:abstractNumId w:val="3"/>
  </w:num>
  <w:num w:numId="16" w16cid:durableId="1361786392">
    <w:abstractNumId w:val="31"/>
  </w:num>
  <w:num w:numId="17" w16cid:durableId="571819015">
    <w:abstractNumId w:val="34"/>
  </w:num>
  <w:num w:numId="18" w16cid:durableId="1578055273">
    <w:abstractNumId w:val="12"/>
  </w:num>
  <w:num w:numId="19" w16cid:durableId="50930099">
    <w:abstractNumId w:val="10"/>
  </w:num>
  <w:num w:numId="20" w16cid:durableId="1630865262">
    <w:abstractNumId w:val="27"/>
  </w:num>
  <w:num w:numId="21" w16cid:durableId="1574197323">
    <w:abstractNumId w:val="1"/>
  </w:num>
  <w:num w:numId="22" w16cid:durableId="579369986">
    <w:abstractNumId w:val="14"/>
  </w:num>
  <w:num w:numId="23" w16cid:durableId="1426533897">
    <w:abstractNumId w:val="15"/>
  </w:num>
  <w:num w:numId="24" w16cid:durableId="845482587">
    <w:abstractNumId w:val="19"/>
  </w:num>
  <w:num w:numId="25" w16cid:durableId="536821998">
    <w:abstractNumId w:val="9"/>
  </w:num>
  <w:num w:numId="26" w16cid:durableId="608854696">
    <w:abstractNumId w:val="0"/>
  </w:num>
  <w:num w:numId="27" w16cid:durableId="1943877642">
    <w:abstractNumId w:val="18"/>
  </w:num>
  <w:num w:numId="28" w16cid:durableId="1329674786">
    <w:abstractNumId w:val="32"/>
  </w:num>
  <w:num w:numId="29" w16cid:durableId="978341334">
    <w:abstractNumId w:val="13"/>
  </w:num>
  <w:num w:numId="30" w16cid:durableId="1005009738">
    <w:abstractNumId w:val="33"/>
  </w:num>
  <w:num w:numId="31" w16cid:durableId="1095203592">
    <w:abstractNumId w:val="21"/>
  </w:num>
  <w:num w:numId="32" w16cid:durableId="2073848982">
    <w:abstractNumId w:val="24"/>
  </w:num>
  <w:num w:numId="33" w16cid:durableId="1904175657">
    <w:abstractNumId w:val="25"/>
  </w:num>
  <w:num w:numId="34" w16cid:durableId="1914703047">
    <w:abstractNumId w:val="5"/>
  </w:num>
  <w:num w:numId="35" w16cid:durableId="16601142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D0"/>
    <w:rsid w:val="00106B40"/>
    <w:rsid w:val="0029622C"/>
    <w:rsid w:val="002D33D0"/>
    <w:rsid w:val="004E2E3F"/>
    <w:rsid w:val="00503717"/>
    <w:rsid w:val="0055429E"/>
    <w:rsid w:val="006F3F02"/>
    <w:rsid w:val="007809A8"/>
    <w:rsid w:val="00790583"/>
    <w:rsid w:val="007A5064"/>
    <w:rsid w:val="007B4DDB"/>
    <w:rsid w:val="00933F9C"/>
    <w:rsid w:val="009561AD"/>
    <w:rsid w:val="00A627AF"/>
    <w:rsid w:val="00E87FC7"/>
    <w:rsid w:val="00EE2E8A"/>
    <w:rsid w:val="049B1DA5"/>
    <w:rsid w:val="2BC71553"/>
    <w:rsid w:val="2BEB6E56"/>
    <w:rsid w:val="34DF1288"/>
    <w:rsid w:val="37B036DA"/>
    <w:rsid w:val="3B352BAF"/>
    <w:rsid w:val="3DBCD17D"/>
    <w:rsid w:val="485776B6"/>
    <w:rsid w:val="4E4DFD74"/>
    <w:rsid w:val="50BD91CF"/>
    <w:rsid w:val="57689CB6"/>
    <w:rsid w:val="5B1B2A3C"/>
    <w:rsid w:val="5C3C0DD9"/>
    <w:rsid w:val="6A5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8351"/>
  <w15:chartTrackingRefBased/>
  <w15:docId w15:val="{44F2E94D-1591-4FCF-BCD5-6C4E310C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D33D0"/>
  </w:style>
  <w:style w:type="character" w:customStyle="1" w:styleId="eop">
    <w:name w:val="eop"/>
    <w:basedOn w:val="DefaultParagraphFont"/>
    <w:rsid w:val="002D33D0"/>
  </w:style>
  <w:style w:type="paragraph" w:styleId="Revision">
    <w:name w:val="Revision"/>
    <w:hidden/>
    <w:uiPriority w:val="99"/>
    <w:semiHidden/>
    <w:rsid w:val="00EE2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1D036-B6D2-4BF0-86EA-D71D92836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93743-25C8-4FDD-9131-CA86F3306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A6C135-DA6A-4E36-8464-AC3B87C17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Dominic Jensen</cp:lastModifiedBy>
  <cp:revision>4</cp:revision>
  <dcterms:created xsi:type="dcterms:W3CDTF">2022-12-05T18:55:00Z</dcterms:created>
  <dcterms:modified xsi:type="dcterms:W3CDTF">2022-12-12T16:09:00Z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