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8A232" w14:textId="316FC961" w:rsidR="00EA322A" w:rsidRDefault="00EA322A">
      <w:r>
        <w:t>Schools to set Operational Priorities in line with the Faculty Strategy key priorities. No more than 2 objectives under each main goal, outlining the longer term (</w:t>
      </w:r>
      <w:proofErr w:type="gramStart"/>
      <w:r>
        <w:t>3 year</w:t>
      </w:r>
      <w:proofErr w:type="gramEnd"/>
      <w:r>
        <w:t xml:space="preserve"> plan) goal for the objective, as well as the detailed (complete table) for the in-year objective and activities.</w:t>
      </w:r>
    </w:p>
    <w:p w14:paraId="288D5892" w14:textId="52670B51" w:rsidR="00BF0BE3" w:rsidRDefault="00BF0BE3">
      <w:r>
        <w:t xml:space="preserve">Deadline for submission to Faculty – </w:t>
      </w:r>
      <w:r w:rsidR="0031058F">
        <w:t>26</w:t>
      </w:r>
      <w:r w:rsidR="0031058F" w:rsidRPr="0031058F">
        <w:rPr>
          <w:vertAlign w:val="superscript"/>
        </w:rPr>
        <w:t>th</w:t>
      </w:r>
      <w:r w:rsidR="0031058F">
        <w:t xml:space="preserve"> June </w:t>
      </w:r>
      <w:r>
        <w:t>202</w:t>
      </w:r>
      <w:r w:rsidR="0031058F">
        <w:t>3</w:t>
      </w:r>
    </w:p>
    <w:p w14:paraId="560DCE8A" w14:textId="43F4BEB6" w:rsidR="00EA322A" w:rsidRDefault="00EA322A" w:rsidP="00EA322A">
      <w:pPr>
        <w:pStyle w:val="Heading2"/>
      </w:pPr>
      <w:r>
        <w:t>Research</w:t>
      </w:r>
    </w:p>
    <w:p w14:paraId="389A9306" w14:textId="5C029F72" w:rsidR="00EA322A" w:rsidRPr="00EA322A" w:rsidRDefault="00EA322A" w:rsidP="558B0702">
      <w:pPr>
        <w:rPr>
          <w:rFonts w:eastAsiaTheme="minorEastAsia"/>
          <w:b/>
          <w:bCs/>
        </w:rPr>
      </w:pPr>
      <w:r>
        <w:t>Longer term objective (</w:t>
      </w:r>
      <w:proofErr w:type="gramStart"/>
      <w:r>
        <w:t>i.e.</w:t>
      </w:r>
      <w:proofErr w:type="gramEnd"/>
      <w:r>
        <w:t xml:space="preserve"> by the end of the 3-year plan): </w:t>
      </w:r>
      <w:r w:rsidR="68DBCB7E" w:rsidRPr="558B0702">
        <w:rPr>
          <w:rFonts w:eastAsiaTheme="minorEastAsia"/>
          <w:b/>
          <w:bCs/>
          <w:color w:val="000000" w:themeColor="text1"/>
        </w:rPr>
        <w:t>Increased focus on impact-oriented collaborative research activities without sacrificing quality of research outputs.</w:t>
      </w:r>
    </w:p>
    <w:p w14:paraId="1F451746" w14:textId="00D28094" w:rsidR="00EA322A" w:rsidRPr="00EA322A" w:rsidRDefault="00EA322A" w:rsidP="00EA322A">
      <w:r w:rsidRPr="00EA322A">
        <w:t>In year objective/activities (please complete the table below)</w:t>
      </w:r>
      <w:r>
        <w:t>:</w:t>
      </w:r>
    </w:p>
    <w:tbl>
      <w:tblPr>
        <w:tblStyle w:val="TableGrid"/>
        <w:tblW w:w="14029" w:type="dxa"/>
        <w:tblLook w:val="04A0" w:firstRow="1" w:lastRow="0" w:firstColumn="1" w:lastColumn="0" w:noHBand="0" w:noVBand="1"/>
      </w:tblPr>
      <w:tblGrid>
        <w:gridCol w:w="3528"/>
        <w:gridCol w:w="2757"/>
        <w:gridCol w:w="4151"/>
        <w:gridCol w:w="1828"/>
        <w:gridCol w:w="1765"/>
      </w:tblGrid>
      <w:tr w:rsidR="00EA322A" w14:paraId="6F918D44" w14:textId="77777777" w:rsidTr="19BE3CB2">
        <w:tc>
          <w:tcPr>
            <w:tcW w:w="14029" w:type="dxa"/>
            <w:gridSpan w:val="5"/>
            <w:shd w:val="clear" w:color="auto" w:fill="9CC2E5" w:themeFill="accent1" w:themeFillTint="99"/>
          </w:tcPr>
          <w:p w14:paraId="26FDBEE8" w14:textId="1E48312E" w:rsidR="00EA322A" w:rsidRPr="00EB22BF" w:rsidRDefault="03C24F59" w:rsidP="19BE3CB2">
            <w:pPr>
              <w:rPr>
                <w:b/>
                <w:bCs/>
                <w:sz w:val="24"/>
                <w:szCs w:val="24"/>
              </w:rPr>
            </w:pPr>
            <w:r w:rsidRPr="19BE3CB2">
              <w:rPr>
                <w:b/>
                <w:bCs/>
                <w:sz w:val="24"/>
                <w:szCs w:val="24"/>
              </w:rPr>
              <w:t xml:space="preserve">Objective:    </w:t>
            </w:r>
            <w:r w:rsidR="43840A24" w:rsidRPr="19BE3CB2">
              <w:rPr>
                <w:b/>
                <w:bCs/>
                <w:sz w:val="24"/>
                <w:szCs w:val="24"/>
              </w:rPr>
              <w:t>Increase in industry research income</w:t>
            </w:r>
          </w:p>
        </w:tc>
      </w:tr>
      <w:tr w:rsidR="00EA322A" w:rsidRPr="004D0E24" w14:paraId="41682788" w14:textId="77777777" w:rsidTr="19BE3CB2">
        <w:tc>
          <w:tcPr>
            <w:tcW w:w="3528" w:type="dxa"/>
          </w:tcPr>
          <w:p w14:paraId="3DE55261" w14:textId="77777777" w:rsidR="00EA322A" w:rsidRPr="004D0E24" w:rsidRDefault="00EA322A" w:rsidP="007A1728">
            <w:pPr>
              <w:rPr>
                <w:b/>
              </w:rPr>
            </w:pPr>
            <w:r w:rsidRPr="004D0E24">
              <w:rPr>
                <w:b/>
              </w:rPr>
              <w:t>Activity</w:t>
            </w:r>
          </w:p>
        </w:tc>
        <w:tc>
          <w:tcPr>
            <w:tcW w:w="2757" w:type="dxa"/>
          </w:tcPr>
          <w:p w14:paraId="219623A3" w14:textId="77777777" w:rsidR="00EA322A" w:rsidRPr="004D0E24" w:rsidRDefault="00EA322A" w:rsidP="007A1728">
            <w:pPr>
              <w:rPr>
                <w:b/>
              </w:rPr>
            </w:pPr>
            <w:r w:rsidRPr="004D0E24">
              <w:rPr>
                <w:b/>
              </w:rPr>
              <w:t>How will this be measured?</w:t>
            </w:r>
          </w:p>
        </w:tc>
        <w:tc>
          <w:tcPr>
            <w:tcW w:w="4151" w:type="dxa"/>
          </w:tcPr>
          <w:p w14:paraId="17E1FA3C" w14:textId="77777777" w:rsidR="00EA322A" w:rsidRPr="004D0E24" w:rsidRDefault="00EA322A" w:rsidP="007A1728">
            <w:pPr>
              <w:rPr>
                <w:b/>
              </w:rPr>
            </w:pPr>
            <w:r w:rsidRPr="004D0E24">
              <w:rPr>
                <w:b/>
              </w:rPr>
              <w:t>What does success look like?</w:t>
            </w:r>
          </w:p>
        </w:tc>
        <w:tc>
          <w:tcPr>
            <w:tcW w:w="1828" w:type="dxa"/>
          </w:tcPr>
          <w:p w14:paraId="5349975A" w14:textId="77777777" w:rsidR="00EA322A" w:rsidRPr="004D0E24" w:rsidRDefault="00EA322A" w:rsidP="007A1728">
            <w:pPr>
              <w:rPr>
                <w:b/>
              </w:rPr>
            </w:pPr>
            <w:r w:rsidRPr="004D0E24">
              <w:rPr>
                <w:b/>
              </w:rPr>
              <w:t>Owner</w:t>
            </w:r>
          </w:p>
        </w:tc>
        <w:tc>
          <w:tcPr>
            <w:tcW w:w="1765" w:type="dxa"/>
          </w:tcPr>
          <w:p w14:paraId="49404371" w14:textId="77777777" w:rsidR="00EA322A" w:rsidRPr="004D0E24" w:rsidRDefault="00EA322A" w:rsidP="007A1728">
            <w:pPr>
              <w:rPr>
                <w:b/>
              </w:rPr>
            </w:pPr>
            <w:r>
              <w:rPr>
                <w:b/>
              </w:rPr>
              <w:t>Outcome</w:t>
            </w:r>
          </w:p>
        </w:tc>
      </w:tr>
      <w:tr w:rsidR="00EA322A" w14:paraId="05096A47" w14:textId="77777777" w:rsidTr="19BE3CB2">
        <w:tc>
          <w:tcPr>
            <w:tcW w:w="3528" w:type="dxa"/>
          </w:tcPr>
          <w:p w14:paraId="37910D44" w14:textId="3475E4DD" w:rsidR="00EA322A" w:rsidRDefault="00BF0BE3" w:rsidP="007A1728">
            <w:r>
              <w:t>Horizon scanning of industrial funding opportunities</w:t>
            </w:r>
          </w:p>
        </w:tc>
        <w:tc>
          <w:tcPr>
            <w:tcW w:w="2757" w:type="dxa"/>
          </w:tcPr>
          <w:p w14:paraId="52B6C258" w14:textId="04B9DFC4" w:rsidR="00EA322A" w:rsidRDefault="142B247C" w:rsidP="558B0702">
            <w:pPr>
              <w:rPr>
                <w:rFonts w:eastAsiaTheme="minorEastAsia"/>
              </w:rPr>
            </w:pPr>
            <w:r w:rsidRPr="558B0702">
              <w:rPr>
                <w:rFonts w:eastAsiaTheme="minorEastAsia"/>
                <w:color w:val="000000" w:themeColor="text1"/>
              </w:rPr>
              <w:t>Work with the Faculty B</w:t>
            </w:r>
            <w:r w:rsidR="0C2C40B1" w:rsidRPr="558B0702">
              <w:rPr>
                <w:rFonts w:eastAsiaTheme="minorEastAsia"/>
                <w:color w:val="000000" w:themeColor="text1"/>
              </w:rPr>
              <w:t xml:space="preserve">usiness </w:t>
            </w:r>
            <w:r w:rsidRPr="558B0702">
              <w:rPr>
                <w:rFonts w:eastAsiaTheme="minorEastAsia"/>
                <w:color w:val="000000" w:themeColor="text1"/>
              </w:rPr>
              <w:t>E</w:t>
            </w:r>
            <w:r w:rsidR="1E0D9167" w:rsidRPr="558B0702">
              <w:rPr>
                <w:rFonts w:eastAsiaTheme="minorEastAsia"/>
                <w:color w:val="000000" w:themeColor="text1"/>
              </w:rPr>
              <w:t>ngagement (BE)</w:t>
            </w:r>
            <w:r w:rsidRPr="558B0702">
              <w:rPr>
                <w:rFonts w:eastAsiaTheme="minorEastAsia"/>
                <w:color w:val="000000" w:themeColor="text1"/>
              </w:rPr>
              <w:t xml:space="preserve"> team to do a detailed review of potential income, disseminate through to Divisions to guide focus areas.</w:t>
            </w:r>
          </w:p>
        </w:tc>
        <w:tc>
          <w:tcPr>
            <w:tcW w:w="4151" w:type="dxa"/>
          </w:tcPr>
          <w:p w14:paraId="484A7F3D" w14:textId="28F817C3" w:rsidR="00EA322A" w:rsidRDefault="142B247C" w:rsidP="558B0702">
            <w:pPr>
              <w:rPr>
                <w:rFonts w:eastAsiaTheme="minorEastAsia"/>
              </w:rPr>
            </w:pPr>
            <w:r w:rsidRPr="558B0702">
              <w:rPr>
                <w:rFonts w:eastAsiaTheme="minorEastAsia"/>
                <w:color w:val="000000" w:themeColor="text1"/>
              </w:rPr>
              <w:t>A roadmap of potential income to guide strategic focus within the school, guided by detailed forecast and competitor analysis against similar forms of income</w:t>
            </w:r>
            <w:r w:rsidR="69B9E2B5" w:rsidRPr="558B0702">
              <w:rPr>
                <w:rFonts w:eastAsiaTheme="minorEastAsia"/>
                <w:color w:val="000000" w:themeColor="text1"/>
              </w:rPr>
              <w:t>.</w:t>
            </w:r>
          </w:p>
        </w:tc>
        <w:tc>
          <w:tcPr>
            <w:tcW w:w="1828" w:type="dxa"/>
          </w:tcPr>
          <w:p w14:paraId="6D0015C2" w14:textId="6CD8C0B0" w:rsidR="00EA322A" w:rsidRDefault="142B247C" w:rsidP="558B0702">
            <w:pPr>
              <w:rPr>
                <w:rFonts w:eastAsiaTheme="minorEastAsia"/>
                <w:color w:val="000000" w:themeColor="text1"/>
              </w:rPr>
            </w:pPr>
            <w:r w:rsidRPr="558B0702">
              <w:rPr>
                <w:rFonts w:eastAsiaTheme="minorEastAsia"/>
                <w:color w:val="000000" w:themeColor="text1"/>
              </w:rPr>
              <w:t>Director of Research</w:t>
            </w:r>
            <w:r w:rsidR="3E31BEB4" w:rsidRPr="558B0702">
              <w:rPr>
                <w:rFonts w:eastAsiaTheme="minorEastAsia"/>
                <w:color w:val="000000" w:themeColor="text1"/>
              </w:rPr>
              <w:t>;</w:t>
            </w:r>
            <w:r w:rsidRPr="558B0702">
              <w:rPr>
                <w:rFonts w:eastAsiaTheme="minorEastAsia"/>
                <w:color w:val="000000" w:themeColor="text1"/>
              </w:rPr>
              <w:t xml:space="preserve"> </w:t>
            </w:r>
            <w:r w:rsidR="54635CCF" w:rsidRPr="558B0702">
              <w:rPr>
                <w:rFonts w:eastAsiaTheme="minorEastAsia"/>
                <w:color w:val="000000" w:themeColor="text1"/>
              </w:rPr>
              <w:t xml:space="preserve">Hums </w:t>
            </w:r>
            <w:r w:rsidRPr="558B0702">
              <w:rPr>
                <w:rFonts w:eastAsiaTheme="minorEastAsia"/>
                <w:color w:val="000000" w:themeColor="text1"/>
              </w:rPr>
              <w:t>PS lead for BE</w:t>
            </w:r>
          </w:p>
        </w:tc>
        <w:tc>
          <w:tcPr>
            <w:tcW w:w="1765" w:type="dxa"/>
          </w:tcPr>
          <w:p w14:paraId="374FA212" w14:textId="6032018D" w:rsidR="00EA322A" w:rsidRDefault="00EA322A" w:rsidP="558B0702">
            <w:pPr>
              <w:rPr>
                <w:rFonts w:eastAsiaTheme="minorEastAsia"/>
                <w:color w:val="000000" w:themeColor="text1"/>
              </w:rPr>
            </w:pPr>
          </w:p>
        </w:tc>
      </w:tr>
      <w:tr w:rsidR="00EA322A" w14:paraId="4988DFE6" w14:textId="77777777" w:rsidTr="19BE3CB2">
        <w:tc>
          <w:tcPr>
            <w:tcW w:w="3528" w:type="dxa"/>
          </w:tcPr>
          <w:p w14:paraId="553EE22F" w14:textId="3C94BDC0" w:rsidR="00EA322A" w:rsidRDefault="00BF0BE3" w:rsidP="00BF0BE3">
            <w:r>
              <w:t>Set up interdisciplinary industry funding working group</w:t>
            </w:r>
          </w:p>
        </w:tc>
        <w:tc>
          <w:tcPr>
            <w:tcW w:w="2757" w:type="dxa"/>
          </w:tcPr>
          <w:p w14:paraId="4FD4C7BD" w14:textId="6B03A690" w:rsidR="002E5F70" w:rsidRDefault="3804E088" w:rsidP="558B0702">
            <w:pPr>
              <w:rPr>
                <w:rFonts w:eastAsiaTheme="minorEastAsia"/>
              </w:rPr>
            </w:pPr>
            <w:r w:rsidRPr="558B0702">
              <w:rPr>
                <w:rFonts w:eastAsiaTheme="minorEastAsia"/>
                <w:color w:val="000000" w:themeColor="text1"/>
              </w:rPr>
              <w:t xml:space="preserve">- Compare income baseline and then 6 monthly </w:t>
            </w:r>
            <w:proofErr w:type="gramStart"/>
            <w:r w:rsidRPr="558B0702">
              <w:rPr>
                <w:rFonts w:eastAsiaTheme="minorEastAsia"/>
                <w:color w:val="000000" w:themeColor="text1"/>
              </w:rPr>
              <w:t>review</w:t>
            </w:r>
            <w:proofErr w:type="gramEnd"/>
            <w:r w:rsidR="68C87DAC" w:rsidRPr="558B0702">
              <w:rPr>
                <w:rFonts w:eastAsiaTheme="minorEastAsia"/>
                <w:color w:val="000000" w:themeColor="text1"/>
              </w:rPr>
              <w:t>.</w:t>
            </w:r>
            <w:r w:rsidRPr="558B0702">
              <w:rPr>
                <w:rFonts w:eastAsiaTheme="minorEastAsia"/>
                <w:color w:val="000000" w:themeColor="text1"/>
              </w:rPr>
              <w:t xml:space="preserve"> - Action working plan created and reviewed regularly</w:t>
            </w:r>
            <w:r w:rsidR="6A9BF63C" w:rsidRPr="558B0702">
              <w:rPr>
                <w:rFonts w:eastAsiaTheme="minorEastAsia"/>
                <w:color w:val="000000" w:themeColor="text1"/>
              </w:rPr>
              <w:t>.</w:t>
            </w:r>
            <w:r w:rsidRPr="558B0702">
              <w:rPr>
                <w:rFonts w:eastAsiaTheme="minorEastAsia"/>
                <w:color w:val="000000" w:themeColor="text1"/>
              </w:rPr>
              <w:t xml:space="preserve"> </w:t>
            </w:r>
          </w:p>
          <w:p w14:paraId="68780E59" w14:textId="565B6F6F" w:rsidR="002E5F70" w:rsidRDefault="3804E088" w:rsidP="558B0702">
            <w:pPr>
              <w:rPr>
                <w:rFonts w:eastAsiaTheme="minorEastAsia"/>
              </w:rPr>
            </w:pPr>
            <w:r w:rsidRPr="558B0702">
              <w:rPr>
                <w:rFonts w:eastAsiaTheme="minorEastAsia"/>
                <w:color w:val="000000" w:themeColor="text1"/>
              </w:rPr>
              <w:t>- Promote inter-school and inter-faculty collaborations through Directors of Research networking and through University of Manchester platforms such as Digital Futures.</w:t>
            </w:r>
          </w:p>
        </w:tc>
        <w:tc>
          <w:tcPr>
            <w:tcW w:w="4151" w:type="dxa"/>
          </w:tcPr>
          <w:p w14:paraId="60CB4E09" w14:textId="399A1B99" w:rsidR="00EA322A" w:rsidRDefault="3804E088" w:rsidP="558B0702">
            <w:pPr>
              <w:rPr>
                <w:rFonts w:eastAsiaTheme="minorEastAsia"/>
                <w:color w:val="000000" w:themeColor="text1"/>
              </w:rPr>
            </w:pPr>
            <w:r w:rsidRPr="558B0702">
              <w:rPr>
                <w:rFonts w:eastAsiaTheme="minorEastAsia"/>
                <w:color w:val="000000" w:themeColor="text1"/>
              </w:rPr>
              <w:t>A pro-active network that works together to improve School success in industry research income – increase by £50k</w:t>
            </w:r>
            <w:r w:rsidR="6B7EB349" w:rsidRPr="558B0702">
              <w:rPr>
                <w:rFonts w:eastAsiaTheme="minorEastAsia"/>
                <w:color w:val="000000" w:themeColor="text1"/>
              </w:rPr>
              <w:t>.</w:t>
            </w:r>
            <w:r w:rsidRPr="558B0702">
              <w:rPr>
                <w:rFonts w:eastAsiaTheme="minorEastAsia"/>
                <w:color w:val="000000" w:themeColor="text1"/>
              </w:rPr>
              <w:t xml:space="preserve"> (average annual revenue per investigator is £350k, so aim </w:t>
            </w:r>
            <w:r w:rsidR="6090725E" w:rsidRPr="558B0702">
              <w:rPr>
                <w:rFonts w:eastAsiaTheme="minorEastAsia"/>
                <w:color w:val="000000" w:themeColor="text1"/>
              </w:rPr>
              <w:t xml:space="preserve">will be </w:t>
            </w:r>
            <w:r w:rsidRPr="558B0702">
              <w:rPr>
                <w:rFonts w:eastAsiaTheme="minorEastAsia"/>
                <w:color w:val="000000" w:themeColor="text1"/>
              </w:rPr>
              <w:t>to increase to £400k)</w:t>
            </w:r>
            <w:r w:rsidR="34BFC536" w:rsidRPr="558B0702">
              <w:rPr>
                <w:rFonts w:eastAsiaTheme="minorEastAsia"/>
                <w:color w:val="000000" w:themeColor="text1"/>
              </w:rPr>
              <w:t>.</w:t>
            </w:r>
          </w:p>
        </w:tc>
        <w:tc>
          <w:tcPr>
            <w:tcW w:w="1828" w:type="dxa"/>
          </w:tcPr>
          <w:p w14:paraId="727DAA13" w14:textId="5D6229C0" w:rsidR="00EA322A" w:rsidRDefault="5EAF04E8" w:rsidP="558B0702">
            <w:pPr>
              <w:rPr>
                <w:rFonts w:eastAsiaTheme="minorEastAsia"/>
              </w:rPr>
            </w:pPr>
            <w:r w:rsidRPr="558B0702">
              <w:rPr>
                <w:rFonts w:eastAsiaTheme="minorEastAsia"/>
              </w:rPr>
              <w:t>Director of Research</w:t>
            </w:r>
            <w:r w:rsidR="09AEAAD8" w:rsidRPr="558B0702">
              <w:rPr>
                <w:rFonts w:eastAsiaTheme="minorEastAsia"/>
              </w:rPr>
              <w:t>; H</w:t>
            </w:r>
            <w:r w:rsidR="3E35CB4E" w:rsidRPr="558B0702">
              <w:rPr>
                <w:rFonts w:eastAsiaTheme="minorEastAsia"/>
              </w:rPr>
              <w:t xml:space="preserve">ums </w:t>
            </w:r>
            <w:r w:rsidRPr="558B0702">
              <w:rPr>
                <w:rFonts w:eastAsiaTheme="minorEastAsia"/>
              </w:rPr>
              <w:t>PS lead for BE</w:t>
            </w:r>
          </w:p>
        </w:tc>
        <w:tc>
          <w:tcPr>
            <w:tcW w:w="1765" w:type="dxa"/>
          </w:tcPr>
          <w:p w14:paraId="59F28FF0" w14:textId="77777777" w:rsidR="00EA322A" w:rsidRDefault="00EA322A" w:rsidP="007A1728"/>
        </w:tc>
      </w:tr>
      <w:tr w:rsidR="00EA322A" w14:paraId="3F3E168A" w14:textId="77777777" w:rsidTr="19BE3CB2">
        <w:tc>
          <w:tcPr>
            <w:tcW w:w="3528" w:type="dxa"/>
          </w:tcPr>
          <w:p w14:paraId="2302621C" w14:textId="6EDFFE5A" w:rsidR="00EA322A" w:rsidRDefault="00BF0BE3" w:rsidP="007A1728">
            <w:r>
              <w:t xml:space="preserve">Enhance industry facing marketing/web presence and collateral </w:t>
            </w:r>
          </w:p>
        </w:tc>
        <w:tc>
          <w:tcPr>
            <w:tcW w:w="2757" w:type="dxa"/>
          </w:tcPr>
          <w:p w14:paraId="2D7A80B3" w14:textId="4482C447" w:rsidR="00EA322A" w:rsidRDefault="3005FCBD" w:rsidP="007A1728">
            <w:r>
              <w:t>Work with C</w:t>
            </w:r>
            <w:r w:rsidR="102FEF08">
              <w:t xml:space="preserve">omms </w:t>
            </w:r>
            <w:r>
              <w:t>&amp;</w:t>
            </w:r>
            <w:r w:rsidR="25687170">
              <w:t xml:space="preserve"> </w:t>
            </w:r>
            <w:r>
              <w:t>M</w:t>
            </w:r>
            <w:r w:rsidR="25687170">
              <w:t>arketing</w:t>
            </w:r>
            <w:r>
              <w:t xml:space="preserve"> colleagues to improve access for industry into research</w:t>
            </w:r>
            <w:r w:rsidR="164337DC">
              <w:t>.</w:t>
            </w:r>
          </w:p>
        </w:tc>
        <w:tc>
          <w:tcPr>
            <w:tcW w:w="4151" w:type="dxa"/>
          </w:tcPr>
          <w:p w14:paraId="4FA8132A" w14:textId="555BA29C" w:rsidR="00EA322A" w:rsidRDefault="54D1266F" w:rsidP="558B0702">
            <w:pPr>
              <w:rPr>
                <w:rFonts w:eastAsiaTheme="minorEastAsia"/>
              </w:rPr>
            </w:pPr>
            <w:r w:rsidRPr="558B0702">
              <w:rPr>
                <w:rFonts w:eastAsiaTheme="minorEastAsia"/>
                <w:color w:val="000000" w:themeColor="text1"/>
              </w:rPr>
              <w:t>Improved and increased connections with industry – aim to have established 7 more links and attracted over £300k by the end of the period</w:t>
            </w:r>
            <w:r w:rsidR="5E806528" w:rsidRPr="558B0702">
              <w:rPr>
                <w:rFonts w:eastAsiaTheme="minorEastAsia"/>
                <w:color w:val="000000" w:themeColor="text1"/>
              </w:rPr>
              <w:t>.</w:t>
            </w:r>
          </w:p>
        </w:tc>
        <w:tc>
          <w:tcPr>
            <w:tcW w:w="1828" w:type="dxa"/>
          </w:tcPr>
          <w:p w14:paraId="18DC0212" w14:textId="20A86E6C" w:rsidR="00BF0BE3" w:rsidRPr="00BF0BE3" w:rsidRDefault="5EAF04E8" w:rsidP="00BF0BE3">
            <w:r>
              <w:t>Director of Research</w:t>
            </w:r>
            <w:r w:rsidR="29C15F1B">
              <w:t xml:space="preserve">; </w:t>
            </w:r>
            <w:r w:rsidR="0F586F56">
              <w:t>Hums</w:t>
            </w:r>
          </w:p>
          <w:p w14:paraId="7DF41EAD" w14:textId="476A489D" w:rsidR="002E5F70" w:rsidRDefault="5EAF04E8" w:rsidP="00BF0BE3">
            <w:r>
              <w:t>PS lead for BE</w:t>
            </w:r>
            <w:r w:rsidR="79CF75AC">
              <w:t xml:space="preserve">; AMBS </w:t>
            </w:r>
            <w:r w:rsidR="52B2CFFF">
              <w:t>Director for Comms &amp; Marketing</w:t>
            </w:r>
          </w:p>
        </w:tc>
        <w:tc>
          <w:tcPr>
            <w:tcW w:w="1765" w:type="dxa"/>
          </w:tcPr>
          <w:p w14:paraId="1949CCAF" w14:textId="77777777" w:rsidR="00EA322A" w:rsidRDefault="00EA322A" w:rsidP="007A1728"/>
        </w:tc>
      </w:tr>
    </w:tbl>
    <w:p w14:paraId="7AE3551C" w14:textId="316DB067" w:rsidR="00EA322A" w:rsidRDefault="00EA322A" w:rsidP="00EA322A"/>
    <w:p w14:paraId="49765F5D" w14:textId="2B4FFB9E" w:rsidR="00EA322A" w:rsidRDefault="00EA322A" w:rsidP="73A46B4B">
      <w:r>
        <w:t>Longer term objective (</w:t>
      </w:r>
      <w:proofErr w:type="gramStart"/>
      <w:r>
        <w:t>i.e.</w:t>
      </w:r>
      <w:proofErr w:type="gramEnd"/>
      <w:r>
        <w:t xml:space="preserve"> by the end of the 3-year plan): </w:t>
      </w:r>
      <w:r w:rsidR="0812D192" w:rsidRPr="73A46B4B">
        <w:rPr>
          <w:rFonts w:ascii="Calibri" w:eastAsia="Calibri" w:hAnsi="Calibri" w:cs="Calibri"/>
          <w:b/>
          <w:bCs/>
        </w:rPr>
        <w:t>Developing the next generation scholars through a vibrant PGR community</w:t>
      </w:r>
    </w:p>
    <w:p w14:paraId="58151A63" w14:textId="4650000E" w:rsidR="00EA322A" w:rsidRDefault="00EA322A" w:rsidP="00EA322A">
      <w:r w:rsidRPr="00EA322A">
        <w:t>In year objective/activities (please complete the table below):</w:t>
      </w:r>
    </w:p>
    <w:tbl>
      <w:tblPr>
        <w:tblStyle w:val="TableGrid"/>
        <w:tblW w:w="14029" w:type="dxa"/>
        <w:tblLook w:val="04A0" w:firstRow="1" w:lastRow="0" w:firstColumn="1" w:lastColumn="0" w:noHBand="0" w:noVBand="1"/>
      </w:tblPr>
      <w:tblGrid>
        <w:gridCol w:w="3528"/>
        <w:gridCol w:w="2757"/>
        <w:gridCol w:w="4151"/>
        <w:gridCol w:w="1828"/>
        <w:gridCol w:w="1765"/>
      </w:tblGrid>
      <w:tr w:rsidR="00EA322A" w14:paraId="7508CB7D" w14:textId="77777777" w:rsidTr="27179FD2">
        <w:trPr>
          <w:trHeight w:val="300"/>
        </w:trPr>
        <w:tc>
          <w:tcPr>
            <w:tcW w:w="14029" w:type="dxa"/>
            <w:gridSpan w:val="5"/>
            <w:shd w:val="clear" w:color="auto" w:fill="9CC2E5" w:themeFill="accent1" w:themeFillTint="99"/>
          </w:tcPr>
          <w:p w14:paraId="42E562B6" w14:textId="3314563A" w:rsidR="00EA322A" w:rsidRPr="00EB22BF" w:rsidRDefault="28EED7D3" w:rsidP="19BE3CB2">
            <w:pPr>
              <w:rPr>
                <w:b/>
                <w:bCs/>
                <w:sz w:val="24"/>
                <w:szCs w:val="24"/>
              </w:rPr>
            </w:pPr>
            <w:r w:rsidRPr="27179FD2">
              <w:rPr>
                <w:b/>
                <w:bCs/>
                <w:sz w:val="24"/>
                <w:szCs w:val="24"/>
              </w:rPr>
              <w:t xml:space="preserve">Objective:   </w:t>
            </w:r>
            <w:r w:rsidR="27EA7F47" w:rsidRPr="27179FD2">
              <w:rPr>
                <w:b/>
                <w:bCs/>
                <w:sz w:val="24"/>
                <w:szCs w:val="24"/>
              </w:rPr>
              <w:t>Increase</w:t>
            </w:r>
            <w:r w:rsidR="5C6593F5" w:rsidRPr="27179FD2">
              <w:rPr>
                <w:b/>
                <w:bCs/>
                <w:sz w:val="24"/>
                <w:szCs w:val="24"/>
              </w:rPr>
              <w:t xml:space="preserve"> the quality of</w:t>
            </w:r>
            <w:r w:rsidR="27EA7F47" w:rsidRPr="27179FD2">
              <w:rPr>
                <w:b/>
                <w:bCs/>
                <w:sz w:val="24"/>
                <w:szCs w:val="24"/>
              </w:rPr>
              <w:t xml:space="preserve"> </w:t>
            </w:r>
            <w:r w:rsidR="01C1B522" w:rsidRPr="27179FD2">
              <w:rPr>
                <w:b/>
                <w:bCs/>
                <w:sz w:val="24"/>
                <w:szCs w:val="24"/>
              </w:rPr>
              <w:t xml:space="preserve">PGRs </w:t>
            </w:r>
            <w:r w:rsidR="69FD0EBE" w:rsidRPr="27179FD2">
              <w:rPr>
                <w:b/>
                <w:bCs/>
                <w:sz w:val="24"/>
                <w:szCs w:val="24"/>
              </w:rPr>
              <w:t xml:space="preserve">and their </w:t>
            </w:r>
            <w:r w:rsidR="5E4CB44E" w:rsidRPr="27179FD2">
              <w:rPr>
                <w:b/>
                <w:bCs/>
                <w:sz w:val="24"/>
                <w:szCs w:val="24"/>
              </w:rPr>
              <w:t>sense of belonging in the school.</w:t>
            </w:r>
          </w:p>
        </w:tc>
      </w:tr>
      <w:tr w:rsidR="00EA322A" w:rsidRPr="004D0E24" w14:paraId="7B979F8E" w14:textId="77777777" w:rsidTr="27179FD2">
        <w:trPr>
          <w:trHeight w:val="300"/>
        </w:trPr>
        <w:tc>
          <w:tcPr>
            <w:tcW w:w="3528" w:type="dxa"/>
          </w:tcPr>
          <w:p w14:paraId="6D735F69" w14:textId="77777777" w:rsidR="00EA322A" w:rsidRPr="004D0E24" w:rsidRDefault="00EA322A" w:rsidP="007A1728">
            <w:pPr>
              <w:rPr>
                <w:b/>
              </w:rPr>
            </w:pPr>
            <w:r w:rsidRPr="004D0E24">
              <w:rPr>
                <w:b/>
              </w:rPr>
              <w:t>Activity</w:t>
            </w:r>
          </w:p>
        </w:tc>
        <w:tc>
          <w:tcPr>
            <w:tcW w:w="2757" w:type="dxa"/>
          </w:tcPr>
          <w:p w14:paraId="7E2039A6" w14:textId="77777777" w:rsidR="00EA322A" w:rsidRPr="004D0E24" w:rsidRDefault="00EA322A" w:rsidP="007A1728">
            <w:pPr>
              <w:rPr>
                <w:b/>
              </w:rPr>
            </w:pPr>
            <w:r w:rsidRPr="004D0E24">
              <w:rPr>
                <w:b/>
              </w:rPr>
              <w:t>How will this be measured?</w:t>
            </w:r>
          </w:p>
        </w:tc>
        <w:tc>
          <w:tcPr>
            <w:tcW w:w="4151" w:type="dxa"/>
          </w:tcPr>
          <w:p w14:paraId="355094E9" w14:textId="77777777" w:rsidR="00EA322A" w:rsidRPr="004D0E24" w:rsidRDefault="00EA322A" w:rsidP="007A1728">
            <w:pPr>
              <w:rPr>
                <w:b/>
              </w:rPr>
            </w:pPr>
            <w:r w:rsidRPr="004D0E24">
              <w:rPr>
                <w:b/>
              </w:rPr>
              <w:t>What does success look like?</w:t>
            </w:r>
          </w:p>
        </w:tc>
        <w:tc>
          <w:tcPr>
            <w:tcW w:w="1828" w:type="dxa"/>
          </w:tcPr>
          <w:p w14:paraId="6F6D6F01" w14:textId="77777777" w:rsidR="00EA322A" w:rsidRPr="004D0E24" w:rsidRDefault="00EA322A" w:rsidP="007A1728">
            <w:pPr>
              <w:rPr>
                <w:b/>
              </w:rPr>
            </w:pPr>
            <w:r w:rsidRPr="004D0E24">
              <w:rPr>
                <w:b/>
              </w:rPr>
              <w:t>Owner</w:t>
            </w:r>
          </w:p>
        </w:tc>
        <w:tc>
          <w:tcPr>
            <w:tcW w:w="1765" w:type="dxa"/>
          </w:tcPr>
          <w:p w14:paraId="54487AB0" w14:textId="77777777" w:rsidR="00EA322A" w:rsidRPr="004D0E24" w:rsidRDefault="00EA322A" w:rsidP="007A1728">
            <w:pPr>
              <w:rPr>
                <w:b/>
              </w:rPr>
            </w:pPr>
            <w:r>
              <w:rPr>
                <w:b/>
              </w:rPr>
              <w:t>Outcome</w:t>
            </w:r>
          </w:p>
        </w:tc>
      </w:tr>
      <w:tr w:rsidR="00C72761" w14:paraId="4AAD32A1" w14:textId="77777777" w:rsidTr="27179FD2">
        <w:trPr>
          <w:trHeight w:val="300"/>
        </w:trPr>
        <w:tc>
          <w:tcPr>
            <w:tcW w:w="3528" w:type="dxa"/>
          </w:tcPr>
          <w:p w14:paraId="02D100D4" w14:textId="16C80D6F" w:rsidR="00C72761" w:rsidRDefault="537FDD5D" w:rsidP="558B0702">
            <w:pPr>
              <w:rPr>
                <w:rFonts w:eastAsiaTheme="minorEastAsia"/>
              </w:rPr>
            </w:pPr>
            <w:r w:rsidRPr="558B0702">
              <w:rPr>
                <w:rFonts w:eastAsiaTheme="minorEastAsia"/>
                <w:color w:val="000000" w:themeColor="text1"/>
              </w:rPr>
              <w:t>Recruit excellent PGR candidates</w:t>
            </w:r>
          </w:p>
        </w:tc>
        <w:tc>
          <w:tcPr>
            <w:tcW w:w="2757" w:type="dxa"/>
          </w:tcPr>
          <w:p w14:paraId="27196A68" w14:textId="037EB580" w:rsidR="00C72761" w:rsidRDefault="537FDD5D" w:rsidP="558B0702">
            <w:pPr>
              <w:rPr>
                <w:rFonts w:eastAsiaTheme="minorEastAsia"/>
              </w:rPr>
            </w:pPr>
            <w:r w:rsidRPr="558B0702">
              <w:rPr>
                <w:rFonts w:eastAsiaTheme="minorEastAsia"/>
                <w:color w:val="000000" w:themeColor="text1"/>
              </w:rPr>
              <w:t>Reduce delay in the time for making offers and funding decisions</w:t>
            </w:r>
            <w:r w:rsidR="7ECC0128" w:rsidRPr="558B0702">
              <w:rPr>
                <w:rFonts w:eastAsiaTheme="minorEastAsia"/>
                <w:color w:val="000000" w:themeColor="text1"/>
              </w:rPr>
              <w:t>.</w:t>
            </w:r>
          </w:p>
        </w:tc>
        <w:tc>
          <w:tcPr>
            <w:tcW w:w="4151" w:type="dxa"/>
          </w:tcPr>
          <w:p w14:paraId="1513E3C4" w14:textId="32D72787" w:rsidR="00C72761" w:rsidRDefault="537FDD5D" w:rsidP="558B0702">
            <w:pPr>
              <w:rPr>
                <w:rFonts w:eastAsiaTheme="minorEastAsia"/>
              </w:rPr>
            </w:pPr>
            <w:r w:rsidRPr="558B0702">
              <w:rPr>
                <w:rFonts w:eastAsiaTheme="minorEastAsia"/>
                <w:color w:val="000000" w:themeColor="text1"/>
              </w:rPr>
              <w:t>First round of decisions and offers out by end of January 2024</w:t>
            </w:r>
            <w:r w:rsidR="725C3175" w:rsidRPr="558B0702">
              <w:rPr>
                <w:rFonts w:eastAsiaTheme="minorEastAsia"/>
                <w:color w:val="000000" w:themeColor="text1"/>
              </w:rPr>
              <w:t>.</w:t>
            </w:r>
          </w:p>
        </w:tc>
        <w:tc>
          <w:tcPr>
            <w:tcW w:w="1828" w:type="dxa"/>
          </w:tcPr>
          <w:p w14:paraId="3715815D" w14:textId="78A012A3" w:rsidR="00C72761" w:rsidRDefault="537FDD5D" w:rsidP="558B0702">
            <w:pPr>
              <w:rPr>
                <w:rFonts w:eastAsiaTheme="minorEastAsia"/>
                <w:color w:val="000000" w:themeColor="text1"/>
              </w:rPr>
            </w:pPr>
            <w:r w:rsidRPr="558B0702">
              <w:rPr>
                <w:rFonts w:eastAsiaTheme="minorEastAsia"/>
                <w:color w:val="000000" w:themeColor="text1"/>
              </w:rPr>
              <w:t>PGR Director</w:t>
            </w:r>
            <w:r w:rsidR="50E14FBE" w:rsidRPr="558B0702">
              <w:rPr>
                <w:rFonts w:eastAsiaTheme="minorEastAsia"/>
                <w:color w:val="000000" w:themeColor="text1"/>
              </w:rPr>
              <w:t>;</w:t>
            </w:r>
            <w:r w:rsidRPr="558B0702">
              <w:rPr>
                <w:rFonts w:eastAsiaTheme="minorEastAsia"/>
                <w:color w:val="000000" w:themeColor="text1"/>
              </w:rPr>
              <w:t xml:space="preserve"> PGR Divisional Coordinators</w:t>
            </w:r>
            <w:r w:rsidR="0A401F8B" w:rsidRPr="558B0702">
              <w:rPr>
                <w:rFonts w:eastAsiaTheme="minorEastAsia"/>
                <w:color w:val="000000" w:themeColor="text1"/>
              </w:rPr>
              <w:t>;</w:t>
            </w:r>
            <w:r w:rsidRPr="558B0702">
              <w:rPr>
                <w:rFonts w:eastAsiaTheme="minorEastAsia"/>
                <w:color w:val="000000" w:themeColor="text1"/>
              </w:rPr>
              <w:t xml:space="preserve"> D</w:t>
            </w:r>
            <w:r w:rsidR="1F5ED155" w:rsidRPr="558B0702">
              <w:rPr>
                <w:rFonts w:eastAsiaTheme="minorEastAsia"/>
                <w:color w:val="000000" w:themeColor="text1"/>
              </w:rPr>
              <w:t xml:space="preserve">octoral </w:t>
            </w:r>
            <w:r w:rsidRPr="558B0702">
              <w:rPr>
                <w:rFonts w:eastAsiaTheme="minorEastAsia"/>
                <w:color w:val="000000" w:themeColor="text1"/>
              </w:rPr>
              <w:t>A</w:t>
            </w:r>
            <w:r w:rsidR="13A68E4C" w:rsidRPr="558B0702">
              <w:rPr>
                <w:rFonts w:eastAsiaTheme="minorEastAsia"/>
                <w:color w:val="000000" w:themeColor="text1"/>
              </w:rPr>
              <w:t>cademy</w:t>
            </w:r>
          </w:p>
        </w:tc>
        <w:tc>
          <w:tcPr>
            <w:tcW w:w="1765" w:type="dxa"/>
          </w:tcPr>
          <w:p w14:paraId="4F10983D" w14:textId="77777777" w:rsidR="00C72761" w:rsidRDefault="00C72761" w:rsidP="00C72761"/>
        </w:tc>
      </w:tr>
      <w:tr w:rsidR="00C72761" w14:paraId="1DF7874C" w14:textId="77777777" w:rsidTr="27179FD2">
        <w:trPr>
          <w:trHeight w:val="300"/>
        </w:trPr>
        <w:tc>
          <w:tcPr>
            <w:tcW w:w="3528" w:type="dxa"/>
          </w:tcPr>
          <w:p w14:paraId="651089DB" w14:textId="16D7DD92" w:rsidR="00C72761" w:rsidRDefault="537FDD5D" w:rsidP="558B0702">
            <w:pPr>
              <w:rPr>
                <w:rFonts w:eastAsiaTheme="minorEastAsia"/>
                <w:color w:val="000000" w:themeColor="text1"/>
              </w:rPr>
            </w:pPr>
            <w:r w:rsidRPr="558B0702">
              <w:rPr>
                <w:rFonts w:eastAsiaTheme="minorEastAsia"/>
                <w:color w:val="000000" w:themeColor="text1"/>
              </w:rPr>
              <w:t>Continue to embed a strong</w:t>
            </w:r>
          </w:p>
          <w:p w14:paraId="6CEA85EA" w14:textId="182AF666" w:rsidR="00C72761" w:rsidRDefault="537FDD5D" w:rsidP="558B0702">
            <w:pPr>
              <w:rPr>
                <w:rFonts w:eastAsiaTheme="minorEastAsia"/>
                <w:color w:val="000000" w:themeColor="text1"/>
              </w:rPr>
            </w:pPr>
            <w:r w:rsidRPr="558B0702">
              <w:rPr>
                <w:rFonts w:eastAsiaTheme="minorEastAsia"/>
                <w:color w:val="000000" w:themeColor="text1"/>
              </w:rPr>
              <w:t>research culture amongst the PGR</w:t>
            </w:r>
          </w:p>
          <w:p w14:paraId="6B92734F" w14:textId="5BE72276" w:rsidR="00C72761" w:rsidRDefault="537FDD5D" w:rsidP="558B0702">
            <w:pPr>
              <w:rPr>
                <w:rFonts w:eastAsiaTheme="minorEastAsia"/>
                <w:color w:val="000000" w:themeColor="text1"/>
              </w:rPr>
            </w:pPr>
            <w:r w:rsidRPr="558B0702">
              <w:rPr>
                <w:rFonts w:eastAsiaTheme="minorEastAsia"/>
                <w:color w:val="000000" w:themeColor="text1"/>
              </w:rPr>
              <w:t>community</w:t>
            </w:r>
          </w:p>
          <w:p w14:paraId="717C157D" w14:textId="604F35C4" w:rsidR="00C72761" w:rsidRDefault="00C72761" w:rsidP="558B0702">
            <w:pPr>
              <w:rPr>
                <w:rFonts w:eastAsiaTheme="minorEastAsia"/>
              </w:rPr>
            </w:pPr>
          </w:p>
        </w:tc>
        <w:tc>
          <w:tcPr>
            <w:tcW w:w="2757" w:type="dxa"/>
          </w:tcPr>
          <w:p w14:paraId="405155CB" w14:textId="6AF819FE" w:rsidR="00C72761" w:rsidRDefault="537FDD5D" w:rsidP="558B0702">
            <w:pPr>
              <w:rPr>
                <w:rFonts w:eastAsiaTheme="minorEastAsia"/>
              </w:rPr>
            </w:pPr>
            <w:r w:rsidRPr="558B0702">
              <w:rPr>
                <w:rFonts w:eastAsiaTheme="minorEastAsia"/>
                <w:color w:val="000000" w:themeColor="text1"/>
              </w:rPr>
              <w:t>Support PGRs to organise self-study groups and divisional “Brown Bag” seminars</w:t>
            </w:r>
            <w:r w:rsidR="01736DF1" w:rsidRPr="558B0702">
              <w:rPr>
                <w:rFonts w:eastAsiaTheme="minorEastAsia"/>
                <w:color w:val="000000" w:themeColor="text1"/>
              </w:rPr>
              <w:t>.</w:t>
            </w:r>
          </w:p>
        </w:tc>
        <w:tc>
          <w:tcPr>
            <w:tcW w:w="4151" w:type="dxa"/>
          </w:tcPr>
          <w:p w14:paraId="0B55307B" w14:textId="2F50EE35" w:rsidR="00C72761" w:rsidRDefault="537FDD5D" w:rsidP="558B0702">
            <w:pPr>
              <w:rPr>
                <w:rFonts w:eastAsiaTheme="minorEastAsia"/>
              </w:rPr>
            </w:pPr>
            <w:r w:rsidRPr="558B0702">
              <w:rPr>
                <w:rFonts w:eastAsiaTheme="minorEastAsia"/>
                <w:color w:val="000000" w:themeColor="text1"/>
              </w:rPr>
              <w:t>Higher participation rate for PGR study groups and “Brown Bag” seminars</w:t>
            </w:r>
            <w:r w:rsidR="70EBAF2F" w:rsidRPr="558B0702">
              <w:rPr>
                <w:rFonts w:eastAsiaTheme="minorEastAsia"/>
                <w:color w:val="000000" w:themeColor="text1"/>
              </w:rPr>
              <w:t>.</w:t>
            </w:r>
          </w:p>
        </w:tc>
        <w:tc>
          <w:tcPr>
            <w:tcW w:w="1828" w:type="dxa"/>
          </w:tcPr>
          <w:p w14:paraId="5E318917" w14:textId="25A2CCBD" w:rsidR="00C72761" w:rsidRDefault="537FDD5D" w:rsidP="558B0702">
            <w:pPr>
              <w:rPr>
                <w:rFonts w:eastAsiaTheme="minorEastAsia"/>
              </w:rPr>
            </w:pPr>
            <w:r w:rsidRPr="558B0702">
              <w:rPr>
                <w:rFonts w:eastAsiaTheme="minorEastAsia"/>
                <w:color w:val="000000" w:themeColor="text1"/>
              </w:rPr>
              <w:t>PGR Director</w:t>
            </w:r>
            <w:r w:rsidR="20269B7F" w:rsidRPr="558B0702">
              <w:rPr>
                <w:rFonts w:eastAsiaTheme="minorEastAsia"/>
                <w:color w:val="000000" w:themeColor="text1"/>
              </w:rPr>
              <w:t>;</w:t>
            </w:r>
            <w:r w:rsidRPr="558B0702">
              <w:rPr>
                <w:rFonts w:eastAsiaTheme="minorEastAsia"/>
                <w:color w:val="000000" w:themeColor="text1"/>
              </w:rPr>
              <w:t xml:space="preserve"> PGR Divisional Coordinators</w:t>
            </w:r>
            <w:r w:rsidR="7657C09C" w:rsidRPr="558B0702">
              <w:rPr>
                <w:rFonts w:eastAsiaTheme="minorEastAsia"/>
                <w:color w:val="000000" w:themeColor="text1"/>
              </w:rPr>
              <w:t>;</w:t>
            </w:r>
            <w:r w:rsidRPr="558B0702">
              <w:rPr>
                <w:rFonts w:eastAsiaTheme="minorEastAsia"/>
                <w:color w:val="000000" w:themeColor="text1"/>
              </w:rPr>
              <w:t xml:space="preserve"> PGRs</w:t>
            </w:r>
          </w:p>
        </w:tc>
        <w:tc>
          <w:tcPr>
            <w:tcW w:w="1765" w:type="dxa"/>
          </w:tcPr>
          <w:p w14:paraId="2D653037" w14:textId="77777777" w:rsidR="00C72761" w:rsidRDefault="00C72761" w:rsidP="00C72761"/>
        </w:tc>
      </w:tr>
      <w:tr w:rsidR="00C72761" w14:paraId="41E2B62D" w14:textId="77777777" w:rsidTr="27179FD2">
        <w:trPr>
          <w:trHeight w:val="300"/>
        </w:trPr>
        <w:tc>
          <w:tcPr>
            <w:tcW w:w="3528" w:type="dxa"/>
          </w:tcPr>
          <w:p w14:paraId="6C40C6AB" w14:textId="5D76F3EC" w:rsidR="00C72761" w:rsidRDefault="537FDD5D" w:rsidP="558B0702">
            <w:pPr>
              <w:rPr>
                <w:rFonts w:eastAsiaTheme="minorEastAsia"/>
                <w:color w:val="000000" w:themeColor="text1"/>
              </w:rPr>
            </w:pPr>
            <w:r w:rsidRPr="558B0702">
              <w:rPr>
                <w:rFonts w:eastAsiaTheme="minorEastAsia"/>
                <w:color w:val="000000" w:themeColor="text1"/>
              </w:rPr>
              <w:t xml:space="preserve">Emphasise impacts of </w:t>
            </w:r>
            <w:proofErr w:type="gramStart"/>
            <w:r w:rsidRPr="558B0702">
              <w:rPr>
                <w:rFonts w:eastAsiaTheme="minorEastAsia"/>
                <w:color w:val="000000" w:themeColor="text1"/>
              </w:rPr>
              <w:t>PGRs’</w:t>
            </w:r>
            <w:proofErr w:type="gramEnd"/>
          </w:p>
          <w:p w14:paraId="28F19409" w14:textId="64548AF3" w:rsidR="00C72761" w:rsidRDefault="537FDD5D" w:rsidP="558B0702">
            <w:pPr>
              <w:rPr>
                <w:rFonts w:eastAsiaTheme="minorEastAsia"/>
                <w:color w:val="000000" w:themeColor="text1"/>
              </w:rPr>
            </w:pPr>
            <w:r w:rsidRPr="558B0702">
              <w:rPr>
                <w:rFonts w:eastAsiaTheme="minorEastAsia"/>
                <w:color w:val="000000" w:themeColor="text1"/>
              </w:rPr>
              <w:t>research</w:t>
            </w:r>
          </w:p>
          <w:p w14:paraId="3C0E35DE" w14:textId="18A12811" w:rsidR="00C72761" w:rsidRDefault="00C72761" w:rsidP="558B0702">
            <w:pPr>
              <w:rPr>
                <w:rFonts w:eastAsiaTheme="minorEastAsia"/>
              </w:rPr>
            </w:pPr>
          </w:p>
        </w:tc>
        <w:tc>
          <w:tcPr>
            <w:tcW w:w="2757" w:type="dxa"/>
          </w:tcPr>
          <w:p w14:paraId="08355587" w14:textId="5E574BCE" w:rsidR="00C72761" w:rsidRDefault="537FDD5D" w:rsidP="558B0702">
            <w:pPr>
              <w:rPr>
                <w:rFonts w:eastAsiaTheme="minorEastAsia"/>
              </w:rPr>
            </w:pPr>
            <w:r w:rsidRPr="558B0702">
              <w:rPr>
                <w:rFonts w:eastAsiaTheme="minorEastAsia"/>
                <w:color w:val="000000" w:themeColor="text1"/>
              </w:rPr>
              <w:t>Deliver doctoral network series on the topics of PGR research impacts</w:t>
            </w:r>
            <w:r w:rsidR="5803CCB8" w:rsidRPr="558B0702">
              <w:rPr>
                <w:rFonts w:eastAsiaTheme="minorEastAsia"/>
                <w:color w:val="000000" w:themeColor="text1"/>
              </w:rPr>
              <w:t>.</w:t>
            </w:r>
          </w:p>
        </w:tc>
        <w:tc>
          <w:tcPr>
            <w:tcW w:w="4151" w:type="dxa"/>
          </w:tcPr>
          <w:p w14:paraId="011EC149" w14:textId="3EC81FAB" w:rsidR="00C72761" w:rsidRDefault="537FDD5D" w:rsidP="558B0702">
            <w:pPr>
              <w:rPr>
                <w:rFonts w:eastAsiaTheme="minorEastAsia"/>
              </w:rPr>
            </w:pPr>
            <w:r w:rsidRPr="558B0702">
              <w:rPr>
                <w:rFonts w:eastAsiaTheme="minorEastAsia"/>
                <w:color w:val="000000" w:themeColor="text1"/>
              </w:rPr>
              <w:t>Higher attendance for the doctoral network series</w:t>
            </w:r>
            <w:r w:rsidR="544CAC1D" w:rsidRPr="558B0702">
              <w:rPr>
                <w:rFonts w:eastAsiaTheme="minorEastAsia"/>
                <w:color w:val="000000" w:themeColor="text1"/>
              </w:rPr>
              <w:t>.</w:t>
            </w:r>
          </w:p>
        </w:tc>
        <w:tc>
          <w:tcPr>
            <w:tcW w:w="1828" w:type="dxa"/>
          </w:tcPr>
          <w:p w14:paraId="13E9CB90" w14:textId="540CA0A2" w:rsidR="00C72761" w:rsidRDefault="537FDD5D" w:rsidP="558B0702">
            <w:pPr>
              <w:rPr>
                <w:rFonts w:eastAsiaTheme="minorEastAsia"/>
                <w:color w:val="000000" w:themeColor="text1"/>
              </w:rPr>
            </w:pPr>
            <w:r w:rsidRPr="558B0702">
              <w:rPr>
                <w:rFonts w:eastAsiaTheme="minorEastAsia"/>
                <w:color w:val="000000" w:themeColor="text1"/>
              </w:rPr>
              <w:t>PGR Director, D</w:t>
            </w:r>
            <w:r w:rsidR="182BA247" w:rsidRPr="558B0702">
              <w:rPr>
                <w:rFonts w:eastAsiaTheme="minorEastAsia"/>
                <w:color w:val="000000" w:themeColor="text1"/>
              </w:rPr>
              <w:t xml:space="preserve">octoral </w:t>
            </w:r>
            <w:r w:rsidRPr="558B0702">
              <w:rPr>
                <w:rFonts w:eastAsiaTheme="minorEastAsia"/>
                <w:color w:val="000000" w:themeColor="text1"/>
              </w:rPr>
              <w:t>A</w:t>
            </w:r>
            <w:r w:rsidR="23EAC7B1" w:rsidRPr="558B0702">
              <w:rPr>
                <w:rFonts w:eastAsiaTheme="minorEastAsia"/>
                <w:color w:val="000000" w:themeColor="text1"/>
              </w:rPr>
              <w:t>cademy</w:t>
            </w:r>
          </w:p>
        </w:tc>
        <w:tc>
          <w:tcPr>
            <w:tcW w:w="1765" w:type="dxa"/>
          </w:tcPr>
          <w:p w14:paraId="0B331614" w14:textId="77777777" w:rsidR="00C72761" w:rsidRDefault="00C72761" w:rsidP="00C72761"/>
        </w:tc>
      </w:tr>
    </w:tbl>
    <w:p w14:paraId="3E1D81B0" w14:textId="67613CCC" w:rsidR="0FAE7D13" w:rsidRDefault="0FAE7D13" w:rsidP="0FAE7D13">
      <w:pPr>
        <w:pStyle w:val="Heading2"/>
      </w:pPr>
    </w:p>
    <w:p w14:paraId="19F263EE" w14:textId="4E74F3CF" w:rsidR="00EA322A" w:rsidRDefault="00EA322A" w:rsidP="00EA322A">
      <w:pPr>
        <w:pStyle w:val="Heading2"/>
      </w:pPr>
      <w:r>
        <w:t>Teaching and Learning</w:t>
      </w:r>
    </w:p>
    <w:p w14:paraId="566B6DFA" w14:textId="32DEA98E" w:rsidR="0FAE7D13" w:rsidRDefault="0FAE7D13" w:rsidP="0FAE7D13"/>
    <w:p w14:paraId="3F3FFDAD" w14:textId="3BADC670" w:rsidR="00EA322A" w:rsidRPr="00EA322A" w:rsidRDefault="00EA322A" w:rsidP="558B0702">
      <w:pPr>
        <w:rPr>
          <w:b/>
          <w:bCs/>
        </w:rPr>
      </w:pPr>
      <w:r>
        <w:t>Longer term objective (</w:t>
      </w:r>
      <w:proofErr w:type="gramStart"/>
      <w:r>
        <w:t>i.e.</w:t>
      </w:r>
      <w:proofErr w:type="gramEnd"/>
      <w:r>
        <w:t xml:space="preserve"> by the end of the 3-year plan): </w:t>
      </w:r>
      <w:r w:rsidR="772D68CB" w:rsidRPr="558B0702">
        <w:rPr>
          <w:b/>
          <w:bCs/>
        </w:rPr>
        <w:t xml:space="preserve">Development of </w:t>
      </w:r>
      <w:r w:rsidR="2C3BC21B" w:rsidRPr="558B0702">
        <w:rPr>
          <w:b/>
          <w:bCs/>
        </w:rPr>
        <w:t xml:space="preserve">three new </w:t>
      </w:r>
      <w:r w:rsidR="772D68CB" w:rsidRPr="558B0702">
        <w:rPr>
          <w:b/>
          <w:bCs/>
        </w:rPr>
        <w:t xml:space="preserve">specialist MSc </w:t>
      </w:r>
      <w:r w:rsidR="4B248E0C" w:rsidRPr="558B0702">
        <w:rPr>
          <w:b/>
          <w:bCs/>
        </w:rPr>
        <w:t>programme</w:t>
      </w:r>
      <w:r w:rsidR="6A9838A2" w:rsidRPr="558B0702">
        <w:rPr>
          <w:b/>
          <w:bCs/>
        </w:rPr>
        <w:t xml:space="preserve">s </w:t>
      </w:r>
      <w:r w:rsidR="772D68CB" w:rsidRPr="558B0702">
        <w:rPr>
          <w:b/>
          <w:bCs/>
        </w:rPr>
        <w:t>in line with the Faculty of Humanities’ ‘Size &amp; Shape’ agenda</w:t>
      </w:r>
    </w:p>
    <w:p w14:paraId="14F3A3C7" w14:textId="77777777" w:rsidR="00EA322A" w:rsidRPr="00EA322A" w:rsidRDefault="00EA322A" w:rsidP="00EA322A">
      <w:r w:rsidRPr="00EA322A">
        <w:t>In year objective/activities (please complete the table below)</w:t>
      </w:r>
      <w:r>
        <w:t>:</w:t>
      </w:r>
    </w:p>
    <w:tbl>
      <w:tblPr>
        <w:tblStyle w:val="TableGrid"/>
        <w:tblW w:w="14019" w:type="dxa"/>
        <w:tblLook w:val="04A0" w:firstRow="1" w:lastRow="0" w:firstColumn="1" w:lastColumn="0" w:noHBand="0" w:noVBand="1"/>
      </w:tblPr>
      <w:tblGrid>
        <w:gridCol w:w="3539"/>
        <w:gridCol w:w="2755"/>
        <w:gridCol w:w="4216"/>
        <w:gridCol w:w="1827"/>
        <w:gridCol w:w="1682"/>
      </w:tblGrid>
      <w:tr w:rsidR="00EA322A" w14:paraId="0C5C1B37" w14:textId="77777777" w:rsidTr="27179FD2">
        <w:tc>
          <w:tcPr>
            <w:tcW w:w="14019" w:type="dxa"/>
            <w:gridSpan w:val="5"/>
            <w:shd w:val="clear" w:color="auto" w:fill="9CC2E5" w:themeFill="accent1" w:themeFillTint="99"/>
          </w:tcPr>
          <w:p w14:paraId="76469201" w14:textId="39303E1D" w:rsidR="00EA322A" w:rsidRPr="00EB22BF" w:rsidRDefault="00EA322A" w:rsidP="4C156921">
            <w:pPr>
              <w:rPr>
                <w:b/>
                <w:bCs/>
                <w:sz w:val="24"/>
                <w:szCs w:val="24"/>
              </w:rPr>
            </w:pPr>
            <w:r w:rsidRPr="4C156921">
              <w:rPr>
                <w:b/>
                <w:bCs/>
                <w:sz w:val="24"/>
                <w:szCs w:val="24"/>
              </w:rPr>
              <w:t xml:space="preserve">Objective:   </w:t>
            </w:r>
            <w:r w:rsidR="1932F7ED" w:rsidRPr="4C156921">
              <w:rPr>
                <w:b/>
                <w:bCs/>
                <w:sz w:val="24"/>
                <w:szCs w:val="24"/>
              </w:rPr>
              <w:t>S</w:t>
            </w:r>
            <w:r w:rsidR="7A308686" w:rsidRPr="4C156921">
              <w:rPr>
                <w:b/>
                <w:bCs/>
                <w:sz w:val="24"/>
                <w:szCs w:val="24"/>
              </w:rPr>
              <w:t xml:space="preserve">pecialist MSc programme </w:t>
            </w:r>
            <w:r w:rsidR="48AD4986" w:rsidRPr="4C156921">
              <w:rPr>
                <w:b/>
                <w:bCs/>
                <w:sz w:val="24"/>
                <w:szCs w:val="24"/>
              </w:rPr>
              <w:t>portfolio</w:t>
            </w:r>
            <w:r w:rsidR="38D56BB8" w:rsidRPr="4C156921">
              <w:rPr>
                <w:b/>
                <w:bCs/>
                <w:sz w:val="24"/>
                <w:szCs w:val="24"/>
              </w:rPr>
              <w:t xml:space="preserve"> widened in line with market </w:t>
            </w:r>
            <w:r w:rsidR="21BAA35A" w:rsidRPr="4C156921">
              <w:rPr>
                <w:b/>
                <w:bCs/>
                <w:sz w:val="24"/>
                <w:szCs w:val="24"/>
              </w:rPr>
              <w:t>deman</w:t>
            </w:r>
            <w:r w:rsidR="38D56BB8" w:rsidRPr="4C156921">
              <w:rPr>
                <w:b/>
                <w:bCs/>
                <w:sz w:val="24"/>
                <w:szCs w:val="24"/>
              </w:rPr>
              <w:t>d</w:t>
            </w:r>
            <w:r w:rsidR="1560D96C" w:rsidRPr="4C156921">
              <w:rPr>
                <w:b/>
                <w:bCs/>
                <w:sz w:val="24"/>
                <w:szCs w:val="24"/>
              </w:rPr>
              <w:t>s</w:t>
            </w:r>
          </w:p>
        </w:tc>
      </w:tr>
      <w:tr w:rsidR="00EA322A" w:rsidRPr="004D0E24" w14:paraId="1A513033" w14:textId="77777777" w:rsidTr="27179FD2">
        <w:tc>
          <w:tcPr>
            <w:tcW w:w="3539" w:type="dxa"/>
          </w:tcPr>
          <w:p w14:paraId="448CC15B" w14:textId="77777777" w:rsidR="00EA322A" w:rsidRPr="004D0E24" w:rsidRDefault="00EA322A" w:rsidP="00A139FC">
            <w:pPr>
              <w:rPr>
                <w:b/>
              </w:rPr>
            </w:pPr>
            <w:r w:rsidRPr="004D0E24">
              <w:rPr>
                <w:b/>
              </w:rPr>
              <w:t>Activity</w:t>
            </w:r>
          </w:p>
        </w:tc>
        <w:tc>
          <w:tcPr>
            <w:tcW w:w="2755" w:type="dxa"/>
          </w:tcPr>
          <w:p w14:paraId="66E2989F" w14:textId="77777777" w:rsidR="00EA322A" w:rsidRPr="004D0E24" w:rsidRDefault="00EA322A" w:rsidP="00A139FC">
            <w:pPr>
              <w:rPr>
                <w:b/>
              </w:rPr>
            </w:pPr>
            <w:r w:rsidRPr="004D0E24">
              <w:rPr>
                <w:b/>
              </w:rPr>
              <w:t>How will this be measured?</w:t>
            </w:r>
          </w:p>
        </w:tc>
        <w:tc>
          <w:tcPr>
            <w:tcW w:w="4216" w:type="dxa"/>
          </w:tcPr>
          <w:p w14:paraId="1E06006D" w14:textId="77777777" w:rsidR="00EA322A" w:rsidRPr="004D0E24" w:rsidRDefault="00EA322A" w:rsidP="00A139FC">
            <w:pPr>
              <w:rPr>
                <w:b/>
              </w:rPr>
            </w:pPr>
            <w:r w:rsidRPr="004D0E24">
              <w:rPr>
                <w:b/>
              </w:rPr>
              <w:t>What does success look like?</w:t>
            </w:r>
          </w:p>
        </w:tc>
        <w:tc>
          <w:tcPr>
            <w:tcW w:w="1827" w:type="dxa"/>
          </w:tcPr>
          <w:p w14:paraId="674B2851" w14:textId="77777777" w:rsidR="00EA322A" w:rsidRPr="004D0E24" w:rsidRDefault="00EA322A" w:rsidP="00A139FC">
            <w:pPr>
              <w:rPr>
                <w:b/>
              </w:rPr>
            </w:pPr>
            <w:r w:rsidRPr="004D0E24">
              <w:rPr>
                <w:b/>
              </w:rPr>
              <w:t>Owner</w:t>
            </w:r>
          </w:p>
        </w:tc>
        <w:tc>
          <w:tcPr>
            <w:tcW w:w="1682" w:type="dxa"/>
          </w:tcPr>
          <w:p w14:paraId="495699A5" w14:textId="77777777" w:rsidR="00EA322A" w:rsidRPr="004D0E24" w:rsidRDefault="00EA322A" w:rsidP="00A139FC">
            <w:pPr>
              <w:rPr>
                <w:b/>
              </w:rPr>
            </w:pPr>
            <w:r>
              <w:rPr>
                <w:b/>
              </w:rPr>
              <w:t>Outcome</w:t>
            </w:r>
          </w:p>
        </w:tc>
      </w:tr>
      <w:tr w:rsidR="00EA322A" w14:paraId="57D0D311" w14:textId="77777777" w:rsidTr="27179FD2">
        <w:tc>
          <w:tcPr>
            <w:tcW w:w="3539" w:type="dxa"/>
          </w:tcPr>
          <w:p w14:paraId="37B2E587" w14:textId="48CAE15B" w:rsidR="00EA322A" w:rsidRDefault="733CDCD9" w:rsidP="4C156921">
            <w:pPr>
              <w:spacing w:line="259" w:lineRule="auto"/>
            </w:pPr>
            <w:r>
              <w:t xml:space="preserve">Successful launch of </w:t>
            </w:r>
            <w:r w:rsidR="6641ECCD">
              <w:t>new</w:t>
            </w:r>
            <w:r w:rsidR="45005615">
              <w:t xml:space="preserve"> </w:t>
            </w:r>
            <w:r>
              <w:t>MSc Digital Marketing with first student intake in September 2023</w:t>
            </w:r>
          </w:p>
        </w:tc>
        <w:tc>
          <w:tcPr>
            <w:tcW w:w="2755" w:type="dxa"/>
          </w:tcPr>
          <w:p w14:paraId="651C2D14" w14:textId="263A2505" w:rsidR="00EA322A" w:rsidRDefault="2152C503" w:rsidP="4C156921">
            <w:pPr>
              <w:spacing w:line="259" w:lineRule="auto"/>
            </w:pPr>
            <w:r>
              <w:t>Cohort intake size</w:t>
            </w:r>
            <w:r w:rsidR="099C08FE">
              <w:t>.</w:t>
            </w:r>
          </w:p>
        </w:tc>
        <w:tc>
          <w:tcPr>
            <w:tcW w:w="4216" w:type="dxa"/>
          </w:tcPr>
          <w:p w14:paraId="5265208E" w14:textId="3074FEED" w:rsidR="00EA322A" w:rsidRDefault="73274017" w:rsidP="4C156921">
            <w:pPr>
              <w:spacing w:line="259" w:lineRule="auto"/>
            </w:pPr>
            <w:r>
              <w:t>Achievement of September 2023</w:t>
            </w:r>
            <w:r w:rsidR="12678ADE">
              <w:t xml:space="preserve"> programme</w:t>
            </w:r>
            <w:r>
              <w:t xml:space="preserve"> intake</w:t>
            </w:r>
            <w:r w:rsidR="20168859">
              <w:t xml:space="preserve"> target</w:t>
            </w:r>
            <w:r w:rsidR="378DDB73">
              <w:t>.</w:t>
            </w:r>
          </w:p>
          <w:p w14:paraId="51C449F5" w14:textId="785978A9" w:rsidR="00EA322A" w:rsidRDefault="00EA322A" w:rsidP="27179FD2">
            <w:pPr>
              <w:spacing w:line="259" w:lineRule="auto"/>
            </w:pPr>
          </w:p>
          <w:p w14:paraId="04FA4B96" w14:textId="6B8B357C" w:rsidR="00EA322A" w:rsidRDefault="6BFECA6A" w:rsidP="27179FD2">
            <w:pPr>
              <w:spacing w:line="259" w:lineRule="auto"/>
            </w:pPr>
            <w:r>
              <w:t>Diversified</w:t>
            </w:r>
            <w:r w:rsidR="5FF7D8FD">
              <w:t xml:space="preserve"> student intake</w:t>
            </w:r>
            <w:r w:rsidR="25832AA3">
              <w:t>.</w:t>
            </w:r>
          </w:p>
        </w:tc>
        <w:tc>
          <w:tcPr>
            <w:tcW w:w="1827" w:type="dxa"/>
          </w:tcPr>
          <w:p w14:paraId="11325B83" w14:textId="19D2A552" w:rsidR="00837D1F" w:rsidRDefault="00EA322A" w:rsidP="00A139FC">
            <w:r>
              <w:t>Director of T&amp;L</w:t>
            </w:r>
            <w:r w:rsidR="56CCC382">
              <w:t>; Director PGT Programmes</w:t>
            </w:r>
          </w:p>
        </w:tc>
        <w:tc>
          <w:tcPr>
            <w:tcW w:w="1682" w:type="dxa"/>
          </w:tcPr>
          <w:p w14:paraId="53ED75E6" w14:textId="77777777" w:rsidR="00EA322A" w:rsidRDefault="00EA322A" w:rsidP="00A139FC"/>
        </w:tc>
      </w:tr>
      <w:tr w:rsidR="00EA322A" w14:paraId="70758EA3" w14:textId="77777777" w:rsidTr="27179FD2">
        <w:tc>
          <w:tcPr>
            <w:tcW w:w="3539" w:type="dxa"/>
          </w:tcPr>
          <w:p w14:paraId="013E1D34" w14:textId="2A135048" w:rsidR="00EA322A" w:rsidRDefault="4EAA22AB" w:rsidP="4C156921">
            <w:pPr>
              <w:spacing w:line="259" w:lineRule="auto"/>
            </w:pPr>
            <w:r>
              <w:lastRenderedPageBreak/>
              <w:t xml:space="preserve">Finalise </w:t>
            </w:r>
            <w:r w:rsidR="3CFBC587">
              <w:t>d</w:t>
            </w:r>
            <w:r w:rsidR="53745548">
              <w:t>evelopment of new MSc Sustainable Business in pre</w:t>
            </w:r>
            <w:r w:rsidR="66C61EEF">
              <w:t>paration for first student intake in September 2024</w:t>
            </w:r>
          </w:p>
        </w:tc>
        <w:tc>
          <w:tcPr>
            <w:tcW w:w="2755" w:type="dxa"/>
          </w:tcPr>
          <w:p w14:paraId="46F30831" w14:textId="2D71CA83" w:rsidR="00EA322A" w:rsidRDefault="033D3A4A" w:rsidP="4C156921">
            <w:pPr>
              <w:spacing w:line="259" w:lineRule="auto"/>
            </w:pPr>
            <w:r>
              <w:t>NPP process finalised and student recruitment commences</w:t>
            </w:r>
            <w:r w:rsidR="39B049C3">
              <w:t>.</w:t>
            </w:r>
          </w:p>
        </w:tc>
        <w:tc>
          <w:tcPr>
            <w:tcW w:w="4216" w:type="dxa"/>
          </w:tcPr>
          <w:p w14:paraId="5CFA29EB" w14:textId="2D71D9DA" w:rsidR="00EA322A" w:rsidRDefault="41D7B516" w:rsidP="4C156921">
            <w:r>
              <w:t>Achievement of September 2024</w:t>
            </w:r>
            <w:r w:rsidR="08C17339">
              <w:t xml:space="preserve"> programme</w:t>
            </w:r>
            <w:r>
              <w:t xml:space="preserve"> intake target</w:t>
            </w:r>
            <w:r w:rsidR="2608AE7F">
              <w:t>.</w:t>
            </w:r>
          </w:p>
          <w:p w14:paraId="6E9ECD19" w14:textId="209BAAB0" w:rsidR="00EA322A" w:rsidRDefault="00EA322A" w:rsidP="27179FD2"/>
          <w:p w14:paraId="748E1165" w14:textId="7BDE9AFB" w:rsidR="00EA322A" w:rsidRDefault="6F9CFB30" w:rsidP="27179FD2">
            <w:pPr>
              <w:spacing w:line="259" w:lineRule="auto"/>
            </w:pPr>
            <w:r>
              <w:t>Diversified student intake.</w:t>
            </w:r>
          </w:p>
        </w:tc>
        <w:tc>
          <w:tcPr>
            <w:tcW w:w="1827" w:type="dxa"/>
          </w:tcPr>
          <w:p w14:paraId="79F56F08" w14:textId="19D2A552" w:rsidR="00EA322A" w:rsidRDefault="1D26359E" w:rsidP="00A139FC">
            <w:r>
              <w:t>Director of T&amp;L; Director PGT Programmes</w:t>
            </w:r>
          </w:p>
          <w:p w14:paraId="093E53F2" w14:textId="7FF8CADD" w:rsidR="00EA322A" w:rsidRDefault="00EA322A" w:rsidP="4C156921"/>
        </w:tc>
        <w:tc>
          <w:tcPr>
            <w:tcW w:w="1682" w:type="dxa"/>
          </w:tcPr>
          <w:p w14:paraId="37270EF5" w14:textId="77777777" w:rsidR="00EA322A" w:rsidRDefault="00EA322A" w:rsidP="00A139FC"/>
        </w:tc>
      </w:tr>
      <w:tr w:rsidR="00EA322A" w14:paraId="488D18B0" w14:textId="77777777" w:rsidTr="27179FD2">
        <w:tc>
          <w:tcPr>
            <w:tcW w:w="3539" w:type="dxa"/>
          </w:tcPr>
          <w:p w14:paraId="68EE07E9" w14:textId="56038AD4" w:rsidR="00EA322A" w:rsidRDefault="66F50030" w:rsidP="4C156921">
            <w:pPr>
              <w:spacing w:line="259" w:lineRule="auto"/>
            </w:pPr>
            <w:r>
              <w:t xml:space="preserve">Start development </w:t>
            </w:r>
            <w:r w:rsidR="256B0421">
              <w:t xml:space="preserve">of new </w:t>
            </w:r>
            <w:r w:rsidR="10053D7A">
              <w:t>(blended</w:t>
            </w:r>
            <w:r w:rsidR="3C341B64">
              <w:t xml:space="preserve"> </w:t>
            </w:r>
            <w:r w:rsidR="10053D7A">
              <w:t xml:space="preserve">learning) </w:t>
            </w:r>
            <w:r w:rsidR="256B0421">
              <w:t xml:space="preserve">MSc Fintech programme with anticipated first </w:t>
            </w:r>
            <w:r w:rsidR="7635975B">
              <w:t xml:space="preserve">student </w:t>
            </w:r>
            <w:r w:rsidR="256B0421">
              <w:t>intake in 20</w:t>
            </w:r>
            <w:r w:rsidR="42DE29C9">
              <w:t>2</w:t>
            </w:r>
            <w:r w:rsidR="53E24971">
              <w:t>5-26</w:t>
            </w:r>
          </w:p>
        </w:tc>
        <w:tc>
          <w:tcPr>
            <w:tcW w:w="2755" w:type="dxa"/>
          </w:tcPr>
          <w:p w14:paraId="0EB269DD" w14:textId="5FA7A2AB" w:rsidR="00EA322A" w:rsidRDefault="439D6EC5" w:rsidP="00A139FC">
            <w:r>
              <w:t>NPP process commences</w:t>
            </w:r>
            <w:r w:rsidR="39C07E21">
              <w:t>.</w:t>
            </w:r>
          </w:p>
        </w:tc>
        <w:tc>
          <w:tcPr>
            <w:tcW w:w="4216" w:type="dxa"/>
          </w:tcPr>
          <w:p w14:paraId="6D93EC32" w14:textId="3D97D2DF" w:rsidR="00EA322A" w:rsidRDefault="439D6EC5" w:rsidP="00A139FC">
            <w:r>
              <w:t>NPP Stage 1 completed and NPP Stage 2 progressed (possibly complet</w:t>
            </w:r>
            <w:r w:rsidR="367278C9">
              <w:t>ed)</w:t>
            </w:r>
            <w:r w:rsidR="39C07E21">
              <w:t>.</w:t>
            </w:r>
          </w:p>
        </w:tc>
        <w:tc>
          <w:tcPr>
            <w:tcW w:w="1827" w:type="dxa"/>
          </w:tcPr>
          <w:p w14:paraId="501148C7" w14:textId="19D2A552" w:rsidR="00EA322A" w:rsidRDefault="5A2B732E" w:rsidP="00A139FC">
            <w:r>
              <w:t>Director of T&amp;L; Director PGT Programmes</w:t>
            </w:r>
          </w:p>
          <w:p w14:paraId="5ED91ABF" w14:textId="0959FA0F" w:rsidR="00EA322A" w:rsidRDefault="00EA322A" w:rsidP="4C156921"/>
        </w:tc>
        <w:tc>
          <w:tcPr>
            <w:tcW w:w="1682" w:type="dxa"/>
          </w:tcPr>
          <w:p w14:paraId="49E3F078" w14:textId="77777777" w:rsidR="00EA322A" w:rsidRDefault="00EA322A" w:rsidP="00A139FC"/>
        </w:tc>
      </w:tr>
    </w:tbl>
    <w:p w14:paraId="703ADA23" w14:textId="1E5600A9" w:rsidR="558B0702" w:rsidRDefault="558B0702"/>
    <w:p w14:paraId="1368A047" w14:textId="13D6FF8E" w:rsidR="00EA322A" w:rsidRDefault="00EA322A" w:rsidP="558B0702">
      <w:pPr>
        <w:rPr>
          <w:b/>
          <w:bCs/>
        </w:rPr>
      </w:pPr>
      <w:r>
        <w:t>Longer term objective (</w:t>
      </w:r>
      <w:proofErr w:type="gramStart"/>
      <w:r>
        <w:t>i.e.</w:t>
      </w:r>
      <w:proofErr w:type="gramEnd"/>
      <w:r>
        <w:t xml:space="preserve"> by the end of the 3-year plan): </w:t>
      </w:r>
      <w:r w:rsidR="42619395" w:rsidRPr="558B0702">
        <w:rPr>
          <w:b/>
          <w:bCs/>
        </w:rPr>
        <w:t xml:space="preserve">To improve the student </w:t>
      </w:r>
      <w:r w:rsidR="1155C878" w:rsidRPr="558B0702">
        <w:rPr>
          <w:b/>
          <w:bCs/>
        </w:rPr>
        <w:t>experience</w:t>
      </w:r>
      <w:r w:rsidR="42619395" w:rsidRPr="558B0702">
        <w:rPr>
          <w:b/>
          <w:bCs/>
        </w:rPr>
        <w:t xml:space="preserve"> and student outcomes </w:t>
      </w:r>
    </w:p>
    <w:p w14:paraId="3872A972" w14:textId="4648E171" w:rsidR="00EA322A" w:rsidRDefault="00EA322A" w:rsidP="00EA322A">
      <w:r>
        <w:t>In year objective/activities (please complete the table below):</w:t>
      </w:r>
    </w:p>
    <w:tbl>
      <w:tblPr>
        <w:tblStyle w:val="TableGrid"/>
        <w:tblW w:w="14029" w:type="dxa"/>
        <w:tblLook w:val="04A0" w:firstRow="1" w:lastRow="0" w:firstColumn="1" w:lastColumn="0" w:noHBand="0" w:noVBand="1"/>
      </w:tblPr>
      <w:tblGrid>
        <w:gridCol w:w="3528"/>
        <w:gridCol w:w="2757"/>
        <w:gridCol w:w="4151"/>
        <w:gridCol w:w="1828"/>
        <w:gridCol w:w="1765"/>
      </w:tblGrid>
      <w:tr w:rsidR="00EA322A" w14:paraId="5554E43D" w14:textId="77777777" w:rsidTr="27179FD2">
        <w:tc>
          <w:tcPr>
            <w:tcW w:w="14029" w:type="dxa"/>
            <w:gridSpan w:val="5"/>
            <w:shd w:val="clear" w:color="auto" w:fill="9CC2E5" w:themeFill="accent1" w:themeFillTint="99"/>
          </w:tcPr>
          <w:p w14:paraId="20A42CBC" w14:textId="761343D8" w:rsidR="00EA322A" w:rsidRPr="00EB22BF" w:rsidRDefault="03C24F59" w:rsidP="19BE3CB2">
            <w:pPr>
              <w:rPr>
                <w:b/>
                <w:bCs/>
                <w:sz w:val="24"/>
                <w:szCs w:val="24"/>
              </w:rPr>
            </w:pPr>
            <w:r w:rsidRPr="19BE3CB2">
              <w:rPr>
                <w:b/>
                <w:bCs/>
                <w:sz w:val="24"/>
                <w:szCs w:val="24"/>
              </w:rPr>
              <w:t xml:space="preserve">Objective: </w:t>
            </w:r>
            <w:r w:rsidR="1A54F36C" w:rsidRPr="19BE3CB2">
              <w:rPr>
                <w:b/>
                <w:bCs/>
                <w:sz w:val="24"/>
                <w:szCs w:val="24"/>
              </w:rPr>
              <w:t>Enhanced student experience</w:t>
            </w:r>
          </w:p>
        </w:tc>
      </w:tr>
      <w:tr w:rsidR="00EA322A" w:rsidRPr="004D0E24" w14:paraId="2BFA99ED" w14:textId="77777777" w:rsidTr="27179FD2">
        <w:tc>
          <w:tcPr>
            <w:tcW w:w="3528" w:type="dxa"/>
          </w:tcPr>
          <w:p w14:paraId="34C4DDFD" w14:textId="77777777" w:rsidR="00EA322A" w:rsidRPr="004D0E24" w:rsidRDefault="00EA322A" w:rsidP="00A139FC">
            <w:pPr>
              <w:rPr>
                <w:b/>
              </w:rPr>
            </w:pPr>
            <w:r w:rsidRPr="004D0E24">
              <w:rPr>
                <w:b/>
              </w:rPr>
              <w:t>Activity</w:t>
            </w:r>
          </w:p>
        </w:tc>
        <w:tc>
          <w:tcPr>
            <w:tcW w:w="2757" w:type="dxa"/>
          </w:tcPr>
          <w:p w14:paraId="7F8506FA" w14:textId="77777777" w:rsidR="00EA322A" w:rsidRPr="004D0E24" w:rsidRDefault="00EA322A" w:rsidP="00A139FC">
            <w:pPr>
              <w:rPr>
                <w:b/>
              </w:rPr>
            </w:pPr>
            <w:r w:rsidRPr="004D0E24">
              <w:rPr>
                <w:b/>
              </w:rPr>
              <w:t>How will this be measured?</w:t>
            </w:r>
          </w:p>
        </w:tc>
        <w:tc>
          <w:tcPr>
            <w:tcW w:w="4151" w:type="dxa"/>
          </w:tcPr>
          <w:p w14:paraId="2D699D62" w14:textId="77777777" w:rsidR="00EA322A" w:rsidRPr="004D0E24" w:rsidRDefault="00EA322A" w:rsidP="00A139FC">
            <w:pPr>
              <w:rPr>
                <w:b/>
              </w:rPr>
            </w:pPr>
            <w:r w:rsidRPr="004D0E24">
              <w:rPr>
                <w:b/>
              </w:rPr>
              <w:t>What does success look like?</w:t>
            </w:r>
          </w:p>
        </w:tc>
        <w:tc>
          <w:tcPr>
            <w:tcW w:w="1828" w:type="dxa"/>
          </w:tcPr>
          <w:p w14:paraId="47C7761E" w14:textId="77777777" w:rsidR="00EA322A" w:rsidRPr="004D0E24" w:rsidRDefault="00EA322A" w:rsidP="00A139FC">
            <w:pPr>
              <w:rPr>
                <w:b/>
              </w:rPr>
            </w:pPr>
            <w:r w:rsidRPr="004D0E24">
              <w:rPr>
                <w:b/>
              </w:rPr>
              <w:t>Owner</w:t>
            </w:r>
          </w:p>
        </w:tc>
        <w:tc>
          <w:tcPr>
            <w:tcW w:w="1765" w:type="dxa"/>
          </w:tcPr>
          <w:p w14:paraId="4A0B3B9C" w14:textId="77777777" w:rsidR="00EA322A" w:rsidRPr="004D0E24" w:rsidRDefault="00EA322A" w:rsidP="00A139FC">
            <w:pPr>
              <w:rPr>
                <w:b/>
              </w:rPr>
            </w:pPr>
            <w:r>
              <w:rPr>
                <w:b/>
              </w:rPr>
              <w:t>Outcome</w:t>
            </w:r>
          </w:p>
        </w:tc>
      </w:tr>
      <w:tr w:rsidR="00EA322A" w14:paraId="153AE5EA" w14:textId="77777777" w:rsidTr="27179FD2">
        <w:tc>
          <w:tcPr>
            <w:tcW w:w="3528" w:type="dxa"/>
          </w:tcPr>
          <w:p w14:paraId="47EFF329" w14:textId="69A08895" w:rsidR="00EA322A" w:rsidRDefault="7187D469" w:rsidP="00A139FC">
            <w:r>
              <w:t>Enhancing</w:t>
            </w:r>
            <w:r w:rsidR="70064DED">
              <w:t xml:space="preserve"> student facilities within AMBS including, but not limited to, increase in workstations, increase in social </w:t>
            </w:r>
            <w:r w:rsidR="6F83FD25">
              <w:t>facilities</w:t>
            </w:r>
            <w:r w:rsidR="70064DED">
              <w:t xml:space="preserve"> and spaces</w:t>
            </w:r>
            <w:r w:rsidR="4F15F4CF">
              <w:t>.</w:t>
            </w:r>
          </w:p>
        </w:tc>
        <w:tc>
          <w:tcPr>
            <w:tcW w:w="2757" w:type="dxa"/>
          </w:tcPr>
          <w:p w14:paraId="5B505278" w14:textId="3EF40162" w:rsidR="00EA322A" w:rsidRDefault="4F15F4CF" w:rsidP="558B0702">
            <w:pPr>
              <w:spacing w:line="259" w:lineRule="auto"/>
            </w:pPr>
            <w:r>
              <w:t>Numbers of workstations and social spaces, survey of students to measure satisfaction with facilities.</w:t>
            </w:r>
          </w:p>
        </w:tc>
        <w:tc>
          <w:tcPr>
            <w:tcW w:w="4151" w:type="dxa"/>
          </w:tcPr>
          <w:p w14:paraId="3378B8FC" w14:textId="29541F7A" w:rsidR="00EA322A" w:rsidRDefault="4F15F4CF" w:rsidP="00A139FC">
            <w:r>
              <w:t xml:space="preserve">Increase in </w:t>
            </w:r>
            <w:r w:rsidR="29B14E75">
              <w:t>score in NSS, more positive student feedback and a reduction in complaints about lack of facilities.</w:t>
            </w:r>
          </w:p>
        </w:tc>
        <w:tc>
          <w:tcPr>
            <w:tcW w:w="1828" w:type="dxa"/>
          </w:tcPr>
          <w:p w14:paraId="395D6AE6" w14:textId="68AB0BDE" w:rsidR="00EA322A" w:rsidRDefault="29B14E75" w:rsidP="00A139FC">
            <w:proofErr w:type="spellStart"/>
            <w:r>
              <w:t>Ho</w:t>
            </w:r>
            <w:r w:rsidR="68F64346">
              <w:t>SO</w:t>
            </w:r>
            <w:proofErr w:type="spellEnd"/>
            <w:r w:rsidR="68F64346">
              <w:t xml:space="preserve">; </w:t>
            </w:r>
            <w:proofErr w:type="spellStart"/>
            <w:r w:rsidR="68F64346">
              <w:t>Ho</w:t>
            </w:r>
            <w:r>
              <w:t>TLSE</w:t>
            </w:r>
            <w:proofErr w:type="spellEnd"/>
          </w:p>
        </w:tc>
        <w:tc>
          <w:tcPr>
            <w:tcW w:w="1765" w:type="dxa"/>
          </w:tcPr>
          <w:p w14:paraId="4FDABABE" w14:textId="77777777" w:rsidR="00EA322A" w:rsidRDefault="00EA322A" w:rsidP="00A139FC"/>
        </w:tc>
      </w:tr>
      <w:tr w:rsidR="00EA322A" w14:paraId="567D53DC" w14:textId="77777777" w:rsidTr="27179FD2">
        <w:tc>
          <w:tcPr>
            <w:tcW w:w="3528" w:type="dxa"/>
          </w:tcPr>
          <w:p w14:paraId="0F930226" w14:textId="5797AED6" w:rsidR="00EA322A" w:rsidRDefault="29B14E75" w:rsidP="00A139FC">
            <w:r>
              <w:t xml:space="preserve">Review of Academic Advising units to include creating more of a cohort </w:t>
            </w:r>
            <w:r w:rsidR="3F6601E0">
              <w:t>identity</w:t>
            </w:r>
            <w:r w:rsidR="4848B5DF">
              <w:t>.</w:t>
            </w:r>
          </w:p>
        </w:tc>
        <w:tc>
          <w:tcPr>
            <w:tcW w:w="2757" w:type="dxa"/>
          </w:tcPr>
          <w:p w14:paraId="15C631DE" w14:textId="570B5DF7" w:rsidR="00EA322A" w:rsidRDefault="29B14E75" w:rsidP="00A139FC">
            <w:r>
              <w:t xml:space="preserve">Student and staff satisfaction </w:t>
            </w:r>
            <w:r w:rsidR="0727B313">
              <w:t>survey</w:t>
            </w:r>
            <w:r w:rsidR="69B1E8A8">
              <w:t>.</w:t>
            </w:r>
          </w:p>
        </w:tc>
        <w:tc>
          <w:tcPr>
            <w:tcW w:w="4151" w:type="dxa"/>
          </w:tcPr>
          <w:p w14:paraId="6F73BEC1" w14:textId="785D5A08" w:rsidR="00EA322A" w:rsidRDefault="790E67DC" w:rsidP="558B0702">
            <w:r>
              <w:t>Increase in score in NSS, more positive student feedback</w:t>
            </w:r>
            <w:r w:rsidR="6652194E">
              <w:t>.</w:t>
            </w:r>
          </w:p>
        </w:tc>
        <w:tc>
          <w:tcPr>
            <w:tcW w:w="1828" w:type="dxa"/>
          </w:tcPr>
          <w:p w14:paraId="4669D94A" w14:textId="1F61059A" w:rsidR="00EA322A" w:rsidRDefault="790E67DC" w:rsidP="00A139FC">
            <w:r>
              <w:t xml:space="preserve">Director of UG programmes, </w:t>
            </w:r>
            <w:proofErr w:type="spellStart"/>
            <w:r>
              <w:t>HoTLSE</w:t>
            </w:r>
            <w:proofErr w:type="spellEnd"/>
          </w:p>
        </w:tc>
        <w:tc>
          <w:tcPr>
            <w:tcW w:w="1765" w:type="dxa"/>
          </w:tcPr>
          <w:p w14:paraId="65C1CA5E" w14:textId="77777777" w:rsidR="00EA322A" w:rsidRDefault="00EA322A" w:rsidP="00A139FC"/>
        </w:tc>
      </w:tr>
      <w:tr w:rsidR="27179FD2" w14:paraId="1F7AB903" w14:textId="77777777" w:rsidTr="27179FD2">
        <w:trPr>
          <w:trHeight w:val="300"/>
        </w:trPr>
        <w:tc>
          <w:tcPr>
            <w:tcW w:w="3528" w:type="dxa"/>
          </w:tcPr>
          <w:p w14:paraId="0E2C8013" w14:textId="0A56D937" w:rsidR="569903C3" w:rsidRDefault="569903C3" w:rsidP="27179FD2">
            <w:pPr>
              <w:spacing w:line="259" w:lineRule="auto"/>
            </w:pPr>
            <w:r>
              <w:t xml:space="preserve">Implement </w:t>
            </w:r>
            <w:r w:rsidR="694894CD">
              <w:t>planned grow</w:t>
            </w:r>
            <w:r w:rsidR="602BC8CC">
              <w:t>th</w:t>
            </w:r>
            <w:r w:rsidR="694894CD">
              <w:t xml:space="preserve"> in opportunities for UoM </w:t>
            </w:r>
            <w:r>
              <w:t>student</w:t>
            </w:r>
            <w:r w:rsidR="79A87F0E">
              <w:t xml:space="preserve">s to participate in entrepreneurship education </w:t>
            </w:r>
            <w:r w:rsidR="1B943249">
              <w:t>through MEC.</w:t>
            </w:r>
          </w:p>
        </w:tc>
        <w:tc>
          <w:tcPr>
            <w:tcW w:w="2757" w:type="dxa"/>
          </w:tcPr>
          <w:p w14:paraId="160997B5" w14:textId="2BDD5519" w:rsidR="17852E46" w:rsidRDefault="17852E46" w:rsidP="27179FD2">
            <w:pPr>
              <w:spacing w:line="259" w:lineRule="auto"/>
            </w:pPr>
            <w:r>
              <w:t>% s</w:t>
            </w:r>
            <w:r w:rsidR="58B825F0">
              <w:t>tudents participating in entrepreneurship education</w:t>
            </w:r>
            <w:r>
              <w:t xml:space="preserve">. </w:t>
            </w:r>
          </w:p>
          <w:p w14:paraId="3FAF7134" w14:textId="14A613D1" w:rsidR="66925F30" w:rsidRDefault="66925F30" w:rsidP="27179FD2">
            <w:pPr>
              <w:spacing w:line="259" w:lineRule="auto"/>
            </w:pPr>
            <w:r>
              <w:t>Number of student startups</w:t>
            </w:r>
          </w:p>
        </w:tc>
        <w:tc>
          <w:tcPr>
            <w:tcW w:w="4151" w:type="dxa"/>
          </w:tcPr>
          <w:p w14:paraId="6F1D57A6" w14:textId="7E1C0A6A" w:rsidR="66925F30" w:rsidRDefault="66925F30" w:rsidP="27179FD2">
            <w:pPr>
              <w:spacing w:line="259" w:lineRule="auto"/>
            </w:pPr>
            <w:r>
              <w:t xml:space="preserve">Growth in reputation for entrepreneurship. </w:t>
            </w:r>
          </w:p>
        </w:tc>
        <w:tc>
          <w:tcPr>
            <w:tcW w:w="1828" w:type="dxa"/>
          </w:tcPr>
          <w:p w14:paraId="25A4213D" w14:textId="27D6DAB1" w:rsidR="78A5AD20" w:rsidRDefault="78A5AD20" w:rsidP="27179FD2">
            <w:r>
              <w:t>Director of Masood Entrepreneurship Centre</w:t>
            </w:r>
          </w:p>
        </w:tc>
        <w:tc>
          <w:tcPr>
            <w:tcW w:w="1765" w:type="dxa"/>
          </w:tcPr>
          <w:p w14:paraId="2EDD9E09" w14:textId="26FBF4E8" w:rsidR="27179FD2" w:rsidRDefault="27179FD2" w:rsidP="27179FD2"/>
        </w:tc>
      </w:tr>
    </w:tbl>
    <w:p w14:paraId="39223159" w14:textId="57C3EE3A" w:rsidR="00EA322A" w:rsidRDefault="00EA322A" w:rsidP="00EA322A"/>
    <w:p w14:paraId="4D931482" w14:textId="77777777" w:rsidR="00F320C2" w:rsidRDefault="00F320C2" w:rsidP="00EA322A"/>
    <w:p w14:paraId="2FF80CD4" w14:textId="77777777" w:rsidR="00F320C2" w:rsidRDefault="00F320C2" w:rsidP="00EA322A"/>
    <w:p w14:paraId="550A9C8B" w14:textId="77777777" w:rsidR="00F320C2" w:rsidRDefault="00F320C2" w:rsidP="00EA322A"/>
    <w:p w14:paraId="785EFC3C" w14:textId="77777777" w:rsidR="00F320C2" w:rsidRDefault="00F320C2" w:rsidP="00EA322A"/>
    <w:p w14:paraId="4D31683B" w14:textId="4F143023" w:rsidR="00EA322A" w:rsidRDefault="00EA322A" w:rsidP="00EA322A">
      <w:pPr>
        <w:pStyle w:val="Heading2"/>
      </w:pPr>
      <w:r>
        <w:lastRenderedPageBreak/>
        <w:t>Social Responsibility and EDI</w:t>
      </w:r>
    </w:p>
    <w:p w14:paraId="5831FFAC" w14:textId="07C33F17" w:rsidR="0FAE7D13" w:rsidRDefault="0FAE7D13" w:rsidP="0FAE7D13"/>
    <w:p w14:paraId="70D32722" w14:textId="47E54D50" w:rsidR="00EA322A" w:rsidRPr="00EA322A" w:rsidRDefault="00EA322A" w:rsidP="0FAE7D13">
      <w:pPr>
        <w:rPr>
          <w:b/>
          <w:bCs/>
        </w:rPr>
      </w:pPr>
      <w:r>
        <w:t>Longer term objective (</w:t>
      </w:r>
      <w:proofErr w:type="gramStart"/>
      <w:r>
        <w:t>i.e.</w:t>
      </w:r>
      <w:proofErr w:type="gramEnd"/>
      <w:r>
        <w:t xml:space="preserve"> by the end of the 3-year plan): </w:t>
      </w:r>
      <w:r w:rsidR="7D433EB0">
        <w:t xml:space="preserve"> </w:t>
      </w:r>
      <w:r w:rsidR="7D433EB0" w:rsidRPr="4D181D05">
        <w:rPr>
          <w:b/>
          <w:bCs/>
        </w:rPr>
        <w:t>Create a more sustainable working environment</w:t>
      </w:r>
      <w:r w:rsidR="2C801D06" w:rsidRPr="4D181D05">
        <w:rPr>
          <w:b/>
          <w:bCs/>
        </w:rPr>
        <w:t xml:space="preserve"> and embed sustainable processes</w:t>
      </w:r>
    </w:p>
    <w:p w14:paraId="6F912847" w14:textId="77777777" w:rsidR="00EA322A" w:rsidRPr="00EA322A" w:rsidRDefault="00EA322A" w:rsidP="00EA322A">
      <w:r w:rsidRPr="00EA322A">
        <w:t>In year objective/activities (please complete the table below)</w:t>
      </w:r>
      <w:r>
        <w:t>:</w:t>
      </w:r>
    </w:p>
    <w:tbl>
      <w:tblPr>
        <w:tblStyle w:val="TableGrid"/>
        <w:tblW w:w="14029" w:type="dxa"/>
        <w:tblLook w:val="04A0" w:firstRow="1" w:lastRow="0" w:firstColumn="1" w:lastColumn="0" w:noHBand="0" w:noVBand="1"/>
      </w:tblPr>
      <w:tblGrid>
        <w:gridCol w:w="3528"/>
        <w:gridCol w:w="2757"/>
        <w:gridCol w:w="4151"/>
        <w:gridCol w:w="1828"/>
        <w:gridCol w:w="1765"/>
      </w:tblGrid>
      <w:tr w:rsidR="00EA322A" w14:paraId="59224D9F" w14:textId="77777777" w:rsidTr="558B0702">
        <w:tc>
          <w:tcPr>
            <w:tcW w:w="14029" w:type="dxa"/>
            <w:gridSpan w:val="5"/>
            <w:shd w:val="clear" w:color="auto" w:fill="9CC2E5" w:themeFill="accent1" w:themeFillTint="99"/>
          </w:tcPr>
          <w:p w14:paraId="494437ED" w14:textId="27542FD0" w:rsidR="00EA322A" w:rsidRPr="00EB22BF" w:rsidRDefault="1ECF1D95" w:rsidP="0FAE7D13">
            <w:pPr>
              <w:rPr>
                <w:b/>
                <w:bCs/>
                <w:sz w:val="24"/>
                <w:szCs w:val="24"/>
              </w:rPr>
            </w:pPr>
            <w:r w:rsidRPr="0FAE7D13">
              <w:rPr>
                <w:b/>
                <w:bCs/>
                <w:sz w:val="24"/>
                <w:szCs w:val="24"/>
              </w:rPr>
              <w:t>Objective:</w:t>
            </w:r>
            <w:r w:rsidR="6ACCAC88" w:rsidRPr="0FAE7D13">
              <w:rPr>
                <w:b/>
                <w:bCs/>
                <w:sz w:val="24"/>
                <w:szCs w:val="24"/>
              </w:rPr>
              <w:t xml:space="preserve"> </w:t>
            </w:r>
            <w:r w:rsidR="7A788766" w:rsidRPr="0FAE7D13">
              <w:rPr>
                <w:b/>
                <w:bCs/>
                <w:sz w:val="24"/>
                <w:szCs w:val="24"/>
              </w:rPr>
              <w:t>Support the Humanities Environmental Sustainability Strategy</w:t>
            </w:r>
          </w:p>
        </w:tc>
      </w:tr>
      <w:tr w:rsidR="00EA322A" w:rsidRPr="004D0E24" w14:paraId="23E3605D" w14:textId="77777777" w:rsidTr="558B0702">
        <w:tc>
          <w:tcPr>
            <w:tcW w:w="3528" w:type="dxa"/>
          </w:tcPr>
          <w:p w14:paraId="1408B464" w14:textId="77777777" w:rsidR="00EA322A" w:rsidRPr="004D0E24" w:rsidRDefault="00EA322A" w:rsidP="007A1728">
            <w:pPr>
              <w:rPr>
                <w:b/>
              </w:rPr>
            </w:pPr>
            <w:r w:rsidRPr="004D0E24">
              <w:rPr>
                <w:b/>
              </w:rPr>
              <w:t>Activity</w:t>
            </w:r>
          </w:p>
        </w:tc>
        <w:tc>
          <w:tcPr>
            <w:tcW w:w="2757" w:type="dxa"/>
          </w:tcPr>
          <w:p w14:paraId="2CFD1BD3" w14:textId="77777777" w:rsidR="00EA322A" w:rsidRPr="004D0E24" w:rsidRDefault="00EA322A" w:rsidP="007A1728">
            <w:pPr>
              <w:rPr>
                <w:b/>
              </w:rPr>
            </w:pPr>
            <w:r w:rsidRPr="004D0E24">
              <w:rPr>
                <w:b/>
              </w:rPr>
              <w:t>How will this be measured?</w:t>
            </w:r>
          </w:p>
        </w:tc>
        <w:tc>
          <w:tcPr>
            <w:tcW w:w="4151" w:type="dxa"/>
          </w:tcPr>
          <w:p w14:paraId="052129AC" w14:textId="77777777" w:rsidR="00EA322A" w:rsidRPr="004D0E24" w:rsidRDefault="00EA322A" w:rsidP="007A1728">
            <w:pPr>
              <w:rPr>
                <w:b/>
              </w:rPr>
            </w:pPr>
            <w:r w:rsidRPr="004D0E24">
              <w:rPr>
                <w:b/>
              </w:rPr>
              <w:t>What does success look like?</w:t>
            </w:r>
          </w:p>
        </w:tc>
        <w:tc>
          <w:tcPr>
            <w:tcW w:w="1828" w:type="dxa"/>
          </w:tcPr>
          <w:p w14:paraId="644871EA" w14:textId="77777777" w:rsidR="00EA322A" w:rsidRPr="004D0E24" w:rsidRDefault="00EA322A" w:rsidP="007A1728">
            <w:pPr>
              <w:rPr>
                <w:b/>
              </w:rPr>
            </w:pPr>
            <w:r w:rsidRPr="004D0E24">
              <w:rPr>
                <w:b/>
              </w:rPr>
              <w:t>Owner</w:t>
            </w:r>
          </w:p>
        </w:tc>
        <w:tc>
          <w:tcPr>
            <w:tcW w:w="1765" w:type="dxa"/>
          </w:tcPr>
          <w:p w14:paraId="4A471452" w14:textId="77777777" w:rsidR="00EA322A" w:rsidRPr="004D0E24" w:rsidRDefault="00EA322A" w:rsidP="007A1728">
            <w:pPr>
              <w:rPr>
                <w:b/>
              </w:rPr>
            </w:pPr>
            <w:r>
              <w:rPr>
                <w:b/>
              </w:rPr>
              <w:t>Outcome</w:t>
            </w:r>
          </w:p>
        </w:tc>
      </w:tr>
      <w:tr w:rsidR="00EA322A" w14:paraId="24013DB1" w14:textId="77777777" w:rsidTr="558B0702">
        <w:tc>
          <w:tcPr>
            <w:tcW w:w="3528" w:type="dxa"/>
          </w:tcPr>
          <w:p w14:paraId="2121D713" w14:textId="2F101DCC" w:rsidR="00EA322A" w:rsidRDefault="391D6C98" w:rsidP="007A1728">
            <w:r>
              <w:t>Introduce the School Operations STAR model to support sustainable travel and compliance with the UoM Travel Policy</w:t>
            </w:r>
            <w:r w:rsidR="50DA4702">
              <w:t>.</w:t>
            </w:r>
          </w:p>
        </w:tc>
        <w:tc>
          <w:tcPr>
            <w:tcW w:w="2757" w:type="dxa"/>
          </w:tcPr>
          <w:p w14:paraId="2A44B65E" w14:textId="1BC10447" w:rsidR="00EA322A" w:rsidRDefault="391D6C98" w:rsidP="007A1728">
            <w:r>
              <w:t>Launch and review of the STAR workflow</w:t>
            </w:r>
            <w:r w:rsidR="3AB49ABA">
              <w:t>.</w:t>
            </w:r>
          </w:p>
        </w:tc>
        <w:tc>
          <w:tcPr>
            <w:tcW w:w="4151" w:type="dxa"/>
          </w:tcPr>
          <w:p w14:paraId="2914EC0C" w14:textId="232CDC2C" w:rsidR="00EA322A" w:rsidRDefault="391D6C98" w:rsidP="007A1728">
            <w:r>
              <w:t>Increase in take up of more sustainable travel options</w:t>
            </w:r>
            <w:r w:rsidR="73567DC8">
              <w:t>.</w:t>
            </w:r>
          </w:p>
        </w:tc>
        <w:tc>
          <w:tcPr>
            <w:tcW w:w="1828" w:type="dxa"/>
          </w:tcPr>
          <w:p w14:paraId="22B04F2B" w14:textId="7F89BC80" w:rsidR="00EA322A" w:rsidRDefault="391D6C98" w:rsidP="007A1728">
            <w:r>
              <w:t>School Operations Manager</w:t>
            </w:r>
          </w:p>
        </w:tc>
        <w:tc>
          <w:tcPr>
            <w:tcW w:w="1765" w:type="dxa"/>
          </w:tcPr>
          <w:p w14:paraId="60D9F10C" w14:textId="77777777" w:rsidR="00EA322A" w:rsidRDefault="00EA322A" w:rsidP="007A1728"/>
        </w:tc>
      </w:tr>
      <w:tr w:rsidR="00EA322A" w14:paraId="36628DDA" w14:textId="77777777" w:rsidTr="558B0702">
        <w:tc>
          <w:tcPr>
            <w:tcW w:w="3528" w:type="dxa"/>
          </w:tcPr>
          <w:p w14:paraId="5EA86B18" w14:textId="0DADF3F9" w:rsidR="00EA322A" w:rsidRDefault="342E0322" w:rsidP="007A1728">
            <w:r>
              <w:t>Promote the Environmental Travel funding available at UoM and Faculty level; and discuss School level to align with other Humanities Schools</w:t>
            </w:r>
            <w:r w:rsidR="7185FB73">
              <w:t>.</w:t>
            </w:r>
          </w:p>
        </w:tc>
        <w:tc>
          <w:tcPr>
            <w:tcW w:w="2757" w:type="dxa"/>
          </w:tcPr>
          <w:p w14:paraId="7E214F9B" w14:textId="061F3662" w:rsidR="00EA322A" w:rsidRDefault="342E0322" w:rsidP="007A1728">
            <w:r>
              <w:t>Budget identified and engagement with communications</w:t>
            </w:r>
            <w:r w:rsidR="302CB99B">
              <w:t>.</w:t>
            </w:r>
          </w:p>
        </w:tc>
        <w:tc>
          <w:tcPr>
            <w:tcW w:w="4151" w:type="dxa"/>
          </w:tcPr>
          <w:p w14:paraId="5EF7EFFB" w14:textId="4EF0DB01" w:rsidR="00EA322A" w:rsidRDefault="342E0322" w:rsidP="007A1728">
            <w:r>
              <w:t>Increase in take up of applications to the fund</w:t>
            </w:r>
            <w:r w:rsidR="7D377BB1">
              <w:t>.</w:t>
            </w:r>
          </w:p>
        </w:tc>
        <w:tc>
          <w:tcPr>
            <w:tcW w:w="1828" w:type="dxa"/>
          </w:tcPr>
          <w:p w14:paraId="68BE67FE" w14:textId="57657083" w:rsidR="00EA322A" w:rsidRDefault="342E0322" w:rsidP="007A1728">
            <w:r>
              <w:t>School Operations Manager</w:t>
            </w:r>
          </w:p>
        </w:tc>
        <w:tc>
          <w:tcPr>
            <w:tcW w:w="1765" w:type="dxa"/>
          </w:tcPr>
          <w:p w14:paraId="6BA8661E" w14:textId="77777777" w:rsidR="00EA322A" w:rsidRDefault="00EA322A" w:rsidP="007A1728"/>
        </w:tc>
      </w:tr>
      <w:tr w:rsidR="00EA322A" w14:paraId="2BD573FB" w14:textId="77777777" w:rsidTr="558B0702">
        <w:tc>
          <w:tcPr>
            <w:tcW w:w="3528" w:type="dxa"/>
          </w:tcPr>
          <w:p w14:paraId="7DE8AEE5" w14:textId="62C45802" w:rsidR="00EA322A" w:rsidRDefault="33B1015E" w:rsidP="007A1728">
            <w:r>
              <w:t>Engage with Food on Campus regarding removal of the plastic bottles in AMBS outlets</w:t>
            </w:r>
            <w:r w:rsidR="4F2477E2">
              <w:t>.</w:t>
            </w:r>
          </w:p>
        </w:tc>
        <w:tc>
          <w:tcPr>
            <w:tcW w:w="2757" w:type="dxa"/>
          </w:tcPr>
          <w:p w14:paraId="628A8B10" w14:textId="7FDC55F5" w:rsidR="00EA322A" w:rsidRDefault="33B1015E" w:rsidP="007A1728">
            <w:r>
              <w:t>Removal of bottles and promote sale of sustainable water bottles</w:t>
            </w:r>
            <w:r w:rsidR="2882CEBF">
              <w:t>.</w:t>
            </w:r>
          </w:p>
        </w:tc>
        <w:tc>
          <w:tcPr>
            <w:tcW w:w="4151" w:type="dxa"/>
          </w:tcPr>
          <w:p w14:paraId="7805D906" w14:textId="3ACB3E89" w:rsidR="00EA322A" w:rsidRDefault="33B1015E" w:rsidP="007A1728">
            <w:r>
              <w:t>No bottles; successful website and social content campaign</w:t>
            </w:r>
            <w:r w:rsidR="6370C34B">
              <w:t>.</w:t>
            </w:r>
            <w:r>
              <w:t xml:space="preserve"> </w:t>
            </w:r>
          </w:p>
        </w:tc>
        <w:tc>
          <w:tcPr>
            <w:tcW w:w="1828" w:type="dxa"/>
          </w:tcPr>
          <w:p w14:paraId="1363B0D2" w14:textId="2914A01C" w:rsidR="00EA322A" w:rsidRDefault="33B1015E" w:rsidP="007A1728">
            <w:r>
              <w:t>School Operations Manager</w:t>
            </w:r>
          </w:p>
        </w:tc>
        <w:tc>
          <w:tcPr>
            <w:tcW w:w="1765" w:type="dxa"/>
          </w:tcPr>
          <w:p w14:paraId="728322A8" w14:textId="77777777" w:rsidR="00EA322A" w:rsidRDefault="00EA322A" w:rsidP="007A1728"/>
        </w:tc>
      </w:tr>
      <w:tr w:rsidR="558B0702" w14:paraId="30E36A04" w14:textId="77777777" w:rsidTr="558B0702">
        <w:trPr>
          <w:trHeight w:val="300"/>
        </w:trPr>
        <w:tc>
          <w:tcPr>
            <w:tcW w:w="3528" w:type="dxa"/>
          </w:tcPr>
          <w:p w14:paraId="11C5649E" w14:textId="688601FA" w:rsidR="68CBBC79" w:rsidRDefault="68CBBC79" w:rsidP="558B0702">
            <w:pPr>
              <w:rPr>
                <w:rFonts w:ascii="Calibri" w:eastAsia="Calibri" w:hAnsi="Calibri" w:cs="Calibri"/>
              </w:rPr>
            </w:pPr>
            <w:r w:rsidRPr="558B0702">
              <w:rPr>
                <w:rFonts w:ascii="Calibri" w:eastAsia="Calibri" w:hAnsi="Calibri" w:cs="Calibri"/>
              </w:rPr>
              <w:t>Review and implement more efficient ways of travelling as part of our ‘flying Faculty model’ in TNE delivered programmes as well as the active adoption of more suitably qualified and able local academics, where appropriate</w:t>
            </w:r>
            <w:r w:rsidR="28A47C6D" w:rsidRPr="558B0702">
              <w:rPr>
                <w:rFonts w:ascii="Calibri" w:eastAsia="Calibri" w:hAnsi="Calibri" w:cs="Calibri"/>
              </w:rPr>
              <w:t>.</w:t>
            </w:r>
          </w:p>
          <w:p w14:paraId="081A756D" w14:textId="033942B4" w:rsidR="558B0702" w:rsidRDefault="558B0702" w:rsidP="558B0702"/>
        </w:tc>
        <w:tc>
          <w:tcPr>
            <w:tcW w:w="2757" w:type="dxa"/>
          </w:tcPr>
          <w:p w14:paraId="55714BAE" w14:textId="35E4AA5F" w:rsidR="68CBBC79" w:rsidRDefault="68CBBC79" w:rsidP="558B0702">
            <w:r>
              <w:t>number of flights compared to baseline 2018/19</w:t>
            </w:r>
            <w:r w:rsidR="547E09DE">
              <w:t>.</w:t>
            </w:r>
          </w:p>
        </w:tc>
        <w:tc>
          <w:tcPr>
            <w:tcW w:w="4151" w:type="dxa"/>
          </w:tcPr>
          <w:p w14:paraId="7BEE6EA1" w14:textId="303A572E" w:rsidR="68CBBC79" w:rsidRDefault="68CBBC79" w:rsidP="558B0702">
            <w:r>
              <w:t>Number of flights reduced</w:t>
            </w:r>
            <w:r w:rsidR="547E09DE">
              <w:t>.</w:t>
            </w:r>
          </w:p>
        </w:tc>
        <w:tc>
          <w:tcPr>
            <w:tcW w:w="1828" w:type="dxa"/>
          </w:tcPr>
          <w:p w14:paraId="3E5D25C7" w14:textId="537EF4D2" w:rsidR="547E09DE" w:rsidRDefault="547E09DE" w:rsidP="558B0702">
            <w:r>
              <w:t xml:space="preserve">Global MBA </w:t>
            </w:r>
            <w:proofErr w:type="gramStart"/>
            <w:r>
              <w:t>Director;</w:t>
            </w:r>
            <w:proofErr w:type="gramEnd"/>
            <w:r>
              <w:t xml:space="preserve"> </w:t>
            </w:r>
          </w:p>
          <w:p w14:paraId="77955F42" w14:textId="0E2F833D" w:rsidR="68CBBC79" w:rsidRDefault="68CBBC79" w:rsidP="558B0702">
            <w:r>
              <w:t>Head of MBA and Global MBA Operations</w:t>
            </w:r>
          </w:p>
        </w:tc>
        <w:tc>
          <w:tcPr>
            <w:tcW w:w="1765" w:type="dxa"/>
          </w:tcPr>
          <w:p w14:paraId="3D0BC7E1" w14:textId="07E25E8F" w:rsidR="558B0702" w:rsidRDefault="558B0702" w:rsidP="558B0702"/>
        </w:tc>
      </w:tr>
    </w:tbl>
    <w:p w14:paraId="00FE442D" w14:textId="6EBF5C97" w:rsidR="00EA322A" w:rsidRDefault="00EA322A" w:rsidP="00EA322A"/>
    <w:p w14:paraId="59B79244" w14:textId="77777777" w:rsidR="00F320C2" w:rsidRDefault="00F320C2" w:rsidP="00EA322A"/>
    <w:p w14:paraId="46EA4782" w14:textId="77777777" w:rsidR="00F320C2" w:rsidRDefault="00F320C2" w:rsidP="00EA322A"/>
    <w:p w14:paraId="60F3F065" w14:textId="77777777" w:rsidR="00F320C2" w:rsidRDefault="00F320C2" w:rsidP="00EA322A"/>
    <w:p w14:paraId="681CB905" w14:textId="77777777" w:rsidR="00F320C2" w:rsidRDefault="00F320C2" w:rsidP="00EA322A"/>
    <w:p w14:paraId="4743AE34" w14:textId="1926F165" w:rsidR="261986A2" w:rsidRDefault="261986A2" w:rsidP="4D181D05">
      <w:pPr>
        <w:rPr>
          <w:b/>
          <w:bCs/>
        </w:rPr>
      </w:pPr>
      <w:r>
        <w:lastRenderedPageBreak/>
        <w:t>Longer term objective (</w:t>
      </w:r>
      <w:proofErr w:type="gramStart"/>
      <w:r>
        <w:t>i.e.</w:t>
      </w:r>
      <w:proofErr w:type="gramEnd"/>
      <w:r>
        <w:t xml:space="preserve"> by the end of the 3-year plan):  </w:t>
      </w:r>
      <w:r w:rsidRPr="4D181D05">
        <w:rPr>
          <w:b/>
          <w:bCs/>
        </w:rPr>
        <w:t>Create a more inclusive working environment</w:t>
      </w:r>
      <w:r w:rsidR="667D4870" w:rsidRPr="4D181D05">
        <w:rPr>
          <w:b/>
          <w:bCs/>
        </w:rPr>
        <w:t xml:space="preserve"> and student experience</w:t>
      </w:r>
    </w:p>
    <w:p w14:paraId="30BD478D" w14:textId="77777777" w:rsidR="261986A2" w:rsidRDefault="261986A2">
      <w:r>
        <w:t>In year objective/activities (please complete the table below):</w:t>
      </w:r>
    </w:p>
    <w:p w14:paraId="7106BC0F" w14:textId="424945A6" w:rsidR="4D181D05" w:rsidRDefault="4D181D05" w:rsidP="4D181D05"/>
    <w:tbl>
      <w:tblPr>
        <w:tblStyle w:val="TableGrid"/>
        <w:tblW w:w="14029" w:type="dxa"/>
        <w:tblLook w:val="04A0" w:firstRow="1" w:lastRow="0" w:firstColumn="1" w:lastColumn="0" w:noHBand="0" w:noVBand="1"/>
      </w:tblPr>
      <w:tblGrid>
        <w:gridCol w:w="3528"/>
        <w:gridCol w:w="2757"/>
        <w:gridCol w:w="4151"/>
        <w:gridCol w:w="1828"/>
        <w:gridCol w:w="1765"/>
      </w:tblGrid>
      <w:tr w:rsidR="00EA322A" w14:paraId="26B5CCB2" w14:textId="77777777" w:rsidTr="27179FD2">
        <w:tc>
          <w:tcPr>
            <w:tcW w:w="14029" w:type="dxa"/>
            <w:gridSpan w:val="5"/>
            <w:shd w:val="clear" w:color="auto" w:fill="9CC2E5" w:themeFill="accent1" w:themeFillTint="99"/>
          </w:tcPr>
          <w:p w14:paraId="517C4026" w14:textId="40D16525" w:rsidR="00EA322A" w:rsidRPr="00EB22BF" w:rsidRDefault="03C24F59" w:rsidP="542F15F4">
            <w:pPr>
              <w:rPr>
                <w:b/>
                <w:bCs/>
                <w:sz w:val="24"/>
                <w:szCs w:val="24"/>
              </w:rPr>
            </w:pPr>
            <w:r w:rsidRPr="19BE3CB2">
              <w:rPr>
                <w:b/>
                <w:bCs/>
                <w:sz w:val="24"/>
                <w:szCs w:val="24"/>
              </w:rPr>
              <w:t xml:space="preserve">Objective:  </w:t>
            </w:r>
            <w:r w:rsidR="1BCBA854" w:rsidRPr="19BE3CB2">
              <w:rPr>
                <w:b/>
                <w:bCs/>
                <w:sz w:val="24"/>
                <w:szCs w:val="24"/>
              </w:rPr>
              <w:t>F</w:t>
            </w:r>
            <w:r w:rsidR="62DCEC23" w:rsidRPr="19BE3CB2">
              <w:rPr>
                <w:b/>
                <w:bCs/>
                <w:sz w:val="24"/>
                <w:szCs w:val="24"/>
              </w:rPr>
              <w:t xml:space="preserve">urther embed SR and EDI in </w:t>
            </w:r>
            <w:r w:rsidR="3B40FEC7" w:rsidRPr="19BE3CB2">
              <w:rPr>
                <w:b/>
                <w:bCs/>
                <w:sz w:val="24"/>
                <w:szCs w:val="24"/>
              </w:rPr>
              <w:t>Core Goals,</w:t>
            </w:r>
            <w:r w:rsidR="62DCEC23" w:rsidRPr="19BE3CB2">
              <w:rPr>
                <w:b/>
                <w:bCs/>
                <w:sz w:val="24"/>
                <w:szCs w:val="24"/>
              </w:rPr>
              <w:t xml:space="preserve"> </w:t>
            </w:r>
            <w:r w:rsidR="6CEAE1B3" w:rsidRPr="19BE3CB2">
              <w:rPr>
                <w:b/>
                <w:bCs/>
                <w:sz w:val="24"/>
                <w:szCs w:val="24"/>
              </w:rPr>
              <w:t>Operations</w:t>
            </w:r>
            <w:r w:rsidR="5C8AE9FC" w:rsidRPr="19BE3CB2">
              <w:rPr>
                <w:b/>
                <w:bCs/>
                <w:sz w:val="24"/>
                <w:szCs w:val="24"/>
              </w:rPr>
              <w:t xml:space="preserve"> and across the </w:t>
            </w:r>
            <w:proofErr w:type="gramStart"/>
            <w:r w:rsidR="5C8AE9FC" w:rsidRPr="19BE3CB2">
              <w:rPr>
                <w:b/>
                <w:bCs/>
                <w:sz w:val="24"/>
                <w:szCs w:val="24"/>
              </w:rPr>
              <w:t>School</w:t>
            </w:r>
            <w:proofErr w:type="gramEnd"/>
          </w:p>
        </w:tc>
      </w:tr>
      <w:tr w:rsidR="00EA322A" w:rsidRPr="004D0E24" w14:paraId="2CE57D86" w14:textId="77777777" w:rsidTr="27179FD2">
        <w:tc>
          <w:tcPr>
            <w:tcW w:w="3528" w:type="dxa"/>
          </w:tcPr>
          <w:p w14:paraId="277A88CE" w14:textId="77777777" w:rsidR="00EA322A" w:rsidRPr="004D0E24" w:rsidRDefault="00EA322A" w:rsidP="007A1728">
            <w:pPr>
              <w:rPr>
                <w:b/>
              </w:rPr>
            </w:pPr>
            <w:r w:rsidRPr="004D0E24">
              <w:rPr>
                <w:b/>
              </w:rPr>
              <w:t>Activity</w:t>
            </w:r>
          </w:p>
        </w:tc>
        <w:tc>
          <w:tcPr>
            <w:tcW w:w="2757" w:type="dxa"/>
          </w:tcPr>
          <w:p w14:paraId="22DF0CE5" w14:textId="77777777" w:rsidR="00EA322A" w:rsidRPr="004D0E24" w:rsidRDefault="00EA322A" w:rsidP="007A1728">
            <w:pPr>
              <w:rPr>
                <w:b/>
              </w:rPr>
            </w:pPr>
            <w:r w:rsidRPr="004D0E24">
              <w:rPr>
                <w:b/>
              </w:rPr>
              <w:t>How will this be measured?</w:t>
            </w:r>
          </w:p>
        </w:tc>
        <w:tc>
          <w:tcPr>
            <w:tcW w:w="4151" w:type="dxa"/>
          </w:tcPr>
          <w:p w14:paraId="61FE80A9" w14:textId="77777777" w:rsidR="00EA322A" w:rsidRPr="004D0E24" w:rsidRDefault="00EA322A" w:rsidP="007A1728">
            <w:pPr>
              <w:rPr>
                <w:b/>
              </w:rPr>
            </w:pPr>
            <w:r w:rsidRPr="004D0E24">
              <w:rPr>
                <w:b/>
              </w:rPr>
              <w:t>What does success look like?</w:t>
            </w:r>
          </w:p>
        </w:tc>
        <w:tc>
          <w:tcPr>
            <w:tcW w:w="1828" w:type="dxa"/>
          </w:tcPr>
          <w:p w14:paraId="7B9ABA91" w14:textId="77777777" w:rsidR="00EA322A" w:rsidRPr="004D0E24" w:rsidRDefault="00EA322A" w:rsidP="007A1728">
            <w:pPr>
              <w:rPr>
                <w:b/>
              </w:rPr>
            </w:pPr>
            <w:r w:rsidRPr="004D0E24">
              <w:rPr>
                <w:b/>
              </w:rPr>
              <w:t>Owner</w:t>
            </w:r>
          </w:p>
        </w:tc>
        <w:tc>
          <w:tcPr>
            <w:tcW w:w="1765" w:type="dxa"/>
          </w:tcPr>
          <w:p w14:paraId="79F45172" w14:textId="77777777" w:rsidR="00EA322A" w:rsidRPr="004D0E24" w:rsidRDefault="00EA322A" w:rsidP="007A1728">
            <w:pPr>
              <w:rPr>
                <w:b/>
              </w:rPr>
            </w:pPr>
            <w:r>
              <w:rPr>
                <w:b/>
              </w:rPr>
              <w:t>Outcome</w:t>
            </w:r>
          </w:p>
        </w:tc>
      </w:tr>
      <w:tr w:rsidR="19BE3CB2" w14:paraId="6ABC5548" w14:textId="77777777" w:rsidTr="27179FD2">
        <w:trPr>
          <w:trHeight w:val="300"/>
        </w:trPr>
        <w:tc>
          <w:tcPr>
            <w:tcW w:w="3528" w:type="dxa"/>
          </w:tcPr>
          <w:p w14:paraId="32017F0D" w14:textId="3DE13395" w:rsidR="39C76A4D" w:rsidRDefault="39C76A4D" w:rsidP="19BE3CB2">
            <w:pPr>
              <w:rPr>
                <w:b/>
                <w:bCs/>
              </w:rPr>
            </w:pPr>
            <w:r>
              <w:t>Head of School staff engagement programme</w:t>
            </w:r>
          </w:p>
          <w:p w14:paraId="707B380E" w14:textId="3C4DCC1B" w:rsidR="19BE3CB2" w:rsidRDefault="19BE3CB2" w:rsidP="19BE3CB2"/>
        </w:tc>
        <w:tc>
          <w:tcPr>
            <w:tcW w:w="2757" w:type="dxa"/>
          </w:tcPr>
          <w:p w14:paraId="2BAECED2" w14:textId="448C90C0" w:rsidR="39C76A4D" w:rsidRDefault="39C76A4D" w:rsidP="19BE3CB2">
            <w:r>
              <w:t>Regularity and attendance of colleagues at planned engagement sessions</w:t>
            </w:r>
          </w:p>
        </w:tc>
        <w:tc>
          <w:tcPr>
            <w:tcW w:w="4151" w:type="dxa"/>
          </w:tcPr>
          <w:p w14:paraId="59C89EC9" w14:textId="0416354B" w:rsidR="39C76A4D" w:rsidRDefault="39C76A4D" w:rsidP="19BE3CB2">
            <w:pPr>
              <w:rPr>
                <w:b/>
                <w:bCs/>
              </w:rPr>
            </w:pPr>
            <w:r>
              <w:t>Blend of feedback from colleagues and tangible, well communicated actions as follow up.</w:t>
            </w:r>
            <w:r w:rsidRPr="19BE3CB2">
              <w:rPr>
                <w:b/>
                <w:bCs/>
              </w:rPr>
              <w:t xml:space="preserve"> </w:t>
            </w:r>
          </w:p>
        </w:tc>
        <w:tc>
          <w:tcPr>
            <w:tcW w:w="1828" w:type="dxa"/>
          </w:tcPr>
          <w:p w14:paraId="40FD85FA" w14:textId="08C2C12F" w:rsidR="39C76A4D" w:rsidRDefault="39C76A4D" w:rsidP="19BE3CB2">
            <w:proofErr w:type="spellStart"/>
            <w:r>
              <w:t>HoS</w:t>
            </w:r>
            <w:proofErr w:type="spellEnd"/>
            <w:r>
              <w:t xml:space="preserve">; </w:t>
            </w:r>
            <w:proofErr w:type="spellStart"/>
            <w:r>
              <w:t>HoSO</w:t>
            </w:r>
            <w:proofErr w:type="spellEnd"/>
            <w:r>
              <w:t xml:space="preserve"> </w:t>
            </w:r>
          </w:p>
        </w:tc>
        <w:tc>
          <w:tcPr>
            <w:tcW w:w="1765" w:type="dxa"/>
          </w:tcPr>
          <w:p w14:paraId="7C194A04" w14:textId="3519F9D9" w:rsidR="19BE3CB2" w:rsidRDefault="19BE3CB2" w:rsidP="19BE3CB2">
            <w:pPr>
              <w:rPr>
                <w:b/>
                <w:bCs/>
              </w:rPr>
            </w:pPr>
          </w:p>
        </w:tc>
      </w:tr>
      <w:tr w:rsidR="00EA322A" w14:paraId="69EF027B" w14:textId="77777777" w:rsidTr="27179FD2">
        <w:tc>
          <w:tcPr>
            <w:tcW w:w="3528" w:type="dxa"/>
          </w:tcPr>
          <w:p w14:paraId="7B0D41F0" w14:textId="42282312" w:rsidR="00EA322A" w:rsidRDefault="1940E97E" w:rsidP="007A1728">
            <w:r>
              <w:t>SR and EDI statements in unit outlines</w:t>
            </w:r>
          </w:p>
        </w:tc>
        <w:tc>
          <w:tcPr>
            <w:tcW w:w="2757" w:type="dxa"/>
          </w:tcPr>
          <w:p w14:paraId="46A7803C" w14:textId="78950908" w:rsidR="00EA322A" w:rsidRDefault="57AFA610" w:rsidP="007A1728">
            <w:r>
              <w:t>Increase in % of course unit outlines with SR and EDI statements</w:t>
            </w:r>
            <w:r w:rsidR="323B5F32">
              <w:t>.</w:t>
            </w:r>
          </w:p>
        </w:tc>
        <w:tc>
          <w:tcPr>
            <w:tcW w:w="4151" w:type="dxa"/>
          </w:tcPr>
          <w:p w14:paraId="22EF54F1" w14:textId="2CAD3BFD" w:rsidR="00EA322A" w:rsidRDefault="57AFA610" w:rsidP="007A1728">
            <w:r>
              <w:t>Higher adoption rate of statements</w:t>
            </w:r>
            <w:r w:rsidR="550C5438">
              <w:t>.</w:t>
            </w:r>
          </w:p>
        </w:tc>
        <w:tc>
          <w:tcPr>
            <w:tcW w:w="1828" w:type="dxa"/>
          </w:tcPr>
          <w:p w14:paraId="529A5E8B" w14:textId="713CD71A" w:rsidR="00EA322A" w:rsidRDefault="57AFA610" w:rsidP="007A1728">
            <w:r>
              <w:t>SR Director</w:t>
            </w:r>
            <w:r w:rsidR="222EBD3E">
              <w:t xml:space="preserve">; </w:t>
            </w:r>
            <w:r w:rsidR="404BD15C">
              <w:t>EDI Lead</w:t>
            </w:r>
          </w:p>
        </w:tc>
        <w:tc>
          <w:tcPr>
            <w:tcW w:w="1765" w:type="dxa"/>
          </w:tcPr>
          <w:p w14:paraId="0729CECB" w14:textId="77777777" w:rsidR="00EA322A" w:rsidRDefault="00EA322A" w:rsidP="007A1728"/>
        </w:tc>
      </w:tr>
      <w:tr w:rsidR="0FAE7D13" w14:paraId="1C9D2A17" w14:textId="77777777" w:rsidTr="27179FD2">
        <w:trPr>
          <w:trHeight w:val="300"/>
        </w:trPr>
        <w:tc>
          <w:tcPr>
            <w:tcW w:w="3528" w:type="dxa"/>
          </w:tcPr>
          <w:p w14:paraId="667CD8B4" w14:textId="5450A1B3" w:rsidR="209D2538" w:rsidRDefault="209D2538" w:rsidP="0FAE7D13">
            <w:r>
              <w:t>Showcasing impact of SR and EDI in the Curriculum</w:t>
            </w:r>
          </w:p>
          <w:p w14:paraId="3FE38D63" w14:textId="6B8FA605" w:rsidR="0FAE7D13" w:rsidRDefault="0FAE7D13" w:rsidP="0FAE7D13"/>
        </w:tc>
        <w:tc>
          <w:tcPr>
            <w:tcW w:w="2757" w:type="dxa"/>
          </w:tcPr>
          <w:p w14:paraId="56ADFE4E" w14:textId="1ED608A6" w:rsidR="209D2538" w:rsidRDefault="57AFA610" w:rsidP="0FAE7D13">
            <w:r>
              <w:t>Survey and case studies of graduating students and alumni</w:t>
            </w:r>
            <w:r w:rsidR="208FE436">
              <w:t>.</w:t>
            </w:r>
          </w:p>
        </w:tc>
        <w:tc>
          <w:tcPr>
            <w:tcW w:w="4151" w:type="dxa"/>
          </w:tcPr>
          <w:p w14:paraId="5F5AC561" w14:textId="4F855AB1" w:rsidR="209D2538" w:rsidRDefault="57AFA610" w:rsidP="0FAE7D13">
            <w:r>
              <w:t>Website and social media content</w:t>
            </w:r>
            <w:r w:rsidR="208FE436">
              <w:t>.</w:t>
            </w:r>
          </w:p>
        </w:tc>
        <w:tc>
          <w:tcPr>
            <w:tcW w:w="1828" w:type="dxa"/>
          </w:tcPr>
          <w:p w14:paraId="6FC76FFC" w14:textId="1C242BD7" w:rsidR="209D2538" w:rsidRDefault="57AFA610" w:rsidP="0FAE7D13">
            <w:r>
              <w:t>SR Director</w:t>
            </w:r>
            <w:r w:rsidR="7956BAA9">
              <w:t xml:space="preserve">; </w:t>
            </w:r>
            <w:r w:rsidR="5ADD5CDF">
              <w:t>EDI Lead</w:t>
            </w:r>
          </w:p>
        </w:tc>
        <w:tc>
          <w:tcPr>
            <w:tcW w:w="1765" w:type="dxa"/>
          </w:tcPr>
          <w:p w14:paraId="0CA95887" w14:textId="111B333B" w:rsidR="0FAE7D13" w:rsidRDefault="0FAE7D13" w:rsidP="0FAE7D13"/>
        </w:tc>
      </w:tr>
      <w:tr w:rsidR="00EA322A" w14:paraId="175D263B" w14:textId="77777777" w:rsidTr="27179FD2">
        <w:tc>
          <w:tcPr>
            <w:tcW w:w="3528" w:type="dxa"/>
          </w:tcPr>
          <w:p w14:paraId="113F267E" w14:textId="04D5EA4C" w:rsidR="00EA322A" w:rsidRDefault="6D4B9556" w:rsidP="007A1728">
            <w:r>
              <w:t>Develop preliminary guidance on how to be inclusive in teaching</w:t>
            </w:r>
          </w:p>
        </w:tc>
        <w:tc>
          <w:tcPr>
            <w:tcW w:w="2757" w:type="dxa"/>
          </w:tcPr>
          <w:p w14:paraId="3EB46247" w14:textId="185F0717" w:rsidR="00EA322A" w:rsidRDefault="497EA3E9" w:rsidP="007A1728">
            <w:r>
              <w:t xml:space="preserve">Guidance produced, </w:t>
            </w:r>
            <w:proofErr w:type="gramStart"/>
            <w:r>
              <w:t>communicated</w:t>
            </w:r>
            <w:proofErr w:type="gramEnd"/>
            <w:r>
              <w:t xml:space="preserve"> and circulated</w:t>
            </w:r>
            <w:r w:rsidR="7802DF11">
              <w:t>.</w:t>
            </w:r>
          </w:p>
        </w:tc>
        <w:tc>
          <w:tcPr>
            <w:tcW w:w="4151" w:type="dxa"/>
          </w:tcPr>
          <w:p w14:paraId="292B019B" w14:textId="52678E65" w:rsidR="00EA322A" w:rsidRDefault="3B26174F" w:rsidP="007A1728">
            <w:r>
              <w:t>Colleagues are more confident in being inclusive and are applying techniques in the classroom</w:t>
            </w:r>
            <w:r w:rsidR="7C498835">
              <w:t>.</w:t>
            </w:r>
          </w:p>
        </w:tc>
        <w:tc>
          <w:tcPr>
            <w:tcW w:w="1828" w:type="dxa"/>
          </w:tcPr>
          <w:p w14:paraId="71E9598B" w14:textId="71C8461D" w:rsidR="00EA322A" w:rsidRDefault="3B26174F" w:rsidP="007A1728">
            <w:r>
              <w:t>SR Director</w:t>
            </w:r>
            <w:r w:rsidR="105F19FD">
              <w:t xml:space="preserve">; </w:t>
            </w:r>
            <w:r w:rsidR="4AD2A462">
              <w:t>EDI Lead</w:t>
            </w:r>
          </w:p>
        </w:tc>
        <w:tc>
          <w:tcPr>
            <w:tcW w:w="1765" w:type="dxa"/>
          </w:tcPr>
          <w:p w14:paraId="201D1937" w14:textId="77777777" w:rsidR="00EA322A" w:rsidRDefault="00EA322A" w:rsidP="007A1728"/>
        </w:tc>
      </w:tr>
      <w:tr w:rsidR="542F15F4" w14:paraId="17630128" w14:textId="77777777" w:rsidTr="27179FD2">
        <w:trPr>
          <w:trHeight w:val="300"/>
        </w:trPr>
        <w:tc>
          <w:tcPr>
            <w:tcW w:w="3528" w:type="dxa"/>
          </w:tcPr>
          <w:p w14:paraId="37601B85" w14:textId="36CC1E8B" w:rsidR="3D1AA58A" w:rsidRDefault="3D1AA58A" w:rsidP="542F15F4">
            <w:r>
              <w:t>Continuously promote and track research that contributes to UN SDGs</w:t>
            </w:r>
          </w:p>
        </w:tc>
        <w:tc>
          <w:tcPr>
            <w:tcW w:w="2757" w:type="dxa"/>
          </w:tcPr>
          <w:p w14:paraId="61636361" w14:textId="38FF7BFC" w:rsidR="542F15F4" w:rsidRDefault="4A2FE409" w:rsidP="542F15F4">
            <w:r>
              <w:t>Review of monthly reports by SR Committee members of PURE data and Funding Awards data</w:t>
            </w:r>
            <w:r w:rsidR="14F6DCA9">
              <w:t>.</w:t>
            </w:r>
          </w:p>
        </w:tc>
        <w:tc>
          <w:tcPr>
            <w:tcW w:w="4151" w:type="dxa"/>
          </w:tcPr>
          <w:p w14:paraId="07AB9D94" w14:textId="2380A060" w:rsidR="542F15F4" w:rsidRDefault="4A2FE409" w:rsidP="542F15F4">
            <w:r>
              <w:t>Most research contributes to SDGs; website and social media content</w:t>
            </w:r>
            <w:r w:rsidR="766850CE">
              <w:t>.</w:t>
            </w:r>
          </w:p>
        </w:tc>
        <w:tc>
          <w:tcPr>
            <w:tcW w:w="1828" w:type="dxa"/>
          </w:tcPr>
          <w:p w14:paraId="39D6646D" w14:textId="7D4E4670" w:rsidR="542F15F4" w:rsidRDefault="0B553E2B" w:rsidP="542F15F4">
            <w:r>
              <w:t>SR Director</w:t>
            </w:r>
            <w:r w:rsidR="18551942">
              <w:t xml:space="preserve">; </w:t>
            </w:r>
            <w:r>
              <w:t>Research Director</w:t>
            </w:r>
          </w:p>
          <w:p w14:paraId="790EA5EC" w14:textId="2417641E" w:rsidR="542F15F4" w:rsidRDefault="542F15F4" w:rsidP="27179FD2"/>
          <w:p w14:paraId="47104E92" w14:textId="7F9EC872" w:rsidR="542F15F4" w:rsidRDefault="542F15F4" w:rsidP="27179FD2"/>
          <w:p w14:paraId="76DCF150" w14:textId="0188B1D3" w:rsidR="542F15F4" w:rsidRDefault="542F15F4" w:rsidP="27179FD2"/>
        </w:tc>
        <w:tc>
          <w:tcPr>
            <w:tcW w:w="1765" w:type="dxa"/>
          </w:tcPr>
          <w:p w14:paraId="5E9BA027" w14:textId="3CC24851" w:rsidR="542F15F4" w:rsidRDefault="542F15F4" w:rsidP="542F15F4"/>
        </w:tc>
      </w:tr>
      <w:tr w:rsidR="235798C6" w14:paraId="42B039FA" w14:textId="77777777" w:rsidTr="27179FD2">
        <w:trPr>
          <w:trHeight w:val="300"/>
        </w:trPr>
        <w:tc>
          <w:tcPr>
            <w:tcW w:w="3528" w:type="dxa"/>
          </w:tcPr>
          <w:p w14:paraId="2D959102" w14:textId="3C2DF7A3" w:rsidR="6715174A" w:rsidRDefault="6715174A" w:rsidP="235798C6">
            <w:r>
              <w:t>Athena Swann Action Plan</w:t>
            </w:r>
          </w:p>
          <w:p w14:paraId="697F6640" w14:textId="40E11BEF" w:rsidR="235798C6" w:rsidRDefault="235798C6" w:rsidP="235798C6"/>
        </w:tc>
        <w:tc>
          <w:tcPr>
            <w:tcW w:w="2757" w:type="dxa"/>
          </w:tcPr>
          <w:p w14:paraId="66009F05" w14:textId="3B13DAB6" w:rsidR="6715174A" w:rsidRDefault="4004008A" w:rsidP="235798C6">
            <w:r>
              <w:t>Bronze Renewal submitted in May 2024</w:t>
            </w:r>
            <w:r w:rsidR="30EE4FC5">
              <w:t>.</w:t>
            </w:r>
          </w:p>
        </w:tc>
        <w:tc>
          <w:tcPr>
            <w:tcW w:w="4151" w:type="dxa"/>
          </w:tcPr>
          <w:p w14:paraId="03568A2A" w14:textId="21AD8814" w:rsidR="6715174A" w:rsidRDefault="4004008A" w:rsidP="235798C6">
            <w:r>
              <w:t>Successful renewal and development of a set of strategic priorities for 2024/25</w:t>
            </w:r>
            <w:r w:rsidR="4CA726C5">
              <w:t>.</w:t>
            </w:r>
          </w:p>
        </w:tc>
        <w:tc>
          <w:tcPr>
            <w:tcW w:w="1828" w:type="dxa"/>
          </w:tcPr>
          <w:p w14:paraId="454DC909" w14:textId="1805DD8E" w:rsidR="6715174A" w:rsidRDefault="6715174A" w:rsidP="235798C6">
            <w:r>
              <w:t xml:space="preserve">EDI </w:t>
            </w:r>
            <w:proofErr w:type="gramStart"/>
            <w:r>
              <w:t>Lead</w:t>
            </w:r>
            <w:proofErr w:type="gramEnd"/>
          </w:p>
        </w:tc>
        <w:tc>
          <w:tcPr>
            <w:tcW w:w="1765" w:type="dxa"/>
          </w:tcPr>
          <w:p w14:paraId="7D8CF62A" w14:textId="662F54B2" w:rsidR="235798C6" w:rsidRDefault="235798C6" w:rsidP="235798C6"/>
        </w:tc>
      </w:tr>
      <w:tr w:rsidR="558B0702" w14:paraId="30041459" w14:textId="77777777" w:rsidTr="27179FD2">
        <w:trPr>
          <w:trHeight w:val="300"/>
        </w:trPr>
        <w:tc>
          <w:tcPr>
            <w:tcW w:w="3528" w:type="dxa"/>
          </w:tcPr>
          <w:p w14:paraId="22D465DF" w14:textId="13A76537" w:rsidR="2E70EE23" w:rsidRDefault="2E70EE23" w:rsidP="558B0702">
            <w:r>
              <w:t>Further strengthen ESG in the MBA curriculum</w:t>
            </w:r>
          </w:p>
        </w:tc>
        <w:tc>
          <w:tcPr>
            <w:tcW w:w="2757" w:type="dxa"/>
          </w:tcPr>
          <w:p w14:paraId="1B09ABA2" w14:textId="5E066085" w:rsidR="2E70EE23" w:rsidRDefault="2E70EE23" w:rsidP="558B0702">
            <w:r>
              <w:t>% ESG in curriculum included in unit specifications</w:t>
            </w:r>
          </w:p>
        </w:tc>
        <w:tc>
          <w:tcPr>
            <w:tcW w:w="4151" w:type="dxa"/>
          </w:tcPr>
          <w:p w14:paraId="48227EBD" w14:textId="378747A5" w:rsidR="2E70EE23" w:rsidRDefault="2E70EE23" w:rsidP="558B0702">
            <w:r>
              <w:t>Maintaining high ESG position in Financial MBA ranking</w:t>
            </w:r>
            <w:r w:rsidR="7042111D">
              <w:t>.</w:t>
            </w:r>
          </w:p>
        </w:tc>
        <w:tc>
          <w:tcPr>
            <w:tcW w:w="1828" w:type="dxa"/>
          </w:tcPr>
          <w:p w14:paraId="7D72F4DE" w14:textId="14D6610F" w:rsidR="7042111D" w:rsidRDefault="7042111D" w:rsidP="558B0702">
            <w:r>
              <w:t xml:space="preserve">FT &amp; Global </w:t>
            </w:r>
            <w:r w:rsidR="2E70EE23">
              <w:t>MBA Directors</w:t>
            </w:r>
          </w:p>
        </w:tc>
        <w:tc>
          <w:tcPr>
            <w:tcW w:w="1765" w:type="dxa"/>
          </w:tcPr>
          <w:p w14:paraId="4FC90FD0" w14:textId="23E6CC42" w:rsidR="558B0702" w:rsidRDefault="558B0702" w:rsidP="558B0702"/>
        </w:tc>
      </w:tr>
    </w:tbl>
    <w:p w14:paraId="73E71DD2" w14:textId="39EBE47E" w:rsidR="558B0702" w:rsidRDefault="558B0702" w:rsidP="558B0702"/>
    <w:p w14:paraId="6E6D4F03" w14:textId="77777777" w:rsidR="00F320C2" w:rsidRDefault="00F320C2" w:rsidP="558B0702"/>
    <w:p w14:paraId="41F44DE1" w14:textId="77777777" w:rsidR="00F320C2" w:rsidRDefault="00F320C2" w:rsidP="558B0702"/>
    <w:p w14:paraId="7BF5702D" w14:textId="77777777" w:rsidR="00F320C2" w:rsidRDefault="00F320C2" w:rsidP="558B0702"/>
    <w:p w14:paraId="783FD972" w14:textId="77777777" w:rsidR="00F320C2" w:rsidRDefault="00F320C2" w:rsidP="558B0702"/>
    <w:p w14:paraId="780CEA0C" w14:textId="2631E32B" w:rsidR="00EA322A" w:rsidRDefault="00EA322A" w:rsidP="00EA322A">
      <w:pPr>
        <w:pStyle w:val="Heading2"/>
      </w:pPr>
      <w:r>
        <w:lastRenderedPageBreak/>
        <w:t>Enabling objectives</w:t>
      </w:r>
    </w:p>
    <w:p w14:paraId="4E539591" w14:textId="77777777" w:rsidR="00EA322A" w:rsidRDefault="00EA322A" w:rsidP="00EA322A"/>
    <w:p w14:paraId="18F9D65F" w14:textId="33740A0F" w:rsidR="03C24F59" w:rsidRDefault="03C24F59" w:rsidP="19BE3CB2">
      <w:pPr>
        <w:rPr>
          <w:b/>
          <w:bCs/>
        </w:rPr>
      </w:pPr>
      <w:r>
        <w:t>Longer term objective (</w:t>
      </w:r>
      <w:proofErr w:type="gramStart"/>
      <w:r>
        <w:t>i.e.</w:t>
      </w:r>
      <w:proofErr w:type="gramEnd"/>
      <w:r>
        <w:t xml:space="preserve"> by the end of the 3-year plan): </w:t>
      </w:r>
      <w:r w:rsidR="5DD7D7EC" w:rsidRPr="19BE3CB2">
        <w:rPr>
          <w:b/>
          <w:bCs/>
        </w:rPr>
        <w:t>A</w:t>
      </w:r>
      <w:r w:rsidR="7B70A4E3" w:rsidRPr="19BE3CB2">
        <w:rPr>
          <w:b/>
          <w:bCs/>
        </w:rPr>
        <w:t>ccessibility and delivery of management information to inform decision making</w:t>
      </w:r>
    </w:p>
    <w:p w14:paraId="62E4AD1B" w14:textId="40453EBB" w:rsidR="00EA322A" w:rsidRPr="00EA322A" w:rsidRDefault="00EA322A" w:rsidP="00EA322A">
      <w:r w:rsidRPr="00EA322A">
        <w:t>In year objective/activities (please complete the table below)</w:t>
      </w:r>
      <w:r>
        <w:t>:</w:t>
      </w:r>
    </w:p>
    <w:tbl>
      <w:tblPr>
        <w:tblStyle w:val="TableGrid"/>
        <w:tblW w:w="14029" w:type="dxa"/>
        <w:tblLook w:val="04A0" w:firstRow="1" w:lastRow="0" w:firstColumn="1" w:lastColumn="0" w:noHBand="0" w:noVBand="1"/>
      </w:tblPr>
      <w:tblGrid>
        <w:gridCol w:w="3528"/>
        <w:gridCol w:w="2757"/>
        <w:gridCol w:w="4151"/>
        <w:gridCol w:w="1828"/>
        <w:gridCol w:w="1765"/>
      </w:tblGrid>
      <w:tr w:rsidR="00EA322A" w14:paraId="3FA0BD32" w14:textId="77777777" w:rsidTr="27179FD2">
        <w:tc>
          <w:tcPr>
            <w:tcW w:w="14029" w:type="dxa"/>
            <w:gridSpan w:val="5"/>
            <w:shd w:val="clear" w:color="auto" w:fill="9CC2E5" w:themeFill="accent1" w:themeFillTint="99"/>
          </w:tcPr>
          <w:p w14:paraId="7F56CA6D" w14:textId="1AC21D0C" w:rsidR="00EA322A" w:rsidRPr="00EB22BF" w:rsidRDefault="00EA322A" w:rsidP="00514976">
            <w:pPr>
              <w:rPr>
                <w:b/>
                <w:sz w:val="24"/>
              </w:rPr>
            </w:pPr>
            <w:r w:rsidRPr="00EB22BF">
              <w:rPr>
                <w:b/>
                <w:sz w:val="24"/>
              </w:rPr>
              <w:t xml:space="preserve">Objective:   e.g.  </w:t>
            </w:r>
            <w:r>
              <w:rPr>
                <w:b/>
                <w:sz w:val="24"/>
              </w:rPr>
              <w:t xml:space="preserve">Improve </w:t>
            </w:r>
            <w:r w:rsidR="00FD1B7B">
              <w:rPr>
                <w:b/>
                <w:sz w:val="24"/>
              </w:rPr>
              <w:t xml:space="preserve">management information across the </w:t>
            </w:r>
            <w:proofErr w:type="gramStart"/>
            <w:r w:rsidR="00FD1B7B">
              <w:rPr>
                <w:b/>
                <w:sz w:val="24"/>
              </w:rPr>
              <w:t>School</w:t>
            </w:r>
            <w:proofErr w:type="gramEnd"/>
          </w:p>
        </w:tc>
      </w:tr>
      <w:tr w:rsidR="00EA322A" w:rsidRPr="004D0E24" w14:paraId="3798D94B" w14:textId="77777777" w:rsidTr="27179FD2">
        <w:tc>
          <w:tcPr>
            <w:tcW w:w="3528" w:type="dxa"/>
          </w:tcPr>
          <w:p w14:paraId="1486FBE9" w14:textId="77777777" w:rsidR="00EA322A" w:rsidRPr="004D0E24" w:rsidRDefault="00EA322A" w:rsidP="007A1728">
            <w:pPr>
              <w:rPr>
                <w:b/>
              </w:rPr>
            </w:pPr>
            <w:r w:rsidRPr="004D0E24">
              <w:rPr>
                <w:b/>
              </w:rPr>
              <w:t>Activity</w:t>
            </w:r>
          </w:p>
        </w:tc>
        <w:tc>
          <w:tcPr>
            <w:tcW w:w="2757" w:type="dxa"/>
          </w:tcPr>
          <w:p w14:paraId="197ADDD5" w14:textId="77777777" w:rsidR="00EA322A" w:rsidRPr="004D0E24" w:rsidRDefault="00EA322A" w:rsidP="007A1728">
            <w:pPr>
              <w:rPr>
                <w:b/>
              </w:rPr>
            </w:pPr>
            <w:r w:rsidRPr="004D0E24">
              <w:rPr>
                <w:b/>
              </w:rPr>
              <w:t>How will this be measured?</w:t>
            </w:r>
          </w:p>
        </w:tc>
        <w:tc>
          <w:tcPr>
            <w:tcW w:w="4151" w:type="dxa"/>
          </w:tcPr>
          <w:p w14:paraId="199CF319" w14:textId="77777777" w:rsidR="00EA322A" w:rsidRPr="004D0E24" w:rsidRDefault="00EA322A" w:rsidP="007A1728">
            <w:pPr>
              <w:rPr>
                <w:b/>
              </w:rPr>
            </w:pPr>
            <w:r w:rsidRPr="004D0E24">
              <w:rPr>
                <w:b/>
              </w:rPr>
              <w:t>What does success look like?</w:t>
            </w:r>
          </w:p>
        </w:tc>
        <w:tc>
          <w:tcPr>
            <w:tcW w:w="1828" w:type="dxa"/>
          </w:tcPr>
          <w:p w14:paraId="3526BAD5" w14:textId="77777777" w:rsidR="00EA322A" w:rsidRPr="004D0E24" w:rsidRDefault="00EA322A" w:rsidP="007A1728">
            <w:pPr>
              <w:rPr>
                <w:b/>
              </w:rPr>
            </w:pPr>
            <w:r w:rsidRPr="004D0E24">
              <w:rPr>
                <w:b/>
              </w:rPr>
              <w:t>Owner</w:t>
            </w:r>
          </w:p>
        </w:tc>
        <w:tc>
          <w:tcPr>
            <w:tcW w:w="1765" w:type="dxa"/>
          </w:tcPr>
          <w:p w14:paraId="29DA526D" w14:textId="77777777" w:rsidR="00EA322A" w:rsidRPr="004D0E24" w:rsidRDefault="00EA322A" w:rsidP="007A1728">
            <w:pPr>
              <w:rPr>
                <w:b/>
              </w:rPr>
            </w:pPr>
            <w:r>
              <w:rPr>
                <w:b/>
              </w:rPr>
              <w:t>Outcome</w:t>
            </w:r>
          </w:p>
        </w:tc>
      </w:tr>
      <w:tr w:rsidR="00EA322A" w14:paraId="23741149" w14:textId="77777777" w:rsidTr="27179FD2">
        <w:tc>
          <w:tcPr>
            <w:tcW w:w="3528" w:type="dxa"/>
          </w:tcPr>
          <w:p w14:paraId="007DBBCA" w14:textId="7E522741" w:rsidR="00EA322A" w:rsidRDefault="750D1B46" w:rsidP="007A1728">
            <w:r>
              <w:t>Good practice network for academics on how to access MI and how to use it</w:t>
            </w:r>
            <w:r w:rsidR="16E373D7">
              <w:t>.</w:t>
            </w:r>
          </w:p>
        </w:tc>
        <w:tc>
          <w:tcPr>
            <w:tcW w:w="2757" w:type="dxa"/>
          </w:tcPr>
          <w:p w14:paraId="7299E3F6" w14:textId="597901DD" w:rsidR="00EA322A" w:rsidRDefault="16E373D7" w:rsidP="007A1728">
            <w:r>
              <w:t>Staff engagement in network.</w:t>
            </w:r>
          </w:p>
        </w:tc>
        <w:tc>
          <w:tcPr>
            <w:tcW w:w="4151" w:type="dxa"/>
          </w:tcPr>
          <w:p w14:paraId="14CB3B53" w14:textId="1C2E748F" w:rsidR="00EA322A" w:rsidRDefault="7A727DC4" w:rsidP="007A1728">
            <w:r>
              <w:t>Greater accessibility to MI across the School and understanding of how this informs decision making.</w:t>
            </w:r>
          </w:p>
        </w:tc>
        <w:tc>
          <w:tcPr>
            <w:tcW w:w="1828" w:type="dxa"/>
          </w:tcPr>
          <w:p w14:paraId="53AF8DD5" w14:textId="3E02DE40" w:rsidR="00EA322A" w:rsidRDefault="7A727DC4" w:rsidP="007A1728">
            <w:proofErr w:type="spellStart"/>
            <w:r>
              <w:t>HoSO</w:t>
            </w:r>
            <w:proofErr w:type="spellEnd"/>
            <w:r>
              <w:t>; School Operations Manager</w:t>
            </w:r>
          </w:p>
        </w:tc>
        <w:tc>
          <w:tcPr>
            <w:tcW w:w="1765" w:type="dxa"/>
          </w:tcPr>
          <w:p w14:paraId="10E10471" w14:textId="77777777" w:rsidR="00EA322A" w:rsidRDefault="00EA322A" w:rsidP="007A1728"/>
        </w:tc>
      </w:tr>
      <w:tr w:rsidR="00EA322A" w14:paraId="14ED609F" w14:textId="77777777" w:rsidTr="27179FD2">
        <w:tc>
          <w:tcPr>
            <w:tcW w:w="3528" w:type="dxa"/>
          </w:tcPr>
          <w:p w14:paraId="0EEA40CA" w14:textId="5A34DDC7" w:rsidR="00EA322A" w:rsidRDefault="1974D419" w:rsidP="007A1728">
            <w:r>
              <w:t>Regular reporting of standardised reports to enable reliable progress reporting</w:t>
            </w:r>
            <w:r w:rsidR="17D013FC">
              <w:t>.</w:t>
            </w:r>
            <w:r w:rsidR="3F006181">
              <w:t xml:space="preserve"> </w:t>
            </w:r>
          </w:p>
          <w:p w14:paraId="36C7D3C5" w14:textId="2DAF67D9" w:rsidR="00EA322A" w:rsidRDefault="3F006181" w:rsidP="27179FD2">
            <w:r>
              <w:t xml:space="preserve">(Specifically incorporating Exec Ed and MEC </w:t>
            </w:r>
            <w:r w:rsidR="78C746B1">
              <w:t>progress reporting)</w:t>
            </w:r>
          </w:p>
        </w:tc>
        <w:tc>
          <w:tcPr>
            <w:tcW w:w="2757" w:type="dxa"/>
          </w:tcPr>
          <w:p w14:paraId="2B13F386" w14:textId="6FA7D9E4" w:rsidR="00EA322A" w:rsidRDefault="391762F6" w:rsidP="007A1728">
            <w:r>
              <w:t>Increase in standard agenda items at core School committees.</w:t>
            </w:r>
          </w:p>
        </w:tc>
        <w:tc>
          <w:tcPr>
            <w:tcW w:w="4151" w:type="dxa"/>
          </w:tcPr>
          <w:p w14:paraId="3772360B" w14:textId="7DEDA67D" w:rsidR="00EA322A" w:rsidRDefault="391762F6" w:rsidP="007A1728">
            <w:r>
              <w:t>Embedded data reporting across all core School groups, with appropriate time for reflection and discussion.</w:t>
            </w:r>
          </w:p>
        </w:tc>
        <w:tc>
          <w:tcPr>
            <w:tcW w:w="1828" w:type="dxa"/>
          </w:tcPr>
          <w:p w14:paraId="33902016" w14:textId="3C33184D" w:rsidR="00EA322A" w:rsidRDefault="54D586E7" w:rsidP="007A1728">
            <w:r>
              <w:t>Core goal / core activity c</w:t>
            </w:r>
            <w:r w:rsidR="391762F6">
              <w:t>ommittee Chairs</w:t>
            </w:r>
          </w:p>
        </w:tc>
        <w:tc>
          <w:tcPr>
            <w:tcW w:w="1765" w:type="dxa"/>
          </w:tcPr>
          <w:p w14:paraId="3B2BA889" w14:textId="77777777" w:rsidR="00EA322A" w:rsidRDefault="00EA322A" w:rsidP="007A1728"/>
        </w:tc>
      </w:tr>
      <w:tr w:rsidR="00EA322A" w14:paraId="1C6F5626" w14:textId="77777777" w:rsidTr="27179FD2">
        <w:tc>
          <w:tcPr>
            <w:tcW w:w="3528" w:type="dxa"/>
          </w:tcPr>
          <w:p w14:paraId="71A066DC" w14:textId="351D997C" w:rsidR="00EA322A" w:rsidRDefault="5937025D" w:rsidP="008617E5">
            <w:r>
              <w:t xml:space="preserve">Power BI reports for key data for the </w:t>
            </w:r>
            <w:proofErr w:type="gramStart"/>
            <w:r>
              <w:t>School</w:t>
            </w:r>
            <w:proofErr w:type="gramEnd"/>
            <w:r w:rsidR="42342EF7">
              <w:t>.</w:t>
            </w:r>
          </w:p>
        </w:tc>
        <w:tc>
          <w:tcPr>
            <w:tcW w:w="2757" w:type="dxa"/>
          </w:tcPr>
          <w:p w14:paraId="3197017B" w14:textId="739FC1E3" w:rsidR="00EA322A" w:rsidRDefault="1B960434" w:rsidP="007A1728">
            <w:r>
              <w:t>Regularity and accessibility to key data reports.</w:t>
            </w:r>
          </w:p>
        </w:tc>
        <w:tc>
          <w:tcPr>
            <w:tcW w:w="4151" w:type="dxa"/>
          </w:tcPr>
          <w:p w14:paraId="09209365" w14:textId="05D446E5" w:rsidR="00EA322A" w:rsidRDefault="1B960434" w:rsidP="007A1728">
            <w:r>
              <w:t>Consistent data driven decision making.</w:t>
            </w:r>
          </w:p>
        </w:tc>
        <w:tc>
          <w:tcPr>
            <w:tcW w:w="1828" w:type="dxa"/>
          </w:tcPr>
          <w:p w14:paraId="41C336A6" w14:textId="4202A1BE" w:rsidR="00EA322A" w:rsidRDefault="1B960434" w:rsidP="007A1728">
            <w:r>
              <w:t>School Planning &amp; Data Analyst</w:t>
            </w:r>
          </w:p>
        </w:tc>
        <w:tc>
          <w:tcPr>
            <w:tcW w:w="1765" w:type="dxa"/>
          </w:tcPr>
          <w:p w14:paraId="7914578B" w14:textId="77777777" w:rsidR="00EA322A" w:rsidRDefault="00EA322A" w:rsidP="007A1728"/>
        </w:tc>
      </w:tr>
    </w:tbl>
    <w:p w14:paraId="476FDA60" w14:textId="2D02BB33" w:rsidR="27179FD2" w:rsidRDefault="27179FD2" w:rsidP="27179FD2"/>
    <w:p w14:paraId="6EB60EE7" w14:textId="4BA29136" w:rsidR="03C24F59" w:rsidRDefault="03C24F59" w:rsidP="19BE3CB2">
      <w:pPr>
        <w:rPr>
          <w:rFonts w:ascii="Calibri" w:eastAsia="Calibri" w:hAnsi="Calibri" w:cs="Calibri"/>
          <w:b/>
          <w:bCs/>
        </w:rPr>
      </w:pPr>
      <w:r>
        <w:t>Longer term objective (</w:t>
      </w:r>
      <w:proofErr w:type="gramStart"/>
      <w:r>
        <w:t>i.e.</w:t>
      </w:r>
      <w:proofErr w:type="gramEnd"/>
      <w:r>
        <w:t xml:space="preserve"> by the end of the 3-year plan):</w:t>
      </w:r>
      <w:r w:rsidR="0DCDA9FD" w:rsidRPr="19BE3CB2">
        <w:rPr>
          <w:rFonts w:ascii="Calibri" w:eastAsia="Calibri" w:hAnsi="Calibri" w:cs="Calibri"/>
          <w:color w:val="000000" w:themeColor="text1"/>
        </w:rPr>
        <w:t xml:space="preserve"> </w:t>
      </w:r>
      <w:r w:rsidR="0DCDA9FD" w:rsidRPr="19BE3CB2">
        <w:rPr>
          <w:rFonts w:ascii="Calibri" w:eastAsia="Calibri" w:hAnsi="Calibri" w:cs="Calibri"/>
          <w:b/>
          <w:bCs/>
          <w:color w:val="000000" w:themeColor="text1"/>
        </w:rPr>
        <w:t xml:space="preserve">Position the School to be a continued school of opportunity, placing people at the heart of all that we do </w:t>
      </w:r>
      <w:r w:rsidR="0DCDA9FD" w:rsidRPr="19BE3CB2">
        <w:rPr>
          <w:rFonts w:ascii="Calibri" w:eastAsia="Calibri" w:hAnsi="Calibri" w:cs="Calibri"/>
          <w:b/>
          <w:bCs/>
        </w:rPr>
        <w:t xml:space="preserve"> </w:t>
      </w:r>
    </w:p>
    <w:p w14:paraId="18B4F830" w14:textId="46C0E176" w:rsidR="00F0026C" w:rsidRDefault="00EA322A">
      <w:r w:rsidRPr="00EA322A">
        <w:t>In year objective/activities (please complete the table below)</w:t>
      </w:r>
      <w:r>
        <w:t>:</w:t>
      </w:r>
    </w:p>
    <w:tbl>
      <w:tblPr>
        <w:tblStyle w:val="TableGrid"/>
        <w:tblW w:w="14029" w:type="dxa"/>
        <w:tblLook w:val="04A0" w:firstRow="1" w:lastRow="0" w:firstColumn="1" w:lastColumn="0" w:noHBand="0" w:noVBand="1"/>
      </w:tblPr>
      <w:tblGrid>
        <w:gridCol w:w="3528"/>
        <w:gridCol w:w="2757"/>
        <w:gridCol w:w="4151"/>
        <w:gridCol w:w="1828"/>
        <w:gridCol w:w="1765"/>
      </w:tblGrid>
      <w:tr w:rsidR="00EA322A" w14:paraId="19F7BE95" w14:textId="77777777" w:rsidTr="27179FD2">
        <w:tc>
          <w:tcPr>
            <w:tcW w:w="14029" w:type="dxa"/>
            <w:gridSpan w:val="5"/>
            <w:shd w:val="clear" w:color="auto" w:fill="9CC2E5" w:themeFill="accent1" w:themeFillTint="99"/>
          </w:tcPr>
          <w:p w14:paraId="33713B2B" w14:textId="5B5B7272" w:rsidR="00EA322A" w:rsidRPr="00EB22BF" w:rsidRDefault="03C24F59" w:rsidP="19BE3CB2">
            <w:pPr>
              <w:rPr>
                <w:b/>
                <w:bCs/>
                <w:sz w:val="24"/>
                <w:szCs w:val="24"/>
              </w:rPr>
            </w:pPr>
            <w:r w:rsidRPr="19BE3CB2">
              <w:rPr>
                <w:b/>
                <w:bCs/>
                <w:sz w:val="24"/>
                <w:szCs w:val="24"/>
              </w:rPr>
              <w:t xml:space="preserve">Objective:  </w:t>
            </w:r>
            <w:r w:rsidR="4B2C7DC3" w:rsidRPr="19BE3CB2">
              <w:rPr>
                <w:b/>
                <w:bCs/>
                <w:sz w:val="24"/>
                <w:szCs w:val="24"/>
              </w:rPr>
              <w:t>Building ‘our purpose’</w:t>
            </w:r>
          </w:p>
        </w:tc>
      </w:tr>
      <w:tr w:rsidR="00EA322A" w:rsidRPr="004D0E24" w14:paraId="55476643" w14:textId="77777777" w:rsidTr="27179FD2">
        <w:tc>
          <w:tcPr>
            <w:tcW w:w="3528" w:type="dxa"/>
          </w:tcPr>
          <w:p w14:paraId="50572B6D" w14:textId="77777777" w:rsidR="00EA322A" w:rsidRPr="004D0E24" w:rsidRDefault="00EA322A" w:rsidP="007A1728">
            <w:pPr>
              <w:rPr>
                <w:b/>
              </w:rPr>
            </w:pPr>
            <w:r w:rsidRPr="004D0E24">
              <w:rPr>
                <w:b/>
              </w:rPr>
              <w:t>Activity</w:t>
            </w:r>
          </w:p>
        </w:tc>
        <w:tc>
          <w:tcPr>
            <w:tcW w:w="2757" w:type="dxa"/>
          </w:tcPr>
          <w:p w14:paraId="3B29D182" w14:textId="77777777" w:rsidR="00EA322A" w:rsidRPr="004D0E24" w:rsidRDefault="00EA322A" w:rsidP="007A1728">
            <w:pPr>
              <w:rPr>
                <w:b/>
              </w:rPr>
            </w:pPr>
            <w:r w:rsidRPr="004D0E24">
              <w:rPr>
                <w:b/>
              </w:rPr>
              <w:t>How will this be measured?</w:t>
            </w:r>
          </w:p>
        </w:tc>
        <w:tc>
          <w:tcPr>
            <w:tcW w:w="4151" w:type="dxa"/>
          </w:tcPr>
          <w:p w14:paraId="4E574B0E" w14:textId="77777777" w:rsidR="00EA322A" w:rsidRPr="004D0E24" w:rsidRDefault="00EA322A" w:rsidP="007A1728">
            <w:pPr>
              <w:rPr>
                <w:b/>
              </w:rPr>
            </w:pPr>
            <w:r w:rsidRPr="004D0E24">
              <w:rPr>
                <w:b/>
              </w:rPr>
              <w:t>What does success look like?</w:t>
            </w:r>
          </w:p>
        </w:tc>
        <w:tc>
          <w:tcPr>
            <w:tcW w:w="1828" w:type="dxa"/>
          </w:tcPr>
          <w:p w14:paraId="05E74855" w14:textId="77777777" w:rsidR="00EA322A" w:rsidRPr="004D0E24" w:rsidRDefault="00EA322A" w:rsidP="007A1728">
            <w:pPr>
              <w:rPr>
                <w:b/>
              </w:rPr>
            </w:pPr>
            <w:r w:rsidRPr="004D0E24">
              <w:rPr>
                <w:b/>
              </w:rPr>
              <w:t>Owner</w:t>
            </w:r>
          </w:p>
        </w:tc>
        <w:tc>
          <w:tcPr>
            <w:tcW w:w="1765" w:type="dxa"/>
          </w:tcPr>
          <w:p w14:paraId="14CE9C1B" w14:textId="77777777" w:rsidR="00EA322A" w:rsidRPr="004D0E24" w:rsidRDefault="00EA322A" w:rsidP="007A1728">
            <w:pPr>
              <w:rPr>
                <w:b/>
              </w:rPr>
            </w:pPr>
            <w:r>
              <w:rPr>
                <w:b/>
              </w:rPr>
              <w:t>Outcome</w:t>
            </w:r>
          </w:p>
        </w:tc>
      </w:tr>
      <w:tr w:rsidR="19BE3CB2" w14:paraId="5C038E86" w14:textId="77777777" w:rsidTr="27179FD2">
        <w:trPr>
          <w:trHeight w:val="300"/>
        </w:trPr>
        <w:tc>
          <w:tcPr>
            <w:tcW w:w="3528" w:type="dxa"/>
          </w:tcPr>
          <w:p w14:paraId="0996E1A5" w14:textId="634D1F61" w:rsidR="4355C32D" w:rsidRDefault="4355C32D" w:rsidP="19BE3CB2">
            <w:r w:rsidRPr="19BE3CB2">
              <w:t xml:space="preserve">Enhanced induction programme and continuous professional development for all School colleagues. </w:t>
            </w:r>
          </w:p>
        </w:tc>
        <w:tc>
          <w:tcPr>
            <w:tcW w:w="2757" w:type="dxa"/>
          </w:tcPr>
          <w:p w14:paraId="0D23480C" w14:textId="14CEFE79" w:rsidR="01FAA85F" w:rsidRDefault="01FAA85F" w:rsidP="19BE3CB2">
            <w:r>
              <w:t>Roll out of School wide programmes.</w:t>
            </w:r>
          </w:p>
        </w:tc>
        <w:tc>
          <w:tcPr>
            <w:tcW w:w="4151" w:type="dxa"/>
          </w:tcPr>
          <w:p w14:paraId="6F4D6017" w14:textId="586F7293" w:rsidR="01FAA85F" w:rsidRDefault="01FAA85F" w:rsidP="19BE3CB2">
            <w:r>
              <w:t xml:space="preserve">Well defined and communicated induction programme with clear expectations for new starters. </w:t>
            </w:r>
          </w:p>
          <w:p w14:paraId="0AB30A59" w14:textId="77777777" w:rsidR="01FAA85F" w:rsidRDefault="01FAA85F" w:rsidP="19BE3CB2">
            <w:r>
              <w:t xml:space="preserve">Continuation of lunch and learn programme, senior leadership insights profiles, </w:t>
            </w:r>
            <w:r w:rsidR="5E96E55A">
              <w:t>broadening availability of good practice initiatives within Divisions.</w:t>
            </w:r>
          </w:p>
          <w:p w14:paraId="5D6D248A" w14:textId="77777777" w:rsidR="00332766" w:rsidRDefault="00332766" w:rsidP="19BE3CB2"/>
          <w:p w14:paraId="40D5CC1B" w14:textId="11A0B5DA" w:rsidR="00332766" w:rsidRDefault="00332766" w:rsidP="19BE3CB2"/>
        </w:tc>
        <w:tc>
          <w:tcPr>
            <w:tcW w:w="1828" w:type="dxa"/>
          </w:tcPr>
          <w:p w14:paraId="286B0326" w14:textId="2F6317EE" w:rsidR="01FAA85F" w:rsidRDefault="01FAA85F" w:rsidP="19BE3CB2">
            <w:proofErr w:type="spellStart"/>
            <w:r>
              <w:t>HoS</w:t>
            </w:r>
            <w:proofErr w:type="spellEnd"/>
            <w:r>
              <w:t xml:space="preserve">; </w:t>
            </w:r>
            <w:proofErr w:type="spellStart"/>
            <w:r>
              <w:t>HoSO</w:t>
            </w:r>
            <w:proofErr w:type="spellEnd"/>
            <w:r>
              <w:t>; SOM</w:t>
            </w:r>
          </w:p>
        </w:tc>
        <w:tc>
          <w:tcPr>
            <w:tcW w:w="1765" w:type="dxa"/>
          </w:tcPr>
          <w:p w14:paraId="071BE793" w14:textId="78AA31DF" w:rsidR="19BE3CB2" w:rsidRDefault="19BE3CB2" w:rsidP="19BE3CB2"/>
        </w:tc>
      </w:tr>
      <w:tr w:rsidR="19BE3CB2" w14:paraId="6BB9B30C" w14:textId="77777777" w:rsidTr="27179FD2">
        <w:trPr>
          <w:trHeight w:val="300"/>
        </w:trPr>
        <w:tc>
          <w:tcPr>
            <w:tcW w:w="3528" w:type="dxa"/>
          </w:tcPr>
          <w:p w14:paraId="14A4F86D" w14:textId="61FA0823" w:rsidR="3DE957F3" w:rsidRDefault="3DE957F3" w:rsidP="19BE3CB2">
            <w:pPr>
              <w:pStyle w:val="ListParagraph"/>
              <w:ind w:left="0"/>
            </w:pPr>
            <w:r w:rsidRPr="19BE3CB2">
              <w:lastRenderedPageBreak/>
              <w:t>Delivering bicentenary activity at AMBS</w:t>
            </w:r>
          </w:p>
        </w:tc>
        <w:tc>
          <w:tcPr>
            <w:tcW w:w="2757" w:type="dxa"/>
          </w:tcPr>
          <w:p w14:paraId="0ECDC9C1" w14:textId="0A07D5B8" w:rsidR="3DE957F3" w:rsidRDefault="3DE957F3" w:rsidP="19BE3CB2">
            <w:r>
              <w:t xml:space="preserve">Wide range of School based activities across the year. </w:t>
            </w:r>
          </w:p>
        </w:tc>
        <w:tc>
          <w:tcPr>
            <w:tcW w:w="4151" w:type="dxa"/>
          </w:tcPr>
          <w:p w14:paraId="6D45CEAF" w14:textId="7C9CF75E" w:rsidR="3DE957F3" w:rsidRDefault="3DE957F3" w:rsidP="19BE3CB2">
            <w:r>
              <w:t>School wide engagement in bicentenary.</w:t>
            </w:r>
          </w:p>
        </w:tc>
        <w:tc>
          <w:tcPr>
            <w:tcW w:w="1828" w:type="dxa"/>
          </w:tcPr>
          <w:p w14:paraId="4B6ED9BE" w14:textId="699DB024" w:rsidR="3DE957F3" w:rsidRDefault="3DE957F3" w:rsidP="19BE3CB2">
            <w:r>
              <w:t>Director of Comms, Marketing &amp; Recruitment</w:t>
            </w:r>
          </w:p>
        </w:tc>
        <w:tc>
          <w:tcPr>
            <w:tcW w:w="1765" w:type="dxa"/>
          </w:tcPr>
          <w:p w14:paraId="381192EB" w14:textId="0CEBB287" w:rsidR="19BE3CB2" w:rsidRDefault="19BE3CB2" w:rsidP="19BE3CB2"/>
        </w:tc>
      </w:tr>
      <w:tr w:rsidR="00EA322A" w14:paraId="39768807" w14:textId="77777777" w:rsidTr="27179FD2">
        <w:tc>
          <w:tcPr>
            <w:tcW w:w="3528" w:type="dxa"/>
          </w:tcPr>
          <w:p w14:paraId="0122A3F3" w14:textId="3B9F4306" w:rsidR="00EA322A" w:rsidRDefault="3DE957F3" w:rsidP="19BE3CB2">
            <w:r w:rsidRPr="19BE3CB2">
              <w:t>Developing AMBS’ narrative/brand values/purpose</w:t>
            </w:r>
          </w:p>
          <w:p w14:paraId="2F2B09DC" w14:textId="2E487DA3" w:rsidR="00EA322A" w:rsidRDefault="00EA322A" w:rsidP="19BE3CB2"/>
        </w:tc>
        <w:tc>
          <w:tcPr>
            <w:tcW w:w="2757" w:type="dxa"/>
          </w:tcPr>
          <w:p w14:paraId="2125F785" w14:textId="042B5815" w:rsidR="00EA322A" w:rsidRDefault="3DE957F3" w:rsidP="19BE3CB2">
            <w:pPr>
              <w:spacing w:line="259" w:lineRule="auto"/>
            </w:pPr>
            <w:r>
              <w:t>Successful delivery of project.</w:t>
            </w:r>
          </w:p>
        </w:tc>
        <w:tc>
          <w:tcPr>
            <w:tcW w:w="4151" w:type="dxa"/>
          </w:tcPr>
          <w:p w14:paraId="48955E71" w14:textId="77AAF4C9" w:rsidR="00EA322A" w:rsidRDefault="3DE957F3" w:rsidP="007A1728">
            <w:r>
              <w:t xml:space="preserve">High levels of internal and external </w:t>
            </w:r>
            <w:r w:rsidR="06948645">
              <w:t>engagement and a</w:t>
            </w:r>
            <w:r>
              <w:t xml:space="preserve">wareness. </w:t>
            </w:r>
          </w:p>
        </w:tc>
        <w:tc>
          <w:tcPr>
            <w:tcW w:w="1828" w:type="dxa"/>
          </w:tcPr>
          <w:p w14:paraId="2554E693" w14:textId="14EDC0E5" w:rsidR="00EA322A" w:rsidRDefault="3DE957F3" w:rsidP="19BE3CB2">
            <w:proofErr w:type="spellStart"/>
            <w:r>
              <w:t>HoS</w:t>
            </w:r>
            <w:proofErr w:type="spellEnd"/>
            <w:r>
              <w:t>; Director of Comms, Marketing &amp; Recruitment; HOSO</w:t>
            </w:r>
          </w:p>
        </w:tc>
        <w:tc>
          <w:tcPr>
            <w:tcW w:w="1765" w:type="dxa"/>
          </w:tcPr>
          <w:p w14:paraId="451E60DB" w14:textId="77777777" w:rsidR="00EA322A" w:rsidRDefault="00EA322A" w:rsidP="007A1728"/>
        </w:tc>
      </w:tr>
      <w:tr w:rsidR="19BE3CB2" w14:paraId="0D356CF5" w14:textId="77777777" w:rsidTr="27179FD2">
        <w:trPr>
          <w:trHeight w:val="300"/>
        </w:trPr>
        <w:tc>
          <w:tcPr>
            <w:tcW w:w="3528" w:type="dxa"/>
          </w:tcPr>
          <w:p w14:paraId="5A4F1F6A" w14:textId="0DD9BAD6" w:rsidR="0FB3C737" w:rsidRDefault="7032DD5E" w:rsidP="19BE3CB2">
            <w:pPr>
              <w:spacing w:line="257" w:lineRule="auto"/>
            </w:pPr>
            <w:r w:rsidRPr="27179FD2">
              <w:t>Effective w</w:t>
            </w:r>
            <w:r w:rsidR="45342695" w:rsidRPr="27179FD2">
              <w:t>orkforce planning</w:t>
            </w:r>
            <w:r w:rsidR="28D9118C" w:rsidRPr="27179FD2">
              <w:t xml:space="preserve">, </w:t>
            </w:r>
          </w:p>
        </w:tc>
        <w:tc>
          <w:tcPr>
            <w:tcW w:w="2757" w:type="dxa"/>
          </w:tcPr>
          <w:p w14:paraId="3C4D09EF" w14:textId="39724B22" w:rsidR="7D88684E" w:rsidRDefault="7D88684E" w:rsidP="19BE3CB2">
            <w:r>
              <w:t xml:space="preserve">EDI statistics; Faculty metrics; alignment of </w:t>
            </w:r>
            <w:r w:rsidR="6923D58D">
              <w:t>specialist delivery to academic and PS expertise.</w:t>
            </w:r>
          </w:p>
        </w:tc>
        <w:tc>
          <w:tcPr>
            <w:tcW w:w="4151" w:type="dxa"/>
          </w:tcPr>
          <w:p w14:paraId="153084B1" w14:textId="27177DE8" w:rsidR="6923D58D" w:rsidRDefault="4F854FF7" w:rsidP="27179FD2">
            <w:pPr>
              <w:rPr>
                <w:rFonts w:ascii="Calibri" w:eastAsia="Calibri" w:hAnsi="Calibri" w:cs="Calibri"/>
                <w:color w:val="000000" w:themeColor="text1"/>
              </w:rPr>
            </w:pPr>
            <w:r w:rsidRPr="27179FD2">
              <w:rPr>
                <w:rFonts w:ascii="Calibri" w:eastAsia="Calibri" w:hAnsi="Calibri" w:cs="Calibri"/>
                <w:color w:val="000000" w:themeColor="text1"/>
              </w:rPr>
              <w:t>Recruiting and retaining top quality appointments from junior to senior level (including targeted appointments to priority research areas</w:t>
            </w:r>
            <w:r w:rsidR="2ED7C290" w:rsidRPr="27179FD2">
              <w:rPr>
                <w:rFonts w:ascii="Calibri" w:eastAsia="Calibri" w:hAnsi="Calibri" w:cs="Calibri"/>
                <w:color w:val="000000" w:themeColor="text1"/>
              </w:rPr>
              <w:t>)</w:t>
            </w:r>
            <w:r w:rsidRPr="27179FD2">
              <w:rPr>
                <w:rFonts w:ascii="Calibri" w:eastAsia="Calibri" w:hAnsi="Calibri" w:cs="Calibri"/>
                <w:color w:val="000000" w:themeColor="text1"/>
              </w:rPr>
              <w:t>.</w:t>
            </w:r>
          </w:p>
          <w:p w14:paraId="488ADA89" w14:textId="566ECC28" w:rsidR="6923D58D" w:rsidRDefault="6923D58D" w:rsidP="27179FD2">
            <w:pPr>
              <w:rPr>
                <w:rFonts w:ascii="Calibri" w:eastAsia="Calibri" w:hAnsi="Calibri" w:cs="Calibri"/>
                <w:color w:val="000000" w:themeColor="text1"/>
              </w:rPr>
            </w:pPr>
          </w:p>
          <w:p w14:paraId="26538ABF" w14:textId="57E28425" w:rsidR="6923D58D" w:rsidRDefault="2870092C" w:rsidP="19BE3CB2">
            <w:r>
              <w:t xml:space="preserve">Diverse academic and PS community with capacity to deliver against core goals and Business School specific activity. </w:t>
            </w:r>
          </w:p>
          <w:p w14:paraId="71DB15CC" w14:textId="3F324141" w:rsidR="6923D58D" w:rsidRDefault="2870092C" w:rsidP="19BE3CB2">
            <w:r>
              <w:t>High levels of specialist expertise.</w:t>
            </w:r>
          </w:p>
          <w:p w14:paraId="1DC5E5AD" w14:textId="69D81D22" w:rsidR="6923D58D" w:rsidRDefault="6923D58D" w:rsidP="19BE3CB2"/>
        </w:tc>
        <w:tc>
          <w:tcPr>
            <w:tcW w:w="1828" w:type="dxa"/>
          </w:tcPr>
          <w:p w14:paraId="37707B28" w14:textId="2B17A6D6" w:rsidR="6007098C" w:rsidRDefault="6007098C" w:rsidP="19BE3CB2">
            <w:r>
              <w:t>SLT</w:t>
            </w:r>
            <w:r w:rsidR="6923D58D">
              <w:t>;</w:t>
            </w:r>
            <w:r w:rsidR="3852E7C6">
              <w:t xml:space="preserve"> PSLT</w:t>
            </w:r>
          </w:p>
        </w:tc>
        <w:tc>
          <w:tcPr>
            <w:tcW w:w="1765" w:type="dxa"/>
          </w:tcPr>
          <w:p w14:paraId="5465DBB0" w14:textId="7DC88DF4" w:rsidR="19BE3CB2" w:rsidRDefault="19BE3CB2" w:rsidP="19BE3CB2"/>
        </w:tc>
      </w:tr>
    </w:tbl>
    <w:p w14:paraId="18B4F831" w14:textId="18FEF5E2" w:rsidR="00F0026C" w:rsidRDefault="19BE3CB2" w:rsidP="19BE3CB2">
      <w:pPr>
        <w:rPr>
          <w:sz w:val="18"/>
          <w:szCs w:val="18"/>
        </w:rPr>
      </w:pPr>
      <w:r w:rsidRPr="19BE3CB2">
        <w:rPr>
          <w:sz w:val="18"/>
          <w:szCs w:val="18"/>
        </w:rPr>
        <w:t xml:space="preserve">* </w:t>
      </w:r>
      <w:r w:rsidR="4C728F2E" w:rsidRPr="19BE3CB2">
        <w:rPr>
          <w:sz w:val="18"/>
          <w:szCs w:val="18"/>
        </w:rPr>
        <w:t>Engagement programme, EDI engagement,</w:t>
      </w:r>
      <w:r w:rsidR="1394D48D" w:rsidRPr="19BE3CB2">
        <w:rPr>
          <w:sz w:val="18"/>
          <w:szCs w:val="18"/>
        </w:rPr>
        <w:t xml:space="preserve"> enhanced facilities for students highlighted above</w:t>
      </w:r>
      <w:r w:rsidR="4C728F2E" w:rsidRPr="19BE3CB2">
        <w:rPr>
          <w:sz w:val="18"/>
          <w:szCs w:val="18"/>
        </w:rPr>
        <w:t xml:space="preserve"> </w:t>
      </w:r>
    </w:p>
    <w:p w14:paraId="18B4F832" w14:textId="77777777" w:rsidR="00F0026C" w:rsidRDefault="00F0026C"/>
    <w:sectPr w:rsidR="00F0026C" w:rsidSect="000811DC">
      <w:headerReference w:type="default" r:id="rId7"/>
      <w:pgSz w:w="16838" w:h="11906" w:orient="landscape"/>
      <w:pgMar w:top="431" w:right="1440" w:bottom="45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8FECD" w14:textId="77777777" w:rsidR="001B3564" w:rsidRDefault="001B3564" w:rsidP="004D0E24">
      <w:pPr>
        <w:spacing w:after="0" w:line="240" w:lineRule="auto"/>
      </w:pPr>
      <w:r>
        <w:separator/>
      </w:r>
    </w:p>
  </w:endnote>
  <w:endnote w:type="continuationSeparator" w:id="0">
    <w:p w14:paraId="3D1DBFF4" w14:textId="77777777" w:rsidR="001B3564" w:rsidRDefault="001B3564" w:rsidP="004D0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2FC85" w14:textId="77777777" w:rsidR="001B3564" w:rsidRDefault="001B3564" w:rsidP="004D0E24">
      <w:pPr>
        <w:spacing w:after="0" w:line="240" w:lineRule="auto"/>
      </w:pPr>
      <w:r>
        <w:separator/>
      </w:r>
    </w:p>
  </w:footnote>
  <w:footnote w:type="continuationSeparator" w:id="0">
    <w:p w14:paraId="40743A8B" w14:textId="77777777" w:rsidR="001B3564" w:rsidRDefault="001B3564" w:rsidP="004D0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F839" w14:textId="51D1DA77" w:rsidR="004D0E24" w:rsidRPr="004D0E24" w:rsidRDefault="004D0E24" w:rsidP="00EA322A">
    <w:pPr>
      <w:pStyle w:val="Heading1"/>
    </w:pPr>
    <w:r w:rsidRPr="004D0E24">
      <w:t>Operational Priorities</w:t>
    </w:r>
    <w:r w:rsidR="00EA322A">
      <w:t xml:space="preserve"> - </w:t>
    </w:r>
    <w:r w:rsidRPr="004D0E24">
      <w:t>202</w:t>
    </w:r>
    <w:r w:rsidR="0031058F">
      <w:t>3</w:t>
    </w:r>
    <w:r w:rsidRPr="004D0E24">
      <w:t>-2</w:t>
    </w:r>
    <w:r w:rsidR="0031058F">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10CF"/>
    <w:multiLevelType w:val="hybridMultilevel"/>
    <w:tmpl w:val="4086E4C6"/>
    <w:lvl w:ilvl="0" w:tplc="03B6C330">
      <w:start w:val="1"/>
      <w:numFmt w:val="bullet"/>
      <w:lvlText w:val=""/>
      <w:lvlJc w:val="left"/>
      <w:pPr>
        <w:ind w:left="720" w:hanging="360"/>
      </w:pPr>
      <w:rPr>
        <w:rFonts w:ascii="Symbol" w:hAnsi="Symbol" w:hint="default"/>
      </w:rPr>
    </w:lvl>
    <w:lvl w:ilvl="1" w:tplc="91FE49A0">
      <w:start w:val="1"/>
      <w:numFmt w:val="bullet"/>
      <w:lvlText w:val=""/>
      <w:lvlJc w:val="left"/>
      <w:pPr>
        <w:ind w:left="1440" w:hanging="360"/>
      </w:pPr>
      <w:rPr>
        <w:rFonts w:ascii="Symbol" w:hAnsi="Symbol" w:hint="default"/>
      </w:rPr>
    </w:lvl>
    <w:lvl w:ilvl="2" w:tplc="CCA8F016">
      <w:start w:val="1"/>
      <w:numFmt w:val="bullet"/>
      <w:lvlText w:val=""/>
      <w:lvlJc w:val="left"/>
      <w:pPr>
        <w:ind w:left="2160" w:hanging="360"/>
      </w:pPr>
      <w:rPr>
        <w:rFonts w:ascii="Wingdings" w:hAnsi="Wingdings" w:hint="default"/>
      </w:rPr>
    </w:lvl>
    <w:lvl w:ilvl="3" w:tplc="16BCAFB0">
      <w:start w:val="1"/>
      <w:numFmt w:val="bullet"/>
      <w:lvlText w:val=""/>
      <w:lvlJc w:val="left"/>
      <w:pPr>
        <w:ind w:left="2880" w:hanging="360"/>
      </w:pPr>
      <w:rPr>
        <w:rFonts w:ascii="Symbol" w:hAnsi="Symbol" w:hint="default"/>
      </w:rPr>
    </w:lvl>
    <w:lvl w:ilvl="4" w:tplc="67022E72">
      <w:start w:val="1"/>
      <w:numFmt w:val="bullet"/>
      <w:lvlText w:val="o"/>
      <w:lvlJc w:val="left"/>
      <w:pPr>
        <w:ind w:left="3600" w:hanging="360"/>
      </w:pPr>
      <w:rPr>
        <w:rFonts w:ascii="Courier New" w:hAnsi="Courier New" w:hint="default"/>
      </w:rPr>
    </w:lvl>
    <w:lvl w:ilvl="5" w:tplc="4994250C">
      <w:start w:val="1"/>
      <w:numFmt w:val="bullet"/>
      <w:lvlText w:val=""/>
      <w:lvlJc w:val="left"/>
      <w:pPr>
        <w:ind w:left="4320" w:hanging="360"/>
      </w:pPr>
      <w:rPr>
        <w:rFonts w:ascii="Wingdings" w:hAnsi="Wingdings" w:hint="default"/>
      </w:rPr>
    </w:lvl>
    <w:lvl w:ilvl="6" w:tplc="B114D96A">
      <w:start w:val="1"/>
      <w:numFmt w:val="bullet"/>
      <w:lvlText w:val=""/>
      <w:lvlJc w:val="left"/>
      <w:pPr>
        <w:ind w:left="5040" w:hanging="360"/>
      </w:pPr>
      <w:rPr>
        <w:rFonts w:ascii="Symbol" w:hAnsi="Symbol" w:hint="default"/>
      </w:rPr>
    </w:lvl>
    <w:lvl w:ilvl="7" w:tplc="68B4352A">
      <w:start w:val="1"/>
      <w:numFmt w:val="bullet"/>
      <w:lvlText w:val="o"/>
      <w:lvlJc w:val="left"/>
      <w:pPr>
        <w:ind w:left="5760" w:hanging="360"/>
      </w:pPr>
      <w:rPr>
        <w:rFonts w:ascii="Courier New" w:hAnsi="Courier New" w:hint="default"/>
      </w:rPr>
    </w:lvl>
    <w:lvl w:ilvl="8" w:tplc="145C578E">
      <w:start w:val="1"/>
      <w:numFmt w:val="bullet"/>
      <w:lvlText w:val=""/>
      <w:lvlJc w:val="left"/>
      <w:pPr>
        <w:ind w:left="6480" w:hanging="360"/>
      </w:pPr>
      <w:rPr>
        <w:rFonts w:ascii="Wingdings" w:hAnsi="Wingdings" w:hint="default"/>
      </w:rPr>
    </w:lvl>
  </w:abstractNum>
  <w:abstractNum w:abstractNumId="1" w15:restartNumberingAfterBreak="0">
    <w:nsid w:val="0D8FE67F"/>
    <w:multiLevelType w:val="hybridMultilevel"/>
    <w:tmpl w:val="60703C98"/>
    <w:lvl w:ilvl="0" w:tplc="EBF819EC">
      <w:start w:val="1"/>
      <w:numFmt w:val="bullet"/>
      <w:lvlText w:val="·"/>
      <w:lvlJc w:val="left"/>
      <w:pPr>
        <w:ind w:left="720" w:hanging="360"/>
      </w:pPr>
      <w:rPr>
        <w:rFonts w:ascii="Symbol" w:hAnsi="Symbol" w:hint="default"/>
      </w:rPr>
    </w:lvl>
    <w:lvl w:ilvl="1" w:tplc="BE846542">
      <w:start w:val="1"/>
      <w:numFmt w:val="bullet"/>
      <w:lvlText w:val="o"/>
      <w:lvlJc w:val="left"/>
      <w:pPr>
        <w:ind w:left="1440" w:hanging="360"/>
      </w:pPr>
      <w:rPr>
        <w:rFonts w:ascii="Courier New" w:hAnsi="Courier New" w:hint="default"/>
      </w:rPr>
    </w:lvl>
    <w:lvl w:ilvl="2" w:tplc="07A0BE74">
      <w:start w:val="1"/>
      <w:numFmt w:val="bullet"/>
      <w:lvlText w:val=""/>
      <w:lvlJc w:val="left"/>
      <w:pPr>
        <w:ind w:left="2160" w:hanging="360"/>
      </w:pPr>
      <w:rPr>
        <w:rFonts w:ascii="Wingdings" w:hAnsi="Wingdings" w:hint="default"/>
      </w:rPr>
    </w:lvl>
    <w:lvl w:ilvl="3" w:tplc="DDA4970E">
      <w:start w:val="1"/>
      <w:numFmt w:val="bullet"/>
      <w:lvlText w:val=""/>
      <w:lvlJc w:val="left"/>
      <w:pPr>
        <w:ind w:left="2880" w:hanging="360"/>
      </w:pPr>
      <w:rPr>
        <w:rFonts w:ascii="Symbol" w:hAnsi="Symbol" w:hint="default"/>
      </w:rPr>
    </w:lvl>
    <w:lvl w:ilvl="4" w:tplc="5E94ED38">
      <w:start w:val="1"/>
      <w:numFmt w:val="bullet"/>
      <w:lvlText w:val="o"/>
      <w:lvlJc w:val="left"/>
      <w:pPr>
        <w:ind w:left="3600" w:hanging="360"/>
      </w:pPr>
      <w:rPr>
        <w:rFonts w:ascii="Courier New" w:hAnsi="Courier New" w:hint="default"/>
      </w:rPr>
    </w:lvl>
    <w:lvl w:ilvl="5" w:tplc="419EAB3E">
      <w:start w:val="1"/>
      <w:numFmt w:val="bullet"/>
      <w:lvlText w:val=""/>
      <w:lvlJc w:val="left"/>
      <w:pPr>
        <w:ind w:left="4320" w:hanging="360"/>
      </w:pPr>
      <w:rPr>
        <w:rFonts w:ascii="Wingdings" w:hAnsi="Wingdings" w:hint="default"/>
      </w:rPr>
    </w:lvl>
    <w:lvl w:ilvl="6" w:tplc="D84C91A2">
      <w:start w:val="1"/>
      <w:numFmt w:val="bullet"/>
      <w:lvlText w:val=""/>
      <w:lvlJc w:val="left"/>
      <w:pPr>
        <w:ind w:left="5040" w:hanging="360"/>
      </w:pPr>
      <w:rPr>
        <w:rFonts w:ascii="Symbol" w:hAnsi="Symbol" w:hint="default"/>
      </w:rPr>
    </w:lvl>
    <w:lvl w:ilvl="7" w:tplc="891695C8">
      <w:start w:val="1"/>
      <w:numFmt w:val="bullet"/>
      <w:lvlText w:val="o"/>
      <w:lvlJc w:val="left"/>
      <w:pPr>
        <w:ind w:left="5760" w:hanging="360"/>
      </w:pPr>
      <w:rPr>
        <w:rFonts w:ascii="Courier New" w:hAnsi="Courier New" w:hint="default"/>
      </w:rPr>
    </w:lvl>
    <w:lvl w:ilvl="8" w:tplc="94A03E2A">
      <w:start w:val="1"/>
      <w:numFmt w:val="bullet"/>
      <w:lvlText w:val=""/>
      <w:lvlJc w:val="left"/>
      <w:pPr>
        <w:ind w:left="6480" w:hanging="360"/>
      </w:pPr>
      <w:rPr>
        <w:rFonts w:ascii="Wingdings" w:hAnsi="Wingdings" w:hint="default"/>
      </w:rPr>
    </w:lvl>
  </w:abstractNum>
  <w:abstractNum w:abstractNumId="2" w15:restartNumberingAfterBreak="0">
    <w:nsid w:val="10364ACF"/>
    <w:multiLevelType w:val="hybridMultilevel"/>
    <w:tmpl w:val="9228B572"/>
    <w:lvl w:ilvl="0" w:tplc="6A48B752">
      <w:start w:val="1"/>
      <w:numFmt w:val="bullet"/>
      <w:lvlText w:val=""/>
      <w:lvlJc w:val="left"/>
      <w:pPr>
        <w:ind w:left="720" w:hanging="360"/>
      </w:pPr>
      <w:rPr>
        <w:rFonts w:ascii="Symbol" w:hAnsi="Symbol" w:hint="default"/>
      </w:rPr>
    </w:lvl>
    <w:lvl w:ilvl="1" w:tplc="5C92E930">
      <w:start w:val="1"/>
      <w:numFmt w:val="bullet"/>
      <w:lvlText w:val="o"/>
      <w:lvlJc w:val="left"/>
      <w:pPr>
        <w:ind w:left="1440" w:hanging="360"/>
      </w:pPr>
      <w:rPr>
        <w:rFonts w:ascii="Courier New" w:hAnsi="Courier New" w:hint="default"/>
      </w:rPr>
    </w:lvl>
    <w:lvl w:ilvl="2" w:tplc="686C8AEE">
      <w:start w:val="1"/>
      <w:numFmt w:val="bullet"/>
      <w:lvlText w:val=""/>
      <w:lvlJc w:val="left"/>
      <w:pPr>
        <w:ind w:left="2160" w:hanging="360"/>
      </w:pPr>
      <w:rPr>
        <w:rFonts w:ascii="Wingdings" w:hAnsi="Wingdings" w:hint="default"/>
      </w:rPr>
    </w:lvl>
    <w:lvl w:ilvl="3" w:tplc="41FCE44C">
      <w:start w:val="1"/>
      <w:numFmt w:val="bullet"/>
      <w:lvlText w:val=""/>
      <w:lvlJc w:val="left"/>
      <w:pPr>
        <w:ind w:left="2880" w:hanging="360"/>
      </w:pPr>
      <w:rPr>
        <w:rFonts w:ascii="Symbol" w:hAnsi="Symbol" w:hint="default"/>
      </w:rPr>
    </w:lvl>
    <w:lvl w:ilvl="4" w:tplc="C2F242E0">
      <w:start w:val="1"/>
      <w:numFmt w:val="bullet"/>
      <w:lvlText w:val="o"/>
      <w:lvlJc w:val="left"/>
      <w:pPr>
        <w:ind w:left="3600" w:hanging="360"/>
      </w:pPr>
      <w:rPr>
        <w:rFonts w:ascii="Courier New" w:hAnsi="Courier New" w:hint="default"/>
      </w:rPr>
    </w:lvl>
    <w:lvl w:ilvl="5" w:tplc="031CA100">
      <w:start w:val="1"/>
      <w:numFmt w:val="bullet"/>
      <w:lvlText w:val=""/>
      <w:lvlJc w:val="left"/>
      <w:pPr>
        <w:ind w:left="4320" w:hanging="360"/>
      </w:pPr>
      <w:rPr>
        <w:rFonts w:ascii="Wingdings" w:hAnsi="Wingdings" w:hint="default"/>
      </w:rPr>
    </w:lvl>
    <w:lvl w:ilvl="6" w:tplc="F790E18A">
      <w:start w:val="1"/>
      <w:numFmt w:val="bullet"/>
      <w:lvlText w:val=""/>
      <w:lvlJc w:val="left"/>
      <w:pPr>
        <w:ind w:left="5040" w:hanging="360"/>
      </w:pPr>
      <w:rPr>
        <w:rFonts w:ascii="Symbol" w:hAnsi="Symbol" w:hint="default"/>
      </w:rPr>
    </w:lvl>
    <w:lvl w:ilvl="7" w:tplc="19288B18">
      <w:start w:val="1"/>
      <w:numFmt w:val="bullet"/>
      <w:lvlText w:val="o"/>
      <w:lvlJc w:val="left"/>
      <w:pPr>
        <w:ind w:left="5760" w:hanging="360"/>
      </w:pPr>
      <w:rPr>
        <w:rFonts w:ascii="Courier New" w:hAnsi="Courier New" w:hint="default"/>
      </w:rPr>
    </w:lvl>
    <w:lvl w:ilvl="8" w:tplc="A328BE5C">
      <w:start w:val="1"/>
      <w:numFmt w:val="bullet"/>
      <w:lvlText w:val=""/>
      <w:lvlJc w:val="left"/>
      <w:pPr>
        <w:ind w:left="6480" w:hanging="360"/>
      </w:pPr>
      <w:rPr>
        <w:rFonts w:ascii="Wingdings" w:hAnsi="Wingdings" w:hint="default"/>
      </w:rPr>
    </w:lvl>
  </w:abstractNum>
  <w:abstractNum w:abstractNumId="3" w15:restartNumberingAfterBreak="0">
    <w:nsid w:val="142D0416"/>
    <w:multiLevelType w:val="hybridMultilevel"/>
    <w:tmpl w:val="E7E03274"/>
    <w:lvl w:ilvl="0" w:tplc="F0A812DE">
      <w:start w:val="1"/>
      <w:numFmt w:val="bullet"/>
      <w:lvlText w:val="·"/>
      <w:lvlJc w:val="left"/>
      <w:pPr>
        <w:ind w:left="720" w:hanging="360"/>
      </w:pPr>
      <w:rPr>
        <w:rFonts w:ascii="Symbol" w:hAnsi="Symbol" w:hint="default"/>
      </w:rPr>
    </w:lvl>
    <w:lvl w:ilvl="1" w:tplc="0C848380">
      <w:start w:val="1"/>
      <w:numFmt w:val="bullet"/>
      <w:lvlText w:val="o"/>
      <w:lvlJc w:val="left"/>
      <w:pPr>
        <w:ind w:left="1440" w:hanging="360"/>
      </w:pPr>
      <w:rPr>
        <w:rFonts w:ascii="Courier New" w:hAnsi="Courier New" w:hint="default"/>
      </w:rPr>
    </w:lvl>
    <w:lvl w:ilvl="2" w:tplc="4B78C02A">
      <w:start w:val="1"/>
      <w:numFmt w:val="bullet"/>
      <w:lvlText w:val=""/>
      <w:lvlJc w:val="left"/>
      <w:pPr>
        <w:ind w:left="2160" w:hanging="360"/>
      </w:pPr>
      <w:rPr>
        <w:rFonts w:ascii="Wingdings" w:hAnsi="Wingdings" w:hint="default"/>
      </w:rPr>
    </w:lvl>
    <w:lvl w:ilvl="3" w:tplc="C5B08212">
      <w:start w:val="1"/>
      <w:numFmt w:val="bullet"/>
      <w:lvlText w:val=""/>
      <w:lvlJc w:val="left"/>
      <w:pPr>
        <w:ind w:left="2880" w:hanging="360"/>
      </w:pPr>
      <w:rPr>
        <w:rFonts w:ascii="Symbol" w:hAnsi="Symbol" w:hint="default"/>
      </w:rPr>
    </w:lvl>
    <w:lvl w:ilvl="4" w:tplc="7B5883EA">
      <w:start w:val="1"/>
      <w:numFmt w:val="bullet"/>
      <w:lvlText w:val="o"/>
      <w:lvlJc w:val="left"/>
      <w:pPr>
        <w:ind w:left="3600" w:hanging="360"/>
      </w:pPr>
      <w:rPr>
        <w:rFonts w:ascii="Courier New" w:hAnsi="Courier New" w:hint="default"/>
      </w:rPr>
    </w:lvl>
    <w:lvl w:ilvl="5" w:tplc="4AEEF1FE">
      <w:start w:val="1"/>
      <w:numFmt w:val="bullet"/>
      <w:lvlText w:val=""/>
      <w:lvlJc w:val="left"/>
      <w:pPr>
        <w:ind w:left="4320" w:hanging="360"/>
      </w:pPr>
      <w:rPr>
        <w:rFonts w:ascii="Wingdings" w:hAnsi="Wingdings" w:hint="default"/>
      </w:rPr>
    </w:lvl>
    <w:lvl w:ilvl="6" w:tplc="2C24CEAC">
      <w:start w:val="1"/>
      <w:numFmt w:val="bullet"/>
      <w:lvlText w:val=""/>
      <w:lvlJc w:val="left"/>
      <w:pPr>
        <w:ind w:left="5040" w:hanging="360"/>
      </w:pPr>
      <w:rPr>
        <w:rFonts w:ascii="Symbol" w:hAnsi="Symbol" w:hint="default"/>
      </w:rPr>
    </w:lvl>
    <w:lvl w:ilvl="7" w:tplc="3A9CE474">
      <w:start w:val="1"/>
      <w:numFmt w:val="bullet"/>
      <w:lvlText w:val="o"/>
      <w:lvlJc w:val="left"/>
      <w:pPr>
        <w:ind w:left="5760" w:hanging="360"/>
      </w:pPr>
      <w:rPr>
        <w:rFonts w:ascii="Courier New" w:hAnsi="Courier New" w:hint="default"/>
      </w:rPr>
    </w:lvl>
    <w:lvl w:ilvl="8" w:tplc="E0AA6572">
      <w:start w:val="1"/>
      <w:numFmt w:val="bullet"/>
      <w:lvlText w:val=""/>
      <w:lvlJc w:val="left"/>
      <w:pPr>
        <w:ind w:left="6480" w:hanging="360"/>
      </w:pPr>
      <w:rPr>
        <w:rFonts w:ascii="Wingdings" w:hAnsi="Wingdings" w:hint="default"/>
      </w:rPr>
    </w:lvl>
  </w:abstractNum>
  <w:abstractNum w:abstractNumId="4" w15:restartNumberingAfterBreak="0">
    <w:nsid w:val="4477AC3F"/>
    <w:multiLevelType w:val="hybridMultilevel"/>
    <w:tmpl w:val="7B82AF80"/>
    <w:lvl w:ilvl="0" w:tplc="5F001CDA">
      <w:start w:val="1"/>
      <w:numFmt w:val="bullet"/>
      <w:lvlText w:val=""/>
      <w:lvlJc w:val="left"/>
      <w:pPr>
        <w:ind w:left="720" w:hanging="360"/>
      </w:pPr>
      <w:rPr>
        <w:rFonts w:ascii="Symbol" w:hAnsi="Symbol" w:hint="default"/>
      </w:rPr>
    </w:lvl>
    <w:lvl w:ilvl="1" w:tplc="42AE88A4">
      <w:start w:val="1"/>
      <w:numFmt w:val="bullet"/>
      <w:lvlText w:val="o"/>
      <w:lvlJc w:val="left"/>
      <w:pPr>
        <w:ind w:left="1440" w:hanging="360"/>
      </w:pPr>
      <w:rPr>
        <w:rFonts w:ascii="Courier New" w:hAnsi="Courier New" w:hint="default"/>
      </w:rPr>
    </w:lvl>
    <w:lvl w:ilvl="2" w:tplc="7ABAC694">
      <w:start w:val="1"/>
      <w:numFmt w:val="bullet"/>
      <w:lvlText w:val=""/>
      <w:lvlJc w:val="left"/>
      <w:pPr>
        <w:ind w:left="2160" w:hanging="360"/>
      </w:pPr>
      <w:rPr>
        <w:rFonts w:ascii="Wingdings" w:hAnsi="Wingdings" w:hint="default"/>
      </w:rPr>
    </w:lvl>
    <w:lvl w:ilvl="3" w:tplc="8EFAAA42">
      <w:start w:val="1"/>
      <w:numFmt w:val="bullet"/>
      <w:lvlText w:val=""/>
      <w:lvlJc w:val="left"/>
      <w:pPr>
        <w:ind w:left="2880" w:hanging="360"/>
      </w:pPr>
      <w:rPr>
        <w:rFonts w:ascii="Symbol" w:hAnsi="Symbol" w:hint="default"/>
      </w:rPr>
    </w:lvl>
    <w:lvl w:ilvl="4" w:tplc="10144E7A">
      <w:start w:val="1"/>
      <w:numFmt w:val="bullet"/>
      <w:lvlText w:val="o"/>
      <w:lvlJc w:val="left"/>
      <w:pPr>
        <w:ind w:left="3600" w:hanging="360"/>
      </w:pPr>
      <w:rPr>
        <w:rFonts w:ascii="Courier New" w:hAnsi="Courier New" w:hint="default"/>
      </w:rPr>
    </w:lvl>
    <w:lvl w:ilvl="5" w:tplc="03DC794E">
      <w:start w:val="1"/>
      <w:numFmt w:val="bullet"/>
      <w:lvlText w:val=""/>
      <w:lvlJc w:val="left"/>
      <w:pPr>
        <w:ind w:left="4320" w:hanging="360"/>
      </w:pPr>
      <w:rPr>
        <w:rFonts w:ascii="Wingdings" w:hAnsi="Wingdings" w:hint="default"/>
      </w:rPr>
    </w:lvl>
    <w:lvl w:ilvl="6" w:tplc="1A34A044">
      <w:start w:val="1"/>
      <w:numFmt w:val="bullet"/>
      <w:lvlText w:val=""/>
      <w:lvlJc w:val="left"/>
      <w:pPr>
        <w:ind w:left="5040" w:hanging="360"/>
      </w:pPr>
      <w:rPr>
        <w:rFonts w:ascii="Symbol" w:hAnsi="Symbol" w:hint="default"/>
      </w:rPr>
    </w:lvl>
    <w:lvl w:ilvl="7" w:tplc="F330074A">
      <w:start w:val="1"/>
      <w:numFmt w:val="bullet"/>
      <w:lvlText w:val="o"/>
      <w:lvlJc w:val="left"/>
      <w:pPr>
        <w:ind w:left="5760" w:hanging="360"/>
      </w:pPr>
      <w:rPr>
        <w:rFonts w:ascii="Courier New" w:hAnsi="Courier New" w:hint="default"/>
      </w:rPr>
    </w:lvl>
    <w:lvl w:ilvl="8" w:tplc="E236B0AA">
      <w:start w:val="1"/>
      <w:numFmt w:val="bullet"/>
      <w:lvlText w:val=""/>
      <w:lvlJc w:val="left"/>
      <w:pPr>
        <w:ind w:left="6480" w:hanging="360"/>
      </w:pPr>
      <w:rPr>
        <w:rFonts w:ascii="Wingdings" w:hAnsi="Wingdings" w:hint="default"/>
      </w:rPr>
    </w:lvl>
  </w:abstractNum>
  <w:abstractNum w:abstractNumId="5" w15:restartNumberingAfterBreak="0">
    <w:nsid w:val="46649D00"/>
    <w:multiLevelType w:val="hybridMultilevel"/>
    <w:tmpl w:val="3FB217EC"/>
    <w:lvl w:ilvl="0" w:tplc="2D28D238">
      <w:start w:val="1"/>
      <w:numFmt w:val="bullet"/>
      <w:lvlText w:val="·"/>
      <w:lvlJc w:val="left"/>
      <w:pPr>
        <w:ind w:left="720" w:hanging="360"/>
      </w:pPr>
      <w:rPr>
        <w:rFonts w:ascii="Symbol" w:hAnsi="Symbol" w:hint="default"/>
      </w:rPr>
    </w:lvl>
    <w:lvl w:ilvl="1" w:tplc="65587326">
      <w:start w:val="1"/>
      <w:numFmt w:val="bullet"/>
      <w:lvlText w:val="o"/>
      <w:lvlJc w:val="left"/>
      <w:pPr>
        <w:ind w:left="1440" w:hanging="360"/>
      </w:pPr>
      <w:rPr>
        <w:rFonts w:ascii="Courier New" w:hAnsi="Courier New" w:hint="default"/>
      </w:rPr>
    </w:lvl>
    <w:lvl w:ilvl="2" w:tplc="F94C63C0">
      <w:start w:val="1"/>
      <w:numFmt w:val="bullet"/>
      <w:lvlText w:val=""/>
      <w:lvlJc w:val="left"/>
      <w:pPr>
        <w:ind w:left="2160" w:hanging="360"/>
      </w:pPr>
      <w:rPr>
        <w:rFonts w:ascii="Wingdings" w:hAnsi="Wingdings" w:hint="default"/>
      </w:rPr>
    </w:lvl>
    <w:lvl w:ilvl="3" w:tplc="4AE0DD2C">
      <w:start w:val="1"/>
      <w:numFmt w:val="bullet"/>
      <w:lvlText w:val=""/>
      <w:lvlJc w:val="left"/>
      <w:pPr>
        <w:ind w:left="2880" w:hanging="360"/>
      </w:pPr>
      <w:rPr>
        <w:rFonts w:ascii="Symbol" w:hAnsi="Symbol" w:hint="default"/>
      </w:rPr>
    </w:lvl>
    <w:lvl w:ilvl="4" w:tplc="967A6C82">
      <w:start w:val="1"/>
      <w:numFmt w:val="bullet"/>
      <w:lvlText w:val="o"/>
      <w:lvlJc w:val="left"/>
      <w:pPr>
        <w:ind w:left="3600" w:hanging="360"/>
      </w:pPr>
      <w:rPr>
        <w:rFonts w:ascii="Courier New" w:hAnsi="Courier New" w:hint="default"/>
      </w:rPr>
    </w:lvl>
    <w:lvl w:ilvl="5" w:tplc="27CADBA2">
      <w:start w:val="1"/>
      <w:numFmt w:val="bullet"/>
      <w:lvlText w:val=""/>
      <w:lvlJc w:val="left"/>
      <w:pPr>
        <w:ind w:left="4320" w:hanging="360"/>
      </w:pPr>
      <w:rPr>
        <w:rFonts w:ascii="Wingdings" w:hAnsi="Wingdings" w:hint="default"/>
      </w:rPr>
    </w:lvl>
    <w:lvl w:ilvl="6" w:tplc="8C029B20">
      <w:start w:val="1"/>
      <w:numFmt w:val="bullet"/>
      <w:lvlText w:val=""/>
      <w:lvlJc w:val="left"/>
      <w:pPr>
        <w:ind w:left="5040" w:hanging="360"/>
      </w:pPr>
      <w:rPr>
        <w:rFonts w:ascii="Symbol" w:hAnsi="Symbol" w:hint="default"/>
      </w:rPr>
    </w:lvl>
    <w:lvl w:ilvl="7" w:tplc="A48E5E08">
      <w:start w:val="1"/>
      <w:numFmt w:val="bullet"/>
      <w:lvlText w:val="o"/>
      <w:lvlJc w:val="left"/>
      <w:pPr>
        <w:ind w:left="5760" w:hanging="360"/>
      </w:pPr>
      <w:rPr>
        <w:rFonts w:ascii="Courier New" w:hAnsi="Courier New" w:hint="default"/>
      </w:rPr>
    </w:lvl>
    <w:lvl w:ilvl="8" w:tplc="E2AC8DD6">
      <w:start w:val="1"/>
      <w:numFmt w:val="bullet"/>
      <w:lvlText w:val=""/>
      <w:lvlJc w:val="left"/>
      <w:pPr>
        <w:ind w:left="6480" w:hanging="360"/>
      </w:pPr>
      <w:rPr>
        <w:rFonts w:ascii="Wingdings" w:hAnsi="Wingdings" w:hint="default"/>
      </w:rPr>
    </w:lvl>
  </w:abstractNum>
  <w:abstractNum w:abstractNumId="6" w15:restartNumberingAfterBreak="0">
    <w:nsid w:val="49C3A21B"/>
    <w:multiLevelType w:val="hybridMultilevel"/>
    <w:tmpl w:val="114AB70E"/>
    <w:lvl w:ilvl="0" w:tplc="1B34F15A">
      <w:start w:val="1"/>
      <w:numFmt w:val="bullet"/>
      <w:lvlText w:val="·"/>
      <w:lvlJc w:val="left"/>
      <w:pPr>
        <w:ind w:left="720" w:hanging="360"/>
      </w:pPr>
      <w:rPr>
        <w:rFonts w:ascii="Symbol" w:hAnsi="Symbol" w:hint="default"/>
      </w:rPr>
    </w:lvl>
    <w:lvl w:ilvl="1" w:tplc="BF98BF4A">
      <w:start w:val="1"/>
      <w:numFmt w:val="bullet"/>
      <w:lvlText w:val="o"/>
      <w:lvlJc w:val="left"/>
      <w:pPr>
        <w:ind w:left="1440" w:hanging="360"/>
      </w:pPr>
      <w:rPr>
        <w:rFonts w:ascii="Courier New" w:hAnsi="Courier New" w:hint="default"/>
      </w:rPr>
    </w:lvl>
    <w:lvl w:ilvl="2" w:tplc="EB1ACDB0">
      <w:start w:val="1"/>
      <w:numFmt w:val="bullet"/>
      <w:lvlText w:val=""/>
      <w:lvlJc w:val="left"/>
      <w:pPr>
        <w:ind w:left="2160" w:hanging="360"/>
      </w:pPr>
      <w:rPr>
        <w:rFonts w:ascii="Wingdings" w:hAnsi="Wingdings" w:hint="default"/>
      </w:rPr>
    </w:lvl>
    <w:lvl w:ilvl="3" w:tplc="9620E214">
      <w:start w:val="1"/>
      <w:numFmt w:val="bullet"/>
      <w:lvlText w:val=""/>
      <w:lvlJc w:val="left"/>
      <w:pPr>
        <w:ind w:left="2880" w:hanging="360"/>
      </w:pPr>
      <w:rPr>
        <w:rFonts w:ascii="Symbol" w:hAnsi="Symbol" w:hint="default"/>
      </w:rPr>
    </w:lvl>
    <w:lvl w:ilvl="4" w:tplc="BFC6B0BE">
      <w:start w:val="1"/>
      <w:numFmt w:val="bullet"/>
      <w:lvlText w:val="o"/>
      <w:lvlJc w:val="left"/>
      <w:pPr>
        <w:ind w:left="3600" w:hanging="360"/>
      </w:pPr>
      <w:rPr>
        <w:rFonts w:ascii="Courier New" w:hAnsi="Courier New" w:hint="default"/>
      </w:rPr>
    </w:lvl>
    <w:lvl w:ilvl="5" w:tplc="1788FAB2">
      <w:start w:val="1"/>
      <w:numFmt w:val="bullet"/>
      <w:lvlText w:val=""/>
      <w:lvlJc w:val="left"/>
      <w:pPr>
        <w:ind w:left="4320" w:hanging="360"/>
      </w:pPr>
      <w:rPr>
        <w:rFonts w:ascii="Wingdings" w:hAnsi="Wingdings" w:hint="default"/>
      </w:rPr>
    </w:lvl>
    <w:lvl w:ilvl="6" w:tplc="28E654E6">
      <w:start w:val="1"/>
      <w:numFmt w:val="bullet"/>
      <w:lvlText w:val=""/>
      <w:lvlJc w:val="left"/>
      <w:pPr>
        <w:ind w:left="5040" w:hanging="360"/>
      </w:pPr>
      <w:rPr>
        <w:rFonts w:ascii="Symbol" w:hAnsi="Symbol" w:hint="default"/>
      </w:rPr>
    </w:lvl>
    <w:lvl w:ilvl="7" w:tplc="73FC030C">
      <w:start w:val="1"/>
      <w:numFmt w:val="bullet"/>
      <w:lvlText w:val="o"/>
      <w:lvlJc w:val="left"/>
      <w:pPr>
        <w:ind w:left="5760" w:hanging="360"/>
      </w:pPr>
      <w:rPr>
        <w:rFonts w:ascii="Courier New" w:hAnsi="Courier New" w:hint="default"/>
      </w:rPr>
    </w:lvl>
    <w:lvl w:ilvl="8" w:tplc="1CD477E2">
      <w:start w:val="1"/>
      <w:numFmt w:val="bullet"/>
      <w:lvlText w:val=""/>
      <w:lvlJc w:val="left"/>
      <w:pPr>
        <w:ind w:left="6480" w:hanging="360"/>
      </w:pPr>
      <w:rPr>
        <w:rFonts w:ascii="Wingdings" w:hAnsi="Wingdings" w:hint="default"/>
      </w:rPr>
    </w:lvl>
  </w:abstractNum>
  <w:abstractNum w:abstractNumId="7" w15:restartNumberingAfterBreak="0">
    <w:nsid w:val="4B528666"/>
    <w:multiLevelType w:val="hybridMultilevel"/>
    <w:tmpl w:val="0FB0488A"/>
    <w:lvl w:ilvl="0" w:tplc="60CE171C">
      <w:start w:val="1"/>
      <w:numFmt w:val="bullet"/>
      <w:lvlText w:val="·"/>
      <w:lvlJc w:val="left"/>
      <w:pPr>
        <w:ind w:left="720" w:hanging="360"/>
      </w:pPr>
      <w:rPr>
        <w:rFonts w:ascii="Symbol" w:hAnsi="Symbol" w:hint="default"/>
      </w:rPr>
    </w:lvl>
    <w:lvl w:ilvl="1" w:tplc="F89291BE">
      <w:start w:val="1"/>
      <w:numFmt w:val="bullet"/>
      <w:lvlText w:val="o"/>
      <w:lvlJc w:val="left"/>
      <w:pPr>
        <w:ind w:left="1440" w:hanging="360"/>
      </w:pPr>
      <w:rPr>
        <w:rFonts w:ascii="Courier New" w:hAnsi="Courier New" w:hint="default"/>
      </w:rPr>
    </w:lvl>
    <w:lvl w:ilvl="2" w:tplc="B4B4DD0C">
      <w:start w:val="1"/>
      <w:numFmt w:val="bullet"/>
      <w:lvlText w:val=""/>
      <w:lvlJc w:val="left"/>
      <w:pPr>
        <w:ind w:left="2160" w:hanging="360"/>
      </w:pPr>
      <w:rPr>
        <w:rFonts w:ascii="Wingdings" w:hAnsi="Wingdings" w:hint="default"/>
      </w:rPr>
    </w:lvl>
    <w:lvl w:ilvl="3" w:tplc="C7FC9FFE">
      <w:start w:val="1"/>
      <w:numFmt w:val="bullet"/>
      <w:lvlText w:val=""/>
      <w:lvlJc w:val="left"/>
      <w:pPr>
        <w:ind w:left="2880" w:hanging="360"/>
      </w:pPr>
      <w:rPr>
        <w:rFonts w:ascii="Symbol" w:hAnsi="Symbol" w:hint="default"/>
      </w:rPr>
    </w:lvl>
    <w:lvl w:ilvl="4" w:tplc="3CB2CB3A">
      <w:start w:val="1"/>
      <w:numFmt w:val="bullet"/>
      <w:lvlText w:val="o"/>
      <w:lvlJc w:val="left"/>
      <w:pPr>
        <w:ind w:left="3600" w:hanging="360"/>
      </w:pPr>
      <w:rPr>
        <w:rFonts w:ascii="Courier New" w:hAnsi="Courier New" w:hint="default"/>
      </w:rPr>
    </w:lvl>
    <w:lvl w:ilvl="5" w:tplc="2F0E9A64">
      <w:start w:val="1"/>
      <w:numFmt w:val="bullet"/>
      <w:lvlText w:val=""/>
      <w:lvlJc w:val="left"/>
      <w:pPr>
        <w:ind w:left="4320" w:hanging="360"/>
      </w:pPr>
      <w:rPr>
        <w:rFonts w:ascii="Wingdings" w:hAnsi="Wingdings" w:hint="default"/>
      </w:rPr>
    </w:lvl>
    <w:lvl w:ilvl="6" w:tplc="62888A26">
      <w:start w:val="1"/>
      <w:numFmt w:val="bullet"/>
      <w:lvlText w:val=""/>
      <w:lvlJc w:val="left"/>
      <w:pPr>
        <w:ind w:left="5040" w:hanging="360"/>
      </w:pPr>
      <w:rPr>
        <w:rFonts w:ascii="Symbol" w:hAnsi="Symbol" w:hint="default"/>
      </w:rPr>
    </w:lvl>
    <w:lvl w:ilvl="7" w:tplc="5AFE5048">
      <w:start w:val="1"/>
      <w:numFmt w:val="bullet"/>
      <w:lvlText w:val="o"/>
      <w:lvlJc w:val="left"/>
      <w:pPr>
        <w:ind w:left="5760" w:hanging="360"/>
      </w:pPr>
      <w:rPr>
        <w:rFonts w:ascii="Courier New" w:hAnsi="Courier New" w:hint="default"/>
      </w:rPr>
    </w:lvl>
    <w:lvl w:ilvl="8" w:tplc="42809E86">
      <w:start w:val="1"/>
      <w:numFmt w:val="bullet"/>
      <w:lvlText w:val=""/>
      <w:lvlJc w:val="left"/>
      <w:pPr>
        <w:ind w:left="6480" w:hanging="360"/>
      </w:pPr>
      <w:rPr>
        <w:rFonts w:ascii="Wingdings" w:hAnsi="Wingdings" w:hint="default"/>
      </w:rPr>
    </w:lvl>
  </w:abstractNum>
  <w:abstractNum w:abstractNumId="8" w15:restartNumberingAfterBreak="0">
    <w:nsid w:val="5A8D24E7"/>
    <w:multiLevelType w:val="hybridMultilevel"/>
    <w:tmpl w:val="A18E3826"/>
    <w:lvl w:ilvl="0" w:tplc="620C0150">
      <w:start w:val="1"/>
      <w:numFmt w:val="bullet"/>
      <w:lvlText w:val=""/>
      <w:lvlJc w:val="left"/>
      <w:pPr>
        <w:ind w:left="720" w:hanging="360"/>
      </w:pPr>
      <w:rPr>
        <w:rFonts w:ascii="Symbol" w:hAnsi="Symbol" w:hint="default"/>
      </w:rPr>
    </w:lvl>
    <w:lvl w:ilvl="1" w:tplc="C9485810">
      <w:start w:val="1"/>
      <w:numFmt w:val="bullet"/>
      <w:lvlText w:val="o"/>
      <w:lvlJc w:val="left"/>
      <w:pPr>
        <w:ind w:left="1440" w:hanging="360"/>
      </w:pPr>
      <w:rPr>
        <w:rFonts w:ascii="Courier New" w:hAnsi="Courier New" w:hint="default"/>
      </w:rPr>
    </w:lvl>
    <w:lvl w:ilvl="2" w:tplc="CD523F3A">
      <w:start w:val="1"/>
      <w:numFmt w:val="bullet"/>
      <w:lvlText w:val=""/>
      <w:lvlJc w:val="left"/>
      <w:pPr>
        <w:ind w:left="2160" w:hanging="360"/>
      </w:pPr>
      <w:rPr>
        <w:rFonts w:ascii="Wingdings" w:hAnsi="Wingdings" w:hint="default"/>
      </w:rPr>
    </w:lvl>
    <w:lvl w:ilvl="3" w:tplc="06EE3D60">
      <w:start w:val="1"/>
      <w:numFmt w:val="bullet"/>
      <w:lvlText w:val=""/>
      <w:lvlJc w:val="left"/>
      <w:pPr>
        <w:ind w:left="2880" w:hanging="360"/>
      </w:pPr>
      <w:rPr>
        <w:rFonts w:ascii="Symbol" w:hAnsi="Symbol" w:hint="default"/>
      </w:rPr>
    </w:lvl>
    <w:lvl w:ilvl="4" w:tplc="F1783BC8">
      <w:start w:val="1"/>
      <w:numFmt w:val="bullet"/>
      <w:lvlText w:val="o"/>
      <w:lvlJc w:val="left"/>
      <w:pPr>
        <w:ind w:left="3600" w:hanging="360"/>
      </w:pPr>
      <w:rPr>
        <w:rFonts w:ascii="Courier New" w:hAnsi="Courier New" w:hint="default"/>
      </w:rPr>
    </w:lvl>
    <w:lvl w:ilvl="5" w:tplc="B87CF798">
      <w:start w:val="1"/>
      <w:numFmt w:val="bullet"/>
      <w:lvlText w:val=""/>
      <w:lvlJc w:val="left"/>
      <w:pPr>
        <w:ind w:left="4320" w:hanging="360"/>
      </w:pPr>
      <w:rPr>
        <w:rFonts w:ascii="Wingdings" w:hAnsi="Wingdings" w:hint="default"/>
      </w:rPr>
    </w:lvl>
    <w:lvl w:ilvl="6" w:tplc="31C6E670">
      <w:start w:val="1"/>
      <w:numFmt w:val="bullet"/>
      <w:lvlText w:val=""/>
      <w:lvlJc w:val="left"/>
      <w:pPr>
        <w:ind w:left="5040" w:hanging="360"/>
      </w:pPr>
      <w:rPr>
        <w:rFonts w:ascii="Symbol" w:hAnsi="Symbol" w:hint="default"/>
      </w:rPr>
    </w:lvl>
    <w:lvl w:ilvl="7" w:tplc="F00468CC">
      <w:start w:val="1"/>
      <w:numFmt w:val="bullet"/>
      <w:lvlText w:val="o"/>
      <w:lvlJc w:val="left"/>
      <w:pPr>
        <w:ind w:left="5760" w:hanging="360"/>
      </w:pPr>
      <w:rPr>
        <w:rFonts w:ascii="Courier New" w:hAnsi="Courier New" w:hint="default"/>
      </w:rPr>
    </w:lvl>
    <w:lvl w:ilvl="8" w:tplc="CA0A5F06">
      <w:start w:val="1"/>
      <w:numFmt w:val="bullet"/>
      <w:lvlText w:val=""/>
      <w:lvlJc w:val="left"/>
      <w:pPr>
        <w:ind w:left="6480" w:hanging="360"/>
      </w:pPr>
      <w:rPr>
        <w:rFonts w:ascii="Wingdings" w:hAnsi="Wingdings" w:hint="default"/>
      </w:rPr>
    </w:lvl>
  </w:abstractNum>
  <w:abstractNum w:abstractNumId="9" w15:restartNumberingAfterBreak="0">
    <w:nsid w:val="653A817B"/>
    <w:multiLevelType w:val="hybridMultilevel"/>
    <w:tmpl w:val="FB685110"/>
    <w:lvl w:ilvl="0" w:tplc="555625AE">
      <w:start w:val="1"/>
      <w:numFmt w:val="decimal"/>
      <w:lvlText w:val="%1."/>
      <w:lvlJc w:val="left"/>
      <w:pPr>
        <w:ind w:left="720" w:hanging="360"/>
      </w:pPr>
    </w:lvl>
    <w:lvl w:ilvl="1" w:tplc="035409EC">
      <w:start w:val="1"/>
      <w:numFmt w:val="lowerLetter"/>
      <w:lvlText w:val="%2."/>
      <w:lvlJc w:val="left"/>
      <w:pPr>
        <w:ind w:left="1440" w:hanging="360"/>
      </w:pPr>
    </w:lvl>
    <w:lvl w:ilvl="2" w:tplc="F398D0C4">
      <w:start w:val="1"/>
      <w:numFmt w:val="lowerRoman"/>
      <w:lvlText w:val="%3."/>
      <w:lvlJc w:val="right"/>
      <w:pPr>
        <w:ind w:left="2160" w:hanging="180"/>
      </w:pPr>
    </w:lvl>
    <w:lvl w:ilvl="3" w:tplc="991671B6">
      <w:start w:val="1"/>
      <w:numFmt w:val="decimal"/>
      <w:lvlText w:val="%4."/>
      <w:lvlJc w:val="left"/>
      <w:pPr>
        <w:ind w:left="2880" w:hanging="360"/>
      </w:pPr>
    </w:lvl>
    <w:lvl w:ilvl="4" w:tplc="DB96A47E">
      <w:start w:val="1"/>
      <w:numFmt w:val="lowerLetter"/>
      <w:lvlText w:val="%5."/>
      <w:lvlJc w:val="left"/>
      <w:pPr>
        <w:ind w:left="3600" w:hanging="360"/>
      </w:pPr>
    </w:lvl>
    <w:lvl w:ilvl="5" w:tplc="DF9C00F6">
      <w:start w:val="1"/>
      <w:numFmt w:val="lowerRoman"/>
      <w:lvlText w:val="%6."/>
      <w:lvlJc w:val="right"/>
      <w:pPr>
        <w:ind w:left="4320" w:hanging="180"/>
      </w:pPr>
    </w:lvl>
    <w:lvl w:ilvl="6" w:tplc="4D0C47F2">
      <w:start w:val="1"/>
      <w:numFmt w:val="decimal"/>
      <w:lvlText w:val="%7."/>
      <w:lvlJc w:val="left"/>
      <w:pPr>
        <w:ind w:left="5040" w:hanging="360"/>
      </w:pPr>
    </w:lvl>
    <w:lvl w:ilvl="7" w:tplc="82E87924">
      <w:start w:val="1"/>
      <w:numFmt w:val="lowerLetter"/>
      <w:lvlText w:val="%8."/>
      <w:lvlJc w:val="left"/>
      <w:pPr>
        <w:ind w:left="5760" w:hanging="360"/>
      </w:pPr>
    </w:lvl>
    <w:lvl w:ilvl="8" w:tplc="F36AEC3A">
      <w:start w:val="1"/>
      <w:numFmt w:val="lowerRoman"/>
      <w:lvlText w:val="%9."/>
      <w:lvlJc w:val="right"/>
      <w:pPr>
        <w:ind w:left="6480" w:hanging="180"/>
      </w:pPr>
    </w:lvl>
  </w:abstractNum>
  <w:num w:numId="1" w16cid:durableId="252014080">
    <w:abstractNumId w:val="4"/>
  </w:num>
  <w:num w:numId="2" w16cid:durableId="1753774945">
    <w:abstractNumId w:val="8"/>
  </w:num>
  <w:num w:numId="3" w16cid:durableId="1082532810">
    <w:abstractNumId w:val="2"/>
  </w:num>
  <w:num w:numId="4" w16cid:durableId="155189774">
    <w:abstractNumId w:val="6"/>
  </w:num>
  <w:num w:numId="5" w16cid:durableId="1587113864">
    <w:abstractNumId w:val="3"/>
  </w:num>
  <w:num w:numId="6" w16cid:durableId="1256793089">
    <w:abstractNumId w:val="1"/>
  </w:num>
  <w:num w:numId="7" w16cid:durableId="608588464">
    <w:abstractNumId w:val="5"/>
  </w:num>
  <w:num w:numId="8" w16cid:durableId="1329094619">
    <w:abstractNumId w:val="7"/>
  </w:num>
  <w:num w:numId="9" w16cid:durableId="1228686801">
    <w:abstractNumId w:val="0"/>
  </w:num>
  <w:num w:numId="10" w16cid:durableId="10417099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E24"/>
    <w:rsid w:val="000811DC"/>
    <w:rsid w:val="000B0F40"/>
    <w:rsid w:val="001B3564"/>
    <w:rsid w:val="001E072C"/>
    <w:rsid w:val="00252768"/>
    <w:rsid w:val="002A59B0"/>
    <w:rsid w:val="002C3B78"/>
    <w:rsid w:val="002E5F70"/>
    <w:rsid w:val="0031058F"/>
    <w:rsid w:val="00327330"/>
    <w:rsid w:val="003310C6"/>
    <w:rsid w:val="00332766"/>
    <w:rsid w:val="003732B6"/>
    <w:rsid w:val="004D0E24"/>
    <w:rsid w:val="00514976"/>
    <w:rsid w:val="00515DAF"/>
    <w:rsid w:val="00596A87"/>
    <w:rsid w:val="00675D87"/>
    <w:rsid w:val="006C4FD2"/>
    <w:rsid w:val="006D156E"/>
    <w:rsid w:val="0083565C"/>
    <w:rsid w:val="00837D1F"/>
    <w:rsid w:val="00845545"/>
    <w:rsid w:val="00854AE7"/>
    <w:rsid w:val="008617E5"/>
    <w:rsid w:val="008B1FA8"/>
    <w:rsid w:val="0093482F"/>
    <w:rsid w:val="00956CA0"/>
    <w:rsid w:val="00971CEB"/>
    <w:rsid w:val="009C26CA"/>
    <w:rsid w:val="009F0414"/>
    <w:rsid w:val="00A111F4"/>
    <w:rsid w:val="00A957B7"/>
    <w:rsid w:val="00AB4D3C"/>
    <w:rsid w:val="00B30019"/>
    <w:rsid w:val="00B56757"/>
    <w:rsid w:val="00BB64D8"/>
    <w:rsid w:val="00BF0BE3"/>
    <w:rsid w:val="00BF71AD"/>
    <w:rsid w:val="00C4604B"/>
    <w:rsid w:val="00C72761"/>
    <w:rsid w:val="00C918AC"/>
    <w:rsid w:val="00CA2F20"/>
    <w:rsid w:val="00E21A3C"/>
    <w:rsid w:val="00E61E6A"/>
    <w:rsid w:val="00EA0596"/>
    <w:rsid w:val="00EA322A"/>
    <w:rsid w:val="00EB22BF"/>
    <w:rsid w:val="00F0026C"/>
    <w:rsid w:val="00F320C2"/>
    <w:rsid w:val="00FD1B7B"/>
    <w:rsid w:val="00FD7B2A"/>
    <w:rsid w:val="010A7D5F"/>
    <w:rsid w:val="0151D22E"/>
    <w:rsid w:val="015B88E5"/>
    <w:rsid w:val="01736DF1"/>
    <w:rsid w:val="01C1B522"/>
    <w:rsid w:val="01FA33CD"/>
    <w:rsid w:val="01FAA85F"/>
    <w:rsid w:val="02032DE8"/>
    <w:rsid w:val="02216158"/>
    <w:rsid w:val="02EDA28F"/>
    <w:rsid w:val="03087315"/>
    <w:rsid w:val="033D3A4A"/>
    <w:rsid w:val="03C24F59"/>
    <w:rsid w:val="049BCC41"/>
    <w:rsid w:val="051216D0"/>
    <w:rsid w:val="05191214"/>
    <w:rsid w:val="05417DDD"/>
    <w:rsid w:val="0562EFB3"/>
    <w:rsid w:val="0587A1AE"/>
    <w:rsid w:val="063CF9B7"/>
    <w:rsid w:val="06948645"/>
    <w:rsid w:val="06AB0CE7"/>
    <w:rsid w:val="0727B313"/>
    <w:rsid w:val="07B2ADC7"/>
    <w:rsid w:val="07D36D03"/>
    <w:rsid w:val="0809BC35"/>
    <w:rsid w:val="0812D192"/>
    <w:rsid w:val="0850B2D6"/>
    <w:rsid w:val="0858A05C"/>
    <w:rsid w:val="08C17339"/>
    <w:rsid w:val="094D0A02"/>
    <w:rsid w:val="096F3D64"/>
    <w:rsid w:val="09760B14"/>
    <w:rsid w:val="099C08FE"/>
    <w:rsid w:val="09AEAAD8"/>
    <w:rsid w:val="09F470BD"/>
    <w:rsid w:val="0A401F8B"/>
    <w:rsid w:val="0A5207CC"/>
    <w:rsid w:val="0AE8DA63"/>
    <w:rsid w:val="0AEA4E89"/>
    <w:rsid w:val="0B0B0DC5"/>
    <w:rsid w:val="0B553E2B"/>
    <w:rsid w:val="0C2C40B1"/>
    <w:rsid w:val="0C861EEA"/>
    <w:rsid w:val="0D2C117F"/>
    <w:rsid w:val="0D52AC3C"/>
    <w:rsid w:val="0DC48E18"/>
    <w:rsid w:val="0DCDA9FD"/>
    <w:rsid w:val="0E12ACB2"/>
    <w:rsid w:val="0E1F3B29"/>
    <w:rsid w:val="0E21EF4B"/>
    <w:rsid w:val="0E306F8D"/>
    <w:rsid w:val="0E9FD0B9"/>
    <w:rsid w:val="0F28EFEB"/>
    <w:rsid w:val="0F586F56"/>
    <w:rsid w:val="0FAE7D13"/>
    <w:rsid w:val="0FB3C737"/>
    <w:rsid w:val="10053D7A"/>
    <w:rsid w:val="102FEF08"/>
    <w:rsid w:val="105F19FD"/>
    <w:rsid w:val="1155C878"/>
    <w:rsid w:val="11FF82A2"/>
    <w:rsid w:val="12678ADE"/>
    <w:rsid w:val="12F3EC48"/>
    <w:rsid w:val="1340BF4C"/>
    <w:rsid w:val="1394D48D"/>
    <w:rsid w:val="13A68E4C"/>
    <w:rsid w:val="142B247C"/>
    <w:rsid w:val="145C0E53"/>
    <w:rsid w:val="149705F1"/>
    <w:rsid w:val="14F6DCA9"/>
    <w:rsid w:val="1560D96C"/>
    <w:rsid w:val="15B426EB"/>
    <w:rsid w:val="164337DC"/>
    <w:rsid w:val="1648C167"/>
    <w:rsid w:val="16AAE29E"/>
    <w:rsid w:val="16C40AFB"/>
    <w:rsid w:val="16E373D7"/>
    <w:rsid w:val="17852E46"/>
    <w:rsid w:val="1797D033"/>
    <w:rsid w:val="17D013FC"/>
    <w:rsid w:val="17F66834"/>
    <w:rsid w:val="182BA247"/>
    <w:rsid w:val="18551942"/>
    <w:rsid w:val="1932F7ED"/>
    <w:rsid w:val="1940E97E"/>
    <w:rsid w:val="1974D419"/>
    <w:rsid w:val="197C6891"/>
    <w:rsid w:val="198F9E47"/>
    <w:rsid w:val="19923895"/>
    <w:rsid w:val="19BE3CB2"/>
    <w:rsid w:val="1A54F36C"/>
    <w:rsid w:val="1A739018"/>
    <w:rsid w:val="1B68A708"/>
    <w:rsid w:val="1B943249"/>
    <w:rsid w:val="1B960434"/>
    <w:rsid w:val="1BCBA854"/>
    <w:rsid w:val="1C58EE57"/>
    <w:rsid w:val="1D1A2422"/>
    <w:rsid w:val="1D26359E"/>
    <w:rsid w:val="1D41CF67"/>
    <w:rsid w:val="1D6089CC"/>
    <w:rsid w:val="1D76DD4A"/>
    <w:rsid w:val="1D79D44B"/>
    <w:rsid w:val="1DF4BEB8"/>
    <w:rsid w:val="1E0D9167"/>
    <w:rsid w:val="1ECF1D95"/>
    <w:rsid w:val="1EE58790"/>
    <w:rsid w:val="1F47013B"/>
    <w:rsid w:val="1F5ED155"/>
    <w:rsid w:val="20168859"/>
    <w:rsid w:val="2019AE4B"/>
    <w:rsid w:val="20269B7F"/>
    <w:rsid w:val="208FE436"/>
    <w:rsid w:val="209D2538"/>
    <w:rsid w:val="20A85E4E"/>
    <w:rsid w:val="20AD09E6"/>
    <w:rsid w:val="20E2D19C"/>
    <w:rsid w:val="2152C503"/>
    <w:rsid w:val="21BAA35A"/>
    <w:rsid w:val="2215A66C"/>
    <w:rsid w:val="222EBD3E"/>
    <w:rsid w:val="224A4E6D"/>
    <w:rsid w:val="235798C6"/>
    <w:rsid w:val="23EAC7B1"/>
    <w:rsid w:val="25101C39"/>
    <w:rsid w:val="254D472E"/>
    <w:rsid w:val="25687170"/>
    <w:rsid w:val="256B0421"/>
    <w:rsid w:val="257BCF71"/>
    <w:rsid w:val="25832AA3"/>
    <w:rsid w:val="25B642BF"/>
    <w:rsid w:val="25FFD09D"/>
    <w:rsid w:val="2607BE23"/>
    <w:rsid w:val="2608AE7F"/>
    <w:rsid w:val="261986A2"/>
    <w:rsid w:val="265EE531"/>
    <w:rsid w:val="266E2FB3"/>
    <w:rsid w:val="26D7DCB8"/>
    <w:rsid w:val="26E9178F"/>
    <w:rsid w:val="27179FD2"/>
    <w:rsid w:val="27521320"/>
    <w:rsid w:val="27EA7F47"/>
    <w:rsid w:val="2870092C"/>
    <w:rsid w:val="2882CEBF"/>
    <w:rsid w:val="28A47C6D"/>
    <w:rsid w:val="28AECD7F"/>
    <w:rsid w:val="28D9118C"/>
    <w:rsid w:val="28EDE381"/>
    <w:rsid w:val="28EED7D3"/>
    <w:rsid w:val="299685F3"/>
    <w:rsid w:val="29B14E75"/>
    <w:rsid w:val="29C15F1B"/>
    <w:rsid w:val="2A20B851"/>
    <w:rsid w:val="2B325654"/>
    <w:rsid w:val="2C3BC21B"/>
    <w:rsid w:val="2C7033BF"/>
    <w:rsid w:val="2C76FFA7"/>
    <w:rsid w:val="2C801D06"/>
    <w:rsid w:val="2CAFE5C3"/>
    <w:rsid w:val="2CD6143B"/>
    <w:rsid w:val="2DFC9544"/>
    <w:rsid w:val="2E12D008"/>
    <w:rsid w:val="2E32F3A9"/>
    <w:rsid w:val="2E69F716"/>
    <w:rsid w:val="2E70EE23"/>
    <w:rsid w:val="2ED7C290"/>
    <w:rsid w:val="2FAEA069"/>
    <w:rsid w:val="3005FCBD"/>
    <w:rsid w:val="302CB99B"/>
    <w:rsid w:val="30BD248A"/>
    <w:rsid w:val="30EE4FC5"/>
    <w:rsid w:val="31BFFBA8"/>
    <w:rsid w:val="323B5F32"/>
    <w:rsid w:val="32AC2AB7"/>
    <w:rsid w:val="32DE53A5"/>
    <w:rsid w:val="3367E63B"/>
    <w:rsid w:val="33B1015E"/>
    <w:rsid w:val="3402BBF8"/>
    <w:rsid w:val="342E0322"/>
    <w:rsid w:val="34BFC536"/>
    <w:rsid w:val="3503B69C"/>
    <w:rsid w:val="361DE1ED"/>
    <w:rsid w:val="367278C9"/>
    <w:rsid w:val="367CF681"/>
    <w:rsid w:val="369F86FD"/>
    <w:rsid w:val="378DDB73"/>
    <w:rsid w:val="37B1C4C8"/>
    <w:rsid w:val="37B9B24E"/>
    <w:rsid w:val="3804E088"/>
    <w:rsid w:val="3818C6E2"/>
    <w:rsid w:val="3852E7C6"/>
    <w:rsid w:val="38CE51FD"/>
    <w:rsid w:val="38D56BB8"/>
    <w:rsid w:val="391762F6"/>
    <w:rsid w:val="391D6C98"/>
    <w:rsid w:val="395582AF"/>
    <w:rsid w:val="3975A650"/>
    <w:rsid w:val="39B049C3"/>
    <w:rsid w:val="39C07E21"/>
    <w:rsid w:val="39C76A4D"/>
    <w:rsid w:val="3A71DCFD"/>
    <w:rsid w:val="3AB49ABA"/>
    <w:rsid w:val="3B26174F"/>
    <w:rsid w:val="3B40FEC7"/>
    <w:rsid w:val="3B56F473"/>
    <w:rsid w:val="3C05F2BF"/>
    <w:rsid w:val="3C341B64"/>
    <w:rsid w:val="3C8A4927"/>
    <w:rsid w:val="3CEC3805"/>
    <w:rsid w:val="3CFBC587"/>
    <w:rsid w:val="3D1AA58A"/>
    <w:rsid w:val="3D58443A"/>
    <w:rsid w:val="3DB80658"/>
    <w:rsid w:val="3DE957F3"/>
    <w:rsid w:val="3E261988"/>
    <w:rsid w:val="3E31BEB4"/>
    <w:rsid w:val="3E35CB4E"/>
    <w:rsid w:val="3F006181"/>
    <w:rsid w:val="3F6601E0"/>
    <w:rsid w:val="4004008A"/>
    <w:rsid w:val="404BD15C"/>
    <w:rsid w:val="40EFA71A"/>
    <w:rsid w:val="41609494"/>
    <w:rsid w:val="4180B835"/>
    <w:rsid w:val="41B7BBA2"/>
    <w:rsid w:val="41D7B516"/>
    <w:rsid w:val="42342EF7"/>
    <w:rsid w:val="42619395"/>
    <w:rsid w:val="428B777B"/>
    <w:rsid w:val="42DE29C9"/>
    <w:rsid w:val="42FC64F5"/>
    <w:rsid w:val="4337560C"/>
    <w:rsid w:val="4355C32D"/>
    <w:rsid w:val="43840A24"/>
    <w:rsid w:val="439D6EC5"/>
    <w:rsid w:val="44A37982"/>
    <w:rsid w:val="44F4EE7E"/>
    <w:rsid w:val="44F749EA"/>
    <w:rsid w:val="45005615"/>
    <w:rsid w:val="45035469"/>
    <w:rsid w:val="45342695"/>
    <w:rsid w:val="457D77E9"/>
    <w:rsid w:val="45993457"/>
    <w:rsid w:val="460BF8CA"/>
    <w:rsid w:val="463405B7"/>
    <w:rsid w:val="465BB0FC"/>
    <w:rsid w:val="46931A4B"/>
    <w:rsid w:val="469F24CA"/>
    <w:rsid w:val="477101D2"/>
    <w:rsid w:val="4826FD26"/>
    <w:rsid w:val="482EEAAC"/>
    <w:rsid w:val="4848B5DF"/>
    <w:rsid w:val="48AD4986"/>
    <w:rsid w:val="48D0D519"/>
    <w:rsid w:val="4938276F"/>
    <w:rsid w:val="497EA3E9"/>
    <w:rsid w:val="4A0DCFD4"/>
    <w:rsid w:val="4A2FE409"/>
    <w:rsid w:val="4AD2A462"/>
    <w:rsid w:val="4B248E0C"/>
    <w:rsid w:val="4B2C7DC3"/>
    <w:rsid w:val="4B668B6E"/>
    <w:rsid w:val="4C0875DB"/>
    <w:rsid w:val="4C156921"/>
    <w:rsid w:val="4C71BC67"/>
    <w:rsid w:val="4C728F2E"/>
    <w:rsid w:val="4CA726C5"/>
    <w:rsid w:val="4D181D05"/>
    <w:rsid w:val="4D20BF9F"/>
    <w:rsid w:val="4DDCF665"/>
    <w:rsid w:val="4E963EAA"/>
    <w:rsid w:val="4EAA22AB"/>
    <w:rsid w:val="4F15F4CF"/>
    <w:rsid w:val="4F2477E2"/>
    <w:rsid w:val="4F5BA4D1"/>
    <w:rsid w:val="4F854FF7"/>
    <w:rsid w:val="50DA4702"/>
    <w:rsid w:val="50E14FBE"/>
    <w:rsid w:val="513654F6"/>
    <w:rsid w:val="51B77767"/>
    <w:rsid w:val="52B2CFFF"/>
    <w:rsid w:val="52BA4746"/>
    <w:rsid w:val="53745548"/>
    <w:rsid w:val="537FDD5D"/>
    <w:rsid w:val="53E24971"/>
    <w:rsid w:val="542F15F4"/>
    <w:rsid w:val="54444A63"/>
    <w:rsid w:val="544CAC1D"/>
    <w:rsid w:val="54635CCF"/>
    <w:rsid w:val="547E09DE"/>
    <w:rsid w:val="54D1266F"/>
    <w:rsid w:val="54D586E7"/>
    <w:rsid w:val="54F1E9EB"/>
    <w:rsid w:val="550C5438"/>
    <w:rsid w:val="5512A927"/>
    <w:rsid w:val="552BD184"/>
    <w:rsid w:val="558B0702"/>
    <w:rsid w:val="55D79F9A"/>
    <w:rsid w:val="562C465F"/>
    <w:rsid w:val="567B1267"/>
    <w:rsid w:val="569903C3"/>
    <w:rsid w:val="56CCC382"/>
    <w:rsid w:val="57AFA610"/>
    <w:rsid w:val="5803CCB8"/>
    <w:rsid w:val="58637246"/>
    <w:rsid w:val="58A8565C"/>
    <w:rsid w:val="58B825F0"/>
    <w:rsid w:val="5937025D"/>
    <w:rsid w:val="5A2B732E"/>
    <w:rsid w:val="5ABB796D"/>
    <w:rsid w:val="5ADD5CDF"/>
    <w:rsid w:val="5B7CAF38"/>
    <w:rsid w:val="5BA74EDA"/>
    <w:rsid w:val="5C1FE07F"/>
    <w:rsid w:val="5C6593F5"/>
    <w:rsid w:val="5C8AE9FC"/>
    <w:rsid w:val="5DA2EE65"/>
    <w:rsid w:val="5DBBB0E0"/>
    <w:rsid w:val="5DD7D7EC"/>
    <w:rsid w:val="5E4CB44E"/>
    <w:rsid w:val="5E806528"/>
    <w:rsid w:val="5E96E55A"/>
    <w:rsid w:val="5E97580B"/>
    <w:rsid w:val="5EAF04E8"/>
    <w:rsid w:val="5F57E723"/>
    <w:rsid w:val="5F5D656E"/>
    <w:rsid w:val="5FF7D8FD"/>
    <w:rsid w:val="5FFA40B0"/>
    <w:rsid w:val="6007098C"/>
    <w:rsid w:val="602BC8CC"/>
    <w:rsid w:val="6033286C"/>
    <w:rsid w:val="6090725E"/>
    <w:rsid w:val="60DA8F27"/>
    <w:rsid w:val="60F0E7B4"/>
    <w:rsid w:val="61285F85"/>
    <w:rsid w:val="61CB8D0D"/>
    <w:rsid w:val="61CEF8CD"/>
    <w:rsid w:val="61D06CF3"/>
    <w:rsid w:val="62172BF3"/>
    <w:rsid w:val="62765F88"/>
    <w:rsid w:val="62DCEC23"/>
    <w:rsid w:val="6370C34B"/>
    <w:rsid w:val="64399033"/>
    <w:rsid w:val="646D1AC7"/>
    <w:rsid w:val="659B4E85"/>
    <w:rsid w:val="6641ECCD"/>
    <w:rsid w:val="6652194E"/>
    <w:rsid w:val="6679B216"/>
    <w:rsid w:val="667D4870"/>
    <w:rsid w:val="66925F30"/>
    <w:rsid w:val="66A269F0"/>
    <w:rsid w:val="66AFD472"/>
    <w:rsid w:val="66C61EEF"/>
    <w:rsid w:val="66F50030"/>
    <w:rsid w:val="6715174A"/>
    <w:rsid w:val="67629326"/>
    <w:rsid w:val="684BA4D3"/>
    <w:rsid w:val="686DB84E"/>
    <w:rsid w:val="68A6D75D"/>
    <w:rsid w:val="68C87DAC"/>
    <w:rsid w:val="68CBBC79"/>
    <w:rsid w:val="68DBCB7E"/>
    <w:rsid w:val="68F64346"/>
    <w:rsid w:val="6923D58D"/>
    <w:rsid w:val="694894CD"/>
    <w:rsid w:val="697C548C"/>
    <w:rsid w:val="69B1E8A8"/>
    <w:rsid w:val="69B9E2B5"/>
    <w:rsid w:val="69E77534"/>
    <w:rsid w:val="69FD0EBE"/>
    <w:rsid w:val="6A067B2D"/>
    <w:rsid w:val="6A21A243"/>
    <w:rsid w:val="6A7288A3"/>
    <w:rsid w:val="6A9838A2"/>
    <w:rsid w:val="6A9BF63C"/>
    <w:rsid w:val="6ACCAC88"/>
    <w:rsid w:val="6AEA6CFE"/>
    <w:rsid w:val="6B7EB349"/>
    <w:rsid w:val="6BFECA6A"/>
    <w:rsid w:val="6C4F180D"/>
    <w:rsid w:val="6CEAE1B3"/>
    <w:rsid w:val="6D4B9556"/>
    <w:rsid w:val="6DB9122F"/>
    <w:rsid w:val="6E6EEC20"/>
    <w:rsid w:val="6F83FD25"/>
    <w:rsid w:val="6F9CFB30"/>
    <w:rsid w:val="6FBDDE21"/>
    <w:rsid w:val="70064DED"/>
    <w:rsid w:val="7032DD5E"/>
    <w:rsid w:val="7042111D"/>
    <w:rsid w:val="70494C36"/>
    <w:rsid w:val="70EBAF2F"/>
    <w:rsid w:val="7185FB73"/>
    <w:rsid w:val="7187D469"/>
    <w:rsid w:val="71964B50"/>
    <w:rsid w:val="71BC64BD"/>
    <w:rsid w:val="71C45243"/>
    <w:rsid w:val="71EAB6AE"/>
    <w:rsid w:val="725C3175"/>
    <w:rsid w:val="73274017"/>
    <w:rsid w:val="73321BB1"/>
    <w:rsid w:val="733CDCD9"/>
    <w:rsid w:val="73567DC8"/>
    <w:rsid w:val="73A46B4B"/>
    <w:rsid w:val="74914F44"/>
    <w:rsid w:val="74D7E8C5"/>
    <w:rsid w:val="750D1B46"/>
    <w:rsid w:val="750D2DDC"/>
    <w:rsid w:val="75225770"/>
    <w:rsid w:val="75C42414"/>
    <w:rsid w:val="7635975B"/>
    <w:rsid w:val="7657C09C"/>
    <w:rsid w:val="766850CE"/>
    <w:rsid w:val="767E9B09"/>
    <w:rsid w:val="769FAE26"/>
    <w:rsid w:val="76B7E707"/>
    <w:rsid w:val="772D68CB"/>
    <w:rsid w:val="77B0203F"/>
    <w:rsid w:val="77C740BC"/>
    <w:rsid w:val="77CDCEFB"/>
    <w:rsid w:val="77DBCEAA"/>
    <w:rsid w:val="7802DF11"/>
    <w:rsid w:val="785C4BA1"/>
    <w:rsid w:val="78A0C926"/>
    <w:rsid w:val="78A47EC7"/>
    <w:rsid w:val="78A5AD20"/>
    <w:rsid w:val="78C746B1"/>
    <w:rsid w:val="79034C7A"/>
    <w:rsid w:val="790E67DC"/>
    <w:rsid w:val="79170A5B"/>
    <w:rsid w:val="7956BAA9"/>
    <w:rsid w:val="79699F5C"/>
    <w:rsid w:val="79A87F0E"/>
    <w:rsid w:val="79B63BCB"/>
    <w:rsid w:val="79CF75AC"/>
    <w:rsid w:val="7A2B6043"/>
    <w:rsid w:val="7A308686"/>
    <w:rsid w:val="7A727DC4"/>
    <w:rsid w:val="7A788766"/>
    <w:rsid w:val="7AE290A9"/>
    <w:rsid w:val="7AE7C101"/>
    <w:rsid w:val="7B520C2C"/>
    <w:rsid w:val="7B634703"/>
    <w:rsid w:val="7B70A4E3"/>
    <w:rsid w:val="7B9198F4"/>
    <w:rsid w:val="7BB85A5D"/>
    <w:rsid w:val="7C498835"/>
    <w:rsid w:val="7C6FFB1F"/>
    <w:rsid w:val="7C7E610A"/>
    <w:rsid w:val="7C9C6129"/>
    <w:rsid w:val="7D2D6955"/>
    <w:rsid w:val="7D2FBCC4"/>
    <w:rsid w:val="7D377BB1"/>
    <w:rsid w:val="7D433EB0"/>
    <w:rsid w:val="7D88684E"/>
    <w:rsid w:val="7DD8BAB8"/>
    <w:rsid w:val="7E1F61C3"/>
    <w:rsid w:val="7EA9D08F"/>
    <w:rsid w:val="7EC2F8EC"/>
    <w:rsid w:val="7ECB8D25"/>
    <w:rsid w:val="7ECC0128"/>
    <w:rsid w:val="7EF7A0ED"/>
    <w:rsid w:val="7F376F81"/>
    <w:rsid w:val="7F4472C1"/>
    <w:rsid w:val="7F6EACFD"/>
    <w:rsid w:val="7FA79BE1"/>
    <w:rsid w:val="7FAB8F01"/>
    <w:rsid w:val="7FC096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4F7D6"/>
  <w15:chartTrackingRefBased/>
  <w15:docId w15:val="{8C20E072-80B3-4B1D-BC03-9376C2D8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26C"/>
  </w:style>
  <w:style w:type="paragraph" w:styleId="Heading1">
    <w:name w:val="heading 1"/>
    <w:basedOn w:val="Normal"/>
    <w:next w:val="Normal"/>
    <w:link w:val="Heading1Char"/>
    <w:uiPriority w:val="9"/>
    <w:qFormat/>
    <w:rsid w:val="00EA32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32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0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E24"/>
  </w:style>
  <w:style w:type="paragraph" w:styleId="Footer">
    <w:name w:val="footer"/>
    <w:basedOn w:val="Normal"/>
    <w:link w:val="FooterChar"/>
    <w:uiPriority w:val="99"/>
    <w:unhideWhenUsed/>
    <w:rsid w:val="004D0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E24"/>
  </w:style>
  <w:style w:type="paragraph" w:styleId="BalloonText">
    <w:name w:val="Balloon Text"/>
    <w:basedOn w:val="Normal"/>
    <w:link w:val="BalloonTextChar"/>
    <w:uiPriority w:val="99"/>
    <w:semiHidden/>
    <w:unhideWhenUsed/>
    <w:rsid w:val="001E0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72C"/>
    <w:rPr>
      <w:rFonts w:ascii="Segoe UI" w:hAnsi="Segoe UI" w:cs="Segoe UI"/>
      <w:sz w:val="18"/>
      <w:szCs w:val="18"/>
    </w:rPr>
  </w:style>
  <w:style w:type="character" w:customStyle="1" w:styleId="Heading1Char">
    <w:name w:val="Heading 1 Char"/>
    <w:basedOn w:val="DefaultParagraphFont"/>
    <w:link w:val="Heading1"/>
    <w:uiPriority w:val="9"/>
    <w:rsid w:val="00EA322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A322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D1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1726</Words>
  <Characters>9844</Characters>
  <Application>Microsoft Office Word</Application>
  <DocSecurity>4</DocSecurity>
  <Lines>82</Lines>
  <Paragraphs>23</Paragraphs>
  <ScaleCrop>false</ScaleCrop>
  <Company>University of Manchester</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Seeley</dc:creator>
  <cp:keywords/>
  <dc:description/>
  <cp:lastModifiedBy>Gillian Bibby</cp:lastModifiedBy>
  <cp:revision>2</cp:revision>
  <dcterms:created xsi:type="dcterms:W3CDTF">2023-06-27T07:22:00Z</dcterms:created>
  <dcterms:modified xsi:type="dcterms:W3CDTF">2023-06-27T07:22:00Z</dcterms:modified>
</cp:coreProperties>
</file>