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831F" w14:textId="604D120C" w:rsidR="004941C7" w:rsidRDefault="004941C7" w:rsidP="00596BB7">
      <w:pPr>
        <w:tabs>
          <w:tab w:val="left" w:pos="8448"/>
        </w:tabs>
      </w:pPr>
    </w:p>
    <w:p w14:paraId="5EF344E2" w14:textId="2DDBCC8A" w:rsidR="000D64BD" w:rsidRPr="0026714A" w:rsidRDefault="00596BB7" w:rsidP="00596BB7">
      <w:pPr>
        <w:tabs>
          <w:tab w:val="left" w:pos="8448"/>
        </w:tabs>
      </w:pPr>
      <w:r>
        <w:tab/>
      </w:r>
    </w:p>
    <w:tbl>
      <w:tblPr>
        <w:tblStyle w:val="TableGrid"/>
        <w:tblW w:w="1584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466"/>
        <w:gridCol w:w="3467"/>
        <w:gridCol w:w="3466"/>
        <w:gridCol w:w="3467"/>
      </w:tblGrid>
      <w:tr w:rsidR="005201DA" w:rsidRPr="00626D77" w14:paraId="76C93404" w14:textId="3D47BF90" w:rsidTr="0026714A">
        <w:trPr>
          <w:jc w:val="center"/>
        </w:trPr>
        <w:tc>
          <w:tcPr>
            <w:tcW w:w="1980" w:type="dxa"/>
            <w:vAlign w:val="center"/>
          </w:tcPr>
          <w:p w14:paraId="24AFB89D" w14:textId="769D8645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Session Content</w:t>
            </w:r>
          </w:p>
        </w:tc>
        <w:tc>
          <w:tcPr>
            <w:tcW w:w="3466" w:type="dxa"/>
            <w:vAlign w:val="center"/>
          </w:tcPr>
          <w:p w14:paraId="1000AFA2" w14:textId="2CF7421A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In the provider led taught curriculum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,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 trainees have “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learned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 </w:t>
            </w:r>
            <w:r w:rsidRPr="005201DA"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  <w:t>that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…” and will develop this in a range of contexts.</w:t>
            </w:r>
          </w:p>
        </w:tc>
        <w:tc>
          <w:tcPr>
            <w:tcW w:w="3467" w:type="dxa"/>
            <w:vAlign w:val="center"/>
          </w:tcPr>
          <w:p w14:paraId="60C739A1" w14:textId="09E9FB52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Trainees have 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learnt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, and should begin to demonstrate in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 xml:space="preserve"> </w:t>
            </w: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“</w:t>
            </w:r>
            <w:r w:rsidRPr="005201DA">
              <w:rPr>
                <w:rFonts w:ascii="Century Gothic" w:eastAsiaTheme="majorEastAsia" w:hAnsi="Century Gothic" w:cstheme="majorBidi"/>
                <w:b/>
                <w:bCs/>
                <w:color w:val="7030A0"/>
                <w:sz w:val="20"/>
                <w:szCs w:val="20"/>
              </w:rPr>
              <w:t>how to …”:</w:t>
            </w:r>
          </w:p>
          <w:p w14:paraId="55FACC66" w14:textId="77777777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  <w:u w:val="single"/>
              </w:rPr>
            </w:pPr>
          </w:p>
          <w:p w14:paraId="055E956C" w14:textId="77777777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3466" w:type="dxa"/>
            <w:vAlign w:val="center"/>
          </w:tcPr>
          <w:p w14:paraId="18971339" w14:textId="494768EF" w:rsidR="005201DA" w:rsidRPr="005201DA" w:rsidRDefault="005201DA" w:rsidP="005201DA">
            <w:pPr>
              <w:jc w:val="center"/>
              <w:rPr>
                <w:rFonts w:ascii="Century Gothic" w:hAnsi="Century Gothic"/>
                <w:color w:val="7030A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 xml:space="preserve">Examples of key questions/prompts for expert colleagues to ask trainees to help them reflect on and improve their practice and further </w:t>
            </w:r>
            <w:r w:rsidRPr="005201DA">
              <w:rPr>
                <w:rFonts w:ascii="Century Gothic" w:eastAsiaTheme="majorEastAsia" w:hAnsi="Century Gothic" w:cstheme="majorBidi"/>
                <w:b/>
                <w:color w:val="7030A0"/>
                <w:sz w:val="20"/>
                <w:szCs w:val="20"/>
              </w:rPr>
              <w:t>“learn how to…”:</w:t>
            </w:r>
          </w:p>
        </w:tc>
        <w:tc>
          <w:tcPr>
            <w:tcW w:w="3467" w:type="dxa"/>
            <w:vAlign w:val="center"/>
          </w:tcPr>
          <w:p w14:paraId="048CCFF5" w14:textId="54FC999B" w:rsidR="005201DA" w:rsidRPr="005201DA" w:rsidRDefault="005201DA" w:rsidP="005201DA">
            <w:pPr>
              <w:jc w:val="center"/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</w:pPr>
            <w:r w:rsidRPr="005201DA">
              <w:rPr>
                <w:rFonts w:ascii="Century Gothic" w:eastAsiaTheme="majorEastAsia" w:hAnsi="Century Gothic" w:cstheme="majorBidi"/>
                <w:color w:val="7030A0"/>
                <w:sz w:val="20"/>
                <w:szCs w:val="20"/>
              </w:rPr>
              <w:t>Links to support trainee/further reading shared with trainees</w:t>
            </w:r>
          </w:p>
        </w:tc>
      </w:tr>
      <w:tr w:rsidR="005201DA" w:rsidRPr="00626D77" w14:paraId="40EBA4FE" w14:textId="72B3C61D" w:rsidTr="0026714A">
        <w:trPr>
          <w:jc w:val="center"/>
        </w:trPr>
        <w:tc>
          <w:tcPr>
            <w:tcW w:w="1980" w:type="dxa"/>
          </w:tcPr>
          <w:p w14:paraId="646E10F9" w14:textId="77777777" w:rsidR="005201DA" w:rsidRDefault="005201DA" w:rsidP="005201DA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314F5FFA" w14:textId="32044848" w:rsidR="00522768" w:rsidRPr="00522768" w:rsidRDefault="00522768" w:rsidP="00522768">
            <w:pPr>
              <w:jc w:val="center"/>
              <w:rPr>
                <w:rFonts w:ascii="Century Gothic" w:eastAsiaTheme="majorEastAsia" w:hAnsi="Century Gothic" w:cstheme="majorBidi"/>
                <w:sz w:val="20"/>
                <w:szCs w:val="20"/>
              </w:rPr>
            </w:pPr>
            <w:r w:rsidRPr="00522768">
              <w:rPr>
                <w:rFonts w:ascii="Century Gothic" w:eastAsiaTheme="majorEastAsia" w:hAnsi="Century Gothic" w:cstheme="majorBidi"/>
                <w:b/>
                <w:color w:val="000000" w:themeColor="text1"/>
                <w:sz w:val="20"/>
                <w:szCs w:val="20"/>
              </w:rPr>
              <w:t>Aims of the national curriculum</w:t>
            </w:r>
          </w:p>
        </w:tc>
        <w:tc>
          <w:tcPr>
            <w:tcW w:w="3466" w:type="dxa"/>
          </w:tcPr>
          <w:p w14:paraId="0D72DABC" w14:textId="5BD91033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all children have an entitlement to the three aims of the NC – Fluency, Reasoning and Problem Solving</w:t>
            </w:r>
          </w:p>
          <w:p w14:paraId="0A3E20D6" w14:textId="77777777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planning should aim to provide a balance of the three aims over the course of a unit</w:t>
            </w:r>
          </w:p>
          <w:p w14:paraId="0DBD5822" w14:textId="77777777" w:rsidR="005201DA" w:rsidRPr="00626D77" w:rsidRDefault="005201DA" w:rsidP="00626D77">
            <w:pPr>
              <w:rPr>
                <w:rFonts w:ascii="Century Gothic" w:hAnsi="Century Gothic"/>
              </w:rPr>
            </w:pPr>
          </w:p>
        </w:tc>
        <w:tc>
          <w:tcPr>
            <w:tcW w:w="3467" w:type="dxa"/>
          </w:tcPr>
          <w:p w14:paraId="0C7E709C" w14:textId="77777777" w:rsidR="005201DA" w:rsidRPr="00626D77" w:rsidRDefault="005201DA" w:rsidP="00626D77">
            <w:pPr>
              <w:pStyle w:val="ListParagraph"/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Strand C: Deliver a carefully sequenced and coherent curriculum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- plan opportunities for fluency, reasoning and problem solving for all children</w:t>
            </w:r>
          </w:p>
          <w:p w14:paraId="69B2D35B" w14:textId="77777777" w:rsidR="005201DA" w:rsidRPr="00626D77" w:rsidRDefault="005201DA" w:rsidP="00626D77">
            <w:pPr>
              <w:pStyle w:val="ListParagraph"/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Strand C: Develop fluency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- plan for a balance of fluency, reason and problem solving over time </w:t>
            </w:r>
            <w:proofErr w:type="gramStart"/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over a whole unit of work</w:t>
            </w:r>
          </w:p>
          <w:p w14:paraId="0C633D3A" w14:textId="77777777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Strand B: Stimulate pupil thinking and check for understanding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- use reasoning structures such as: odd one out, spot the error, what’s the same, what’s different etc.</w:t>
            </w:r>
          </w:p>
          <w:p w14:paraId="56309483" w14:textId="77777777" w:rsidR="005201DA" w:rsidRPr="00626D77" w:rsidRDefault="005201DA" w:rsidP="00626D77">
            <w:pPr>
              <w:pStyle w:val="ListParagraph"/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 xml:space="preserve">Strand </w:t>
            </w:r>
            <w:proofErr w:type="gramStart"/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B;</w:t>
            </w:r>
            <w:proofErr w:type="gramEnd"/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 xml:space="preserve"> Avoid overloading working memory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- plan for regular, built-in opportunities to solve problems</w:t>
            </w:r>
          </w:p>
          <w:p w14:paraId="20BE5982" w14:textId="77777777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Strand D: Check prior knowledge and understanding during lessons and provide high-quality feedback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- use targeted and 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differentiated questions and make positive/constructive responses to pupils’ contributions</w:t>
            </w:r>
          </w:p>
          <w:p w14:paraId="417C83A1" w14:textId="77777777" w:rsidR="005201DA" w:rsidRPr="00626D77" w:rsidRDefault="005201DA" w:rsidP="00626D77">
            <w:pPr>
              <w:pStyle w:val="ListParagraph"/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Strand B: Plan effective lessons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-show an awareness of scaffolding approaches to differentiation to allow all children to move on together. Provide opportunity for children to justify and prove by explaining their reasoning</w:t>
            </w:r>
          </w:p>
          <w:p w14:paraId="33EAB5AB" w14:textId="60D28231" w:rsidR="005201DA" w:rsidRPr="00626D77" w:rsidRDefault="005201DA" w:rsidP="00626D77">
            <w:pPr>
              <w:rPr>
                <w:rFonts w:ascii="Century Gothic" w:hAnsi="Century Gothic"/>
              </w:rPr>
            </w:pPr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Strand B: Build on pupils’ prior knowledge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- adapt lesson plans from Unit plans/commercial schemes to meet pupil needs</w:t>
            </w:r>
          </w:p>
        </w:tc>
        <w:tc>
          <w:tcPr>
            <w:tcW w:w="3466" w:type="dxa"/>
          </w:tcPr>
          <w:p w14:paraId="06D96F51" w14:textId="701A58B9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Can you e</w:t>
            </w: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xplain which aspects of this lesson/unit promote fluency?</w:t>
            </w:r>
          </w:p>
          <w:p w14:paraId="5E901DE9" w14:textId="77777777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Which aspects of the lesson/unit promote reasoning and/or problem solving?</w:t>
            </w:r>
          </w:p>
          <w:p w14:paraId="59D86948" w14:textId="77777777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What support will you provide and why?</w:t>
            </w:r>
          </w:p>
          <w:p w14:paraId="5E4BCFBD" w14:textId="77777777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What challenge will you provide and why?</w:t>
            </w:r>
          </w:p>
          <w:p w14:paraId="1D6D64AC" w14:textId="77777777" w:rsidR="005201DA" w:rsidRPr="00626D77" w:rsidRDefault="005201DA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can you differentiate the support and challenge to help all children move on together?</w:t>
            </w:r>
          </w:p>
          <w:p w14:paraId="08BBDA41" w14:textId="77777777" w:rsidR="005201DA" w:rsidRPr="00626D77" w:rsidRDefault="005201DA" w:rsidP="00626D77">
            <w:pPr>
              <w:ind w:left="360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29B092D5" w14:textId="77777777" w:rsidR="005201DA" w:rsidRPr="00626D77" w:rsidRDefault="005201DA" w:rsidP="00626D77">
            <w:pPr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Impact</w:t>
            </w:r>
          </w:p>
          <w:p w14:paraId="75FDB717" w14:textId="77777777" w:rsidR="005201DA" w:rsidRPr="00626D77" w:rsidRDefault="005201DA" w:rsidP="00626D77">
            <w:pPr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14:paraId="075C2C76" w14:textId="77777777" w:rsidR="005201DA" w:rsidRPr="00683795" w:rsidRDefault="005201DA" w:rsidP="00626D7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26D7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Understand and apply sound knowledge of the Mathematics </w:t>
            </w:r>
            <w:r w:rsidRPr="00626D77">
              <w:rPr>
                <w:rFonts w:ascii="Century Gothic" w:eastAsiaTheme="majorEastAsia" w:hAnsi="Century Gothic" w:cstheme="minorHAnsi"/>
                <w:color w:val="000000" w:themeColor="text1"/>
                <w:sz w:val="20"/>
                <w:szCs w:val="20"/>
              </w:rPr>
              <w:t>National Curriculum for England</w:t>
            </w:r>
          </w:p>
          <w:p w14:paraId="4E482621" w14:textId="09BBDEBA" w:rsidR="005201DA" w:rsidRPr="00683795" w:rsidRDefault="005201DA" w:rsidP="00626D7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683795">
              <w:rPr>
                <w:rFonts w:ascii="Century Gothic" w:eastAsiaTheme="majorEastAsia" w:hAnsi="Century Gothic" w:cstheme="minorHAnsi"/>
                <w:color w:val="000000" w:themeColor="text1"/>
                <w:sz w:val="20"/>
                <w:szCs w:val="20"/>
              </w:rPr>
              <w:t>Acquire secure subject and pedagogic knowledge and understanding of the key ideas that underpin primary mathematics;</w:t>
            </w:r>
          </w:p>
        </w:tc>
        <w:tc>
          <w:tcPr>
            <w:tcW w:w="3467" w:type="dxa"/>
          </w:tcPr>
          <w:p w14:paraId="7A7D6F06" w14:textId="733F7493" w:rsidR="005201DA" w:rsidRDefault="007324F1" w:rsidP="00626D7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7" w:history="1">
              <w:r w:rsidR="005201DA" w:rsidRPr="00181628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https://www.ncetm.org.uk/teaching-for-mastery/mastery-explained/</w:t>
              </w:r>
            </w:hyperlink>
          </w:p>
          <w:p w14:paraId="335E2CCE" w14:textId="77777777" w:rsidR="005201DA" w:rsidRDefault="005201DA" w:rsidP="00AE5EFB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1348E1B0" w14:textId="2100278A" w:rsidR="005201DA" w:rsidRPr="00143F85" w:rsidRDefault="007324F1" w:rsidP="00143F85">
            <w:pPr>
              <w:pStyle w:val="ListParagraph"/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8" w:history="1">
              <w:r w:rsidR="005201DA" w:rsidRPr="00143F85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https://www.youcubed.org/wp-content/uploads/2017/09/Fluency-Without-Fear-1.28.15.pdf</w:t>
              </w:r>
            </w:hyperlink>
          </w:p>
          <w:p w14:paraId="75C44AA1" w14:textId="04F3AD38" w:rsidR="005201DA" w:rsidRDefault="005201DA" w:rsidP="00AE5EFB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</w:tr>
      <w:tr w:rsidR="004941C7" w:rsidRPr="00626D77" w14:paraId="256A6741" w14:textId="77777777" w:rsidTr="0026714A">
        <w:trPr>
          <w:jc w:val="center"/>
        </w:trPr>
        <w:tc>
          <w:tcPr>
            <w:tcW w:w="1980" w:type="dxa"/>
          </w:tcPr>
          <w:p w14:paraId="3B66709A" w14:textId="0599D40B" w:rsidR="004941C7" w:rsidRPr="004941C7" w:rsidRDefault="004941C7" w:rsidP="004941C7">
            <w:pPr>
              <w:jc w:val="center"/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Concrete, Pictorial and Abstract approaches</w:t>
            </w:r>
          </w:p>
        </w:tc>
        <w:tc>
          <w:tcPr>
            <w:tcW w:w="3466" w:type="dxa"/>
          </w:tcPr>
          <w:p w14:paraId="79684D5C" w14:textId="77777777" w:rsidR="004941C7" w:rsidRPr="004941C7" w:rsidRDefault="004941C7" w:rsidP="004941C7">
            <w:pPr>
              <w:numPr>
                <w:ilvl w:val="0"/>
                <w:numId w:val="3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concrete, </w:t>
            </w:r>
            <w:proofErr w:type="gramStart"/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pictorial</w:t>
            </w:r>
            <w:proofErr w:type="gramEnd"/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and abstract approaches can be effective in teaching and learning primary mathematics</w:t>
            </w:r>
          </w:p>
          <w:p w14:paraId="316CB86F" w14:textId="77777777" w:rsidR="004941C7" w:rsidRPr="004941C7" w:rsidRDefault="004941C7" w:rsidP="004941C7">
            <w:pPr>
              <w:numPr>
                <w:ilvl w:val="0"/>
                <w:numId w:val="3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concrete, </w:t>
            </w:r>
            <w:proofErr w:type="gramStart"/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pictorial</w:t>
            </w:r>
            <w:proofErr w:type="gramEnd"/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and abstract approaches can be effective in teaching and learning for all children regardless of ability</w:t>
            </w:r>
          </w:p>
          <w:p w14:paraId="63FA86EE" w14:textId="77777777" w:rsidR="004941C7" w:rsidRPr="004941C7" w:rsidRDefault="004941C7" w:rsidP="004941C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2EC5776" w14:textId="77777777" w:rsidR="004941C7" w:rsidRPr="004941C7" w:rsidRDefault="004941C7" w:rsidP="00494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941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Strand </w:t>
            </w:r>
            <w:proofErr w:type="gramStart"/>
            <w:r w:rsidRPr="004941C7">
              <w:rPr>
                <w:rFonts w:ascii="Century Gothic" w:hAnsi="Century Gothic"/>
                <w:b/>
                <w:bCs/>
                <w:sz w:val="20"/>
                <w:szCs w:val="20"/>
              </w:rPr>
              <w:t>B;</w:t>
            </w:r>
            <w:proofErr w:type="gramEnd"/>
            <w:r w:rsidRPr="004941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Make good use of expositions - </w:t>
            </w:r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>regularly foster mental imagery using manipulatives and or diagrammatic approaches appropriate to the year group being taught</w:t>
            </w:r>
          </w:p>
          <w:p w14:paraId="2FE41B3E" w14:textId="77777777" w:rsidR="004941C7" w:rsidRPr="004941C7" w:rsidRDefault="004941C7" w:rsidP="00494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941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Strand B: Model effectively - </w:t>
            </w:r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>show/model accurate use of mathematical language and notation (</w:t>
            </w:r>
            <w:proofErr w:type="gramStart"/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 xml:space="preserve"> use of =)</w:t>
            </w:r>
          </w:p>
          <w:p w14:paraId="5CF5D70A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>uses targeted and differentiated questions at times utilising apparatus and pictorial representations</w:t>
            </w:r>
          </w:p>
          <w:p w14:paraId="5E477957" w14:textId="77777777" w:rsidR="004941C7" w:rsidRPr="004941C7" w:rsidRDefault="004941C7" w:rsidP="00494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941C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Strand B: Model effectively - </w:t>
            </w:r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 xml:space="preserve">give clear explanations through modelling, showing </w:t>
            </w:r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lastRenderedPageBreak/>
              <w:t xml:space="preserve">understanding of mathematical ideas with manipulatives and diagrams </w:t>
            </w:r>
            <w:proofErr w:type="gramStart"/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 xml:space="preserve"> bar models</w:t>
            </w:r>
          </w:p>
          <w:p w14:paraId="7706EF38" w14:textId="77777777" w:rsidR="004941C7" w:rsidRPr="004941C7" w:rsidRDefault="004941C7" w:rsidP="004941C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b/>
                <w:color w:val="000000" w:themeColor="text1"/>
                <w:sz w:val="20"/>
                <w:szCs w:val="20"/>
              </w:rPr>
              <w:t xml:space="preserve">Strand B: </w:t>
            </w:r>
            <w:r w:rsidRPr="004941C7">
              <w:rPr>
                <w:rFonts w:ascii="Century Gothic" w:hAnsi="Century Gothic"/>
                <w:b/>
                <w:sz w:val="20"/>
                <w:szCs w:val="20"/>
              </w:rPr>
              <w:t>Help pupils apply knowledge and skills to other contexts</w:t>
            </w:r>
            <w:r w:rsidRPr="004941C7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 xml:space="preserve"> give clear demonstration of mathematics using appropriate models: </w:t>
            </w:r>
            <w:proofErr w:type="gramStart"/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 xml:space="preserve"> digit cards, base ten materials, tracks, lines, number squares PV charts etc.</w:t>
            </w:r>
          </w:p>
          <w:p w14:paraId="601437C5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b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b/>
                <w:color w:val="000000" w:themeColor="text1"/>
                <w:sz w:val="20"/>
                <w:szCs w:val="20"/>
              </w:rPr>
              <w:t xml:space="preserve">Strand D: Check prior knowledge and understanding during lessons and provide high-quality feedback - </w:t>
            </w:r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 xml:space="preserve">offers constructive responses to pupils’ questions and can include concrete and/or diagrammatic to help children to ‘see’:  </w:t>
            </w:r>
            <w:proofErr w:type="gramStart"/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 xml:space="preserve"> 100 squares and number lines, Numicon, base 10, arrow cards, abacus </w:t>
            </w:r>
          </w:p>
          <w:p w14:paraId="1D174123" w14:textId="078E08AF" w:rsidR="004941C7" w:rsidRPr="004941C7" w:rsidRDefault="004941C7" w:rsidP="004941C7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b/>
                <w:color w:val="000000" w:themeColor="text1"/>
                <w:sz w:val="20"/>
                <w:szCs w:val="20"/>
              </w:rPr>
              <w:t>Strand B: - Increase likelihood of material being retained -</w:t>
            </w:r>
            <w:r w:rsidRPr="004941C7">
              <w:rPr>
                <w:rFonts w:ascii="Century Gothic" w:eastAsiaTheme="majorEastAsia" w:hAnsi="Century Gothic" w:cstheme="majorBidi"/>
                <w:bCs/>
                <w:color w:val="000000" w:themeColor="text1"/>
                <w:sz w:val="20"/>
                <w:szCs w:val="20"/>
              </w:rPr>
              <w:t>make use of mathematics displays and/or working walls in teaching</w:t>
            </w:r>
          </w:p>
        </w:tc>
        <w:tc>
          <w:tcPr>
            <w:tcW w:w="3466" w:type="dxa"/>
          </w:tcPr>
          <w:p w14:paraId="2B038336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lastRenderedPageBreak/>
              <w:t>Which concrete apparatus are appropriate for which children?</w:t>
            </w:r>
          </w:p>
          <w:p w14:paraId="40CD75BA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will you encourage children to ‘see’ what they are doing with pictorial representation?</w:t>
            </w:r>
          </w:p>
          <w:p w14:paraId="252A3983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What are your closed targeted questions and who is being targeted?</w:t>
            </w:r>
          </w:p>
          <w:p w14:paraId="5FED215E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What are your open, probing questions and who is being targeted?</w:t>
            </w:r>
          </w:p>
          <w:p w14:paraId="2725F7A1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Will you link your questions to a C, P or </w:t>
            </w:r>
            <w:proofErr w:type="spellStart"/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A</w:t>
            </w:r>
            <w:proofErr w:type="spellEnd"/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 approach?</w:t>
            </w:r>
          </w:p>
          <w:p w14:paraId="7699A537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How can you incorporate working walls and encourage their use?</w:t>
            </w:r>
          </w:p>
          <w:p w14:paraId="7F6424FD" w14:textId="77777777" w:rsidR="004941C7" w:rsidRPr="004941C7" w:rsidRDefault="004941C7" w:rsidP="004941C7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3FEC0169" w14:textId="77777777" w:rsidR="004941C7" w:rsidRPr="004941C7" w:rsidRDefault="004941C7" w:rsidP="004941C7">
            <w:pPr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b/>
                <w:bCs/>
                <w:color w:val="000000" w:themeColor="text1"/>
                <w:sz w:val="20"/>
                <w:szCs w:val="20"/>
              </w:rPr>
              <w:t>Impact</w:t>
            </w:r>
          </w:p>
          <w:p w14:paraId="5BFEEA97" w14:textId="77777777" w:rsidR="004941C7" w:rsidRPr="004941C7" w:rsidRDefault="004941C7" w:rsidP="004941C7">
            <w:p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</w:p>
          <w:p w14:paraId="5D7A8DB4" w14:textId="77777777" w:rsidR="004941C7" w:rsidRPr="004941C7" w:rsidRDefault="004941C7" w:rsidP="004941C7">
            <w:pPr>
              <w:numPr>
                <w:ilvl w:val="0"/>
                <w:numId w:val="2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 xml:space="preserve">demonstrate secure subject and pedagogic knowledge and understanding of the key ideas that underpin primary </w:t>
            </w:r>
            <w:proofErr w:type="gramStart"/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mathematics;</w:t>
            </w:r>
            <w:proofErr w:type="gramEnd"/>
          </w:p>
          <w:p w14:paraId="202AAC0A" w14:textId="419B0CFB" w:rsidR="004941C7" w:rsidRPr="004941C7" w:rsidRDefault="004941C7" w:rsidP="004941C7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r w:rsidRPr="004941C7"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  <w:t>be confident in the use of appropriate classroom strategies and resources, including ICT, and understand the contribution that support staff make to the teaching and learning of primary mathematics;</w:t>
            </w:r>
          </w:p>
        </w:tc>
        <w:tc>
          <w:tcPr>
            <w:tcW w:w="3467" w:type="dxa"/>
          </w:tcPr>
          <w:p w14:paraId="3ECA0A55" w14:textId="0FB55F90" w:rsidR="00612064" w:rsidRDefault="007324F1" w:rsidP="00612064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9" w:history="1">
              <w:r w:rsidR="00612064" w:rsidRPr="00612064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https://educationendowmentfoundation.org.uk/education-evidence/guidance-reports/early-maths</w:t>
              </w:r>
            </w:hyperlink>
          </w:p>
          <w:p w14:paraId="0A2189DE" w14:textId="6394920C" w:rsidR="008509E3" w:rsidRDefault="007324F1" w:rsidP="008509E3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10" w:history="1">
              <w:r w:rsidR="008509E3" w:rsidRPr="008509E3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https://www.ncetm.org.uk/teaching-for-mastery/mastery-explained/five-big-ideas-in-teaching-for-mastery/</w:t>
              </w:r>
            </w:hyperlink>
          </w:p>
          <w:p w14:paraId="2016CAAF" w14:textId="657F5B5A" w:rsidR="00612064" w:rsidRPr="008509E3" w:rsidRDefault="007324F1" w:rsidP="008509E3">
            <w:pPr>
              <w:numPr>
                <w:ilvl w:val="0"/>
                <w:numId w:val="1"/>
              </w:numPr>
              <w:rPr>
                <w:rFonts w:ascii="Century Gothic" w:eastAsiaTheme="majorEastAsia" w:hAnsi="Century Gothic" w:cstheme="majorBidi"/>
                <w:color w:val="000000" w:themeColor="text1"/>
                <w:sz w:val="20"/>
                <w:szCs w:val="20"/>
              </w:rPr>
            </w:pPr>
            <w:hyperlink r:id="rId11" w:history="1">
              <w:r w:rsidR="008509E3" w:rsidRPr="008509E3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https://www.ncetm.org.uk/features/representations-in-our-primary-video-lessons</w:t>
              </w:r>
              <w:r w:rsidR="008509E3" w:rsidRPr="00423402">
                <w:rPr>
                  <w:rStyle w:val="Hyperlink"/>
                  <w:rFonts w:ascii="Century Gothic" w:eastAsiaTheme="majorEastAsia" w:hAnsi="Century Gothic" w:cstheme="majorBidi"/>
                  <w:sz w:val="20"/>
                  <w:szCs w:val="20"/>
                </w:rPr>
                <w:t>/</w:t>
              </w:r>
            </w:hyperlink>
          </w:p>
        </w:tc>
      </w:tr>
    </w:tbl>
    <w:p w14:paraId="240068B2" w14:textId="77777777" w:rsidR="00C03F25" w:rsidRDefault="00C03F25"/>
    <w:sectPr w:rsidR="00C03F25" w:rsidSect="00626D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73A7" w14:textId="77777777" w:rsidR="007324F1" w:rsidRDefault="007324F1" w:rsidP="00626D77">
      <w:pPr>
        <w:spacing w:after="0" w:line="240" w:lineRule="auto"/>
      </w:pPr>
      <w:r>
        <w:separator/>
      </w:r>
    </w:p>
  </w:endnote>
  <w:endnote w:type="continuationSeparator" w:id="0">
    <w:p w14:paraId="3FFD46D4" w14:textId="77777777" w:rsidR="007324F1" w:rsidRDefault="007324F1" w:rsidP="0062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2D55" w14:textId="77777777" w:rsidR="00A079E7" w:rsidRDefault="00A07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019B" w14:textId="77777777" w:rsidR="00A079E7" w:rsidRDefault="00A0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FB9" w14:textId="77777777" w:rsidR="00A079E7" w:rsidRDefault="00A0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E256" w14:textId="77777777" w:rsidR="007324F1" w:rsidRDefault="007324F1" w:rsidP="00626D77">
      <w:pPr>
        <w:spacing w:after="0" w:line="240" w:lineRule="auto"/>
      </w:pPr>
      <w:r>
        <w:separator/>
      </w:r>
    </w:p>
  </w:footnote>
  <w:footnote w:type="continuationSeparator" w:id="0">
    <w:p w14:paraId="58072A27" w14:textId="77777777" w:rsidR="007324F1" w:rsidRDefault="007324F1" w:rsidP="0062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B267" w14:textId="77777777" w:rsidR="00A079E7" w:rsidRDefault="00A07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5969" w14:textId="44812B1C" w:rsidR="00626D77" w:rsidRPr="0075009E" w:rsidRDefault="006E5BCC" w:rsidP="00626D77">
    <w:pPr>
      <w:pStyle w:val="Header"/>
      <w:jc w:val="center"/>
      <w:rPr>
        <w:rFonts w:ascii="Century Gothic" w:hAnsi="Century Gothic"/>
        <w:b/>
        <w:bCs/>
        <w:color w:val="7030A0"/>
        <w:sz w:val="32"/>
        <w:szCs w:val="32"/>
      </w:rPr>
    </w:pPr>
    <w:r w:rsidRPr="006E5BCC">
      <w:rPr>
        <w:rFonts w:ascii="Century Gothic" w:hAnsi="Century Gothic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8240" behindDoc="1" locked="0" layoutInCell="1" allowOverlap="1" wp14:anchorId="6CD80CA9" wp14:editId="22435AFB">
          <wp:simplePos x="0" y="0"/>
          <wp:positionH relativeFrom="column">
            <wp:posOffset>8252460</wp:posOffset>
          </wp:positionH>
          <wp:positionV relativeFrom="paragraph">
            <wp:posOffset>-266700</wp:posOffset>
          </wp:positionV>
          <wp:extent cx="1318260" cy="972185"/>
          <wp:effectExtent l="0" t="0" r="0" b="0"/>
          <wp:wrapTight wrapText="bothSides">
            <wp:wrapPolygon edited="0">
              <wp:start x="0" y="0"/>
              <wp:lineTo x="0" y="21163"/>
              <wp:lineTo x="21225" y="21163"/>
              <wp:lineTo x="21225" y="0"/>
              <wp:lineTo x="0" y="0"/>
            </wp:wrapPolygon>
          </wp:wrapTight>
          <wp:docPr id="1" name="Picture 1" descr="A picture containing polyg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olyg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972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2131">
      <w:rPr>
        <w:rFonts w:ascii="Century Gothic" w:hAnsi="Century Gothic"/>
        <w:b/>
        <w:bCs/>
        <w:noProof/>
        <w:color w:val="7030A0"/>
        <w:sz w:val="32"/>
        <w:szCs w:val="32"/>
      </w:rPr>
      <w:t>Maths Curriculum: semester</w:t>
    </w:r>
    <w:r w:rsidR="00626D77" w:rsidRPr="0075009E">
      <w:rPr>
        <w:rFonts w:ascii="Century Gothic" w:hAnsi="Century Gothic"/>
        <w:b/>
        <w:bCs/>
        <w:color w:val="7030A0"/>
        <w:sz w:val="32"/>
        <w:szCs w:val="32"/>
      </w:rPr>
      <w:t xml:space="preserve"> 1 session</w:t>
    </w:r>
    <w:r w:rsidR="004941C7">
      <w:rPr>
        <w:rFonts w:ascii="Century Gothic" w:hAnsi="Century Gothic"/>
        <w:b/>
        <w:bCs/>
        <w:color w:val="7030A0"/>
        <w:sz w:val="32"/>
        <w:szCs w:val="32"/>
      </w:rPr>
      <w:t xml:space="preserve">s 1 &amp; 2 </w:t>
    </w:r>
    <w:r>
      <w:rPr>
        <w:rFonts w:ascii="Century Gothic" w:hAnsi="Century Gothic"/>
        <w:b/>
        <w:bCs/>
        <w:color w:val="7030A0"/>
        <w:sz w:val="32"/>
        <w:szCs w:val="32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3A60" w14:textId="77777777" w:rsidR="00A079E7" w:rsidRDefault="00A07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31B"/>
    <w:multiLevelType w:val="hybridMultilevel"/>
    <w:tmpl w:val="48D6CDD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C7422"/>
    <w:multiLevelType w:val="hybridMultilevel"/>
    <w:tmpl w:val="57A6CF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EA55DB"/>
    <w:multiLevelType w:val="hybridMultilevel"/>
    <w:tmpl w:val="D7F46CB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816410">
    <w:abstractNumId w:val="1"/>
  </w:num>
  <w:num w:numId="2" w16cid:durableId="460538998">
    <w:abstractNumId w:val="0"/>
  </w:num>
  <w:num w:numId="3" w16cid:durableId="39512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77"/>
    <w:rsid w:val="00044D91"/>
    <w:rsid w:val="000D64BD"/>
    <w:rsid w:val="00143F85"/>
    <w:rsid w:val="0026714A"/>
    <w:rsid w:val="00347046"/>
    <w:rsid w:val="00447749"/>
    <w:rsid w:val="004941C7"/>
    <w:rsid w:val="004F776D"/>
    <w:rsid w:val="005201DA"/>
    <w:rsid w:val="00522768"/>
    <w:rsid w:val="00582131"/>
    <w:rsid w:val="00596BB7"/>
    <w:rsid w:val="005C78ED"/>
    <w:rsid w:val="00612064"/>
    <w:rsid w:val="00626D77"/>
    <w:rsid w:val="00683795"/>
    <w:rsid w:val="006E5BCC"/>
    <w:rsid w:val="007324F1"/>
    <w:rsid w:val="0075009E"/>
    <w:rsid w:val="008509E3"/>
    <w:rsid w:val="00873703"/>
    <w:rsid w:val="008D56AC"/>
    <w:rsid w:val="00A079E7"/>
    <w:rsid w:val="00AE5EFB"/>
    <w:rsid w:val="00B77FBF"/>
    <w:rsid w:val="00C0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6185"/>
  <w15:chartTrackingRefBased/>
  <w15:docId w15:val="{59A24915-723C-4F14-8B40-3D82ED47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77"/>
  </w:style>
  <w:style w:type="paragraph" w:styleId="Footer">
    <w:name w:val="footer"/>
    <w:basedOn w:val="Normal"/>
    <w:link w:val="FooterChar"/>
    <w:uiPriority w:val="99"/>
    <w:unhideWhenUsed/>
    <w:rsid w:val="00626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77"/>
  </w:style>
  <w:style w:type="table" w:styleId="TableGrid">
    <w:name w:val="Table Grid"/>
    <w:basedOn w:val="TableNormal"/>
    <w:uiPriority w:val="39"/>
    <w:rsid w:val="006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D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D7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cubed.org/wp-content/uploads/2017/09/Fluency-Without-Fear-1.28.15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etm.org.uk/teaching-for-mastery/mastery-explained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etm.org.uk/features/representations-in-our-primary-video-lesso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cetm.org.uk/teaching-for-mastery/mastery-explained/five-big-ideas-in-teaching-for-master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ducation-evidence/guidance-reports/early-math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Jayson</dc:creator>
  <cp:keywords/>
  <dc:description/>
  <cp:lastModifiedBy>Matthew Woodward</cp:lastModifiedBy>
  <cp:revision>2</cp:revision>
  <dcterms:created xsi:type="dcterms:W3CDTF">2022-10-19T09:13:00Z</dcterms:created>
  <dcterms:modified xsi:type="dcterms:W3CDTF">2022-10-19T09:13:00Z</dcterms:modified>
</cp:coreProperties>
</file>