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5831F" w14:textId="604D120C" w:rsidR="004941C7" w:rsidRDefault="004941C7" w:rsidP="00596BB7">
      <w:pPr>
        <w:tabs>
          <w:tab w:val="left" w:pos="8448"/>
        </w:tabs>
      </w:pPr>
    </w:p>
    <w:p w14:paraId="5EF344E2" w14:textId="2DDBCC8A" w:rsidR="000D64BD" w:rsidRPr="0026714A" w:rsidRDefault="00596BB7" w:rsidP="00596BB7">
      <w:pPr>
        <w:tabs>
          <w:tab w:val="left" w:pos="8448"/>
        </w:tabs>
      </w:pPr>
      <w:r>
        <w:tab/>
      </w:r>
    </w:p>
    <w:tbl>
      <w:tblPr>
        <w:tblStyle w:val="TableGrid"/>
        <w:tblW w:w="15846" w:type="dxa"/>
        <w:jc w:val="center"/>
        <w:tblLayout w:type="fixed"/>
        <w:tblLook w:val="04A0" w:firstRow="1" w:lastRow="0" w:firstColumn="1" w:lastColumn="0" w:noHBand="0" w:noVBand="1"/>
      </w:tblPr>
      <w:tblGrid>
        <w:gridCol w:w="1980"/>
        <w:gridCol w:w="3466"/>
        <w:gridCol w:w="3467"/>
        <w:gridCol w:w="3466"/>
        <w:gridCol w:w="3467"/>
      </w:tblGrid>
      <w:tr w:rsidR="005201DA" w:rsidRPr="00626D77" w14:paraId="76C93404" w14:textId="3D47BF90" w:rsidTr="0026714A">
        <w:trPr>
          <w:jc w:val="center"/>
        </w:trPr>
        <w:tc>
          <w:tcPr>
            <w:tcW w:w="1980" w:type="dxa"/>
            <w:vAlign w:val="center"/>
          </w:tcPr>
          <w:p w14:paraId="24AFB89D" w14:textId="769D8645" w:rsidR="005201DA" w:rsidRPr="005201DA" w:rsidRDefault="005201DA" w:rsidP="005201DA">
            <w:pPr>
              <w:jc w:val="center"/>
              <w:rPr>
                <w:rFonts w:ascii="Century Gothic" w:eastAsiaTheme="majorEastAsia" w:hAnsi="Century Gothic" w:cstheme="majorBidi"/>
                <w:color w:val="7030A0"/>
                <w:sz w:val="20"/>
                <w:szCs w:val="20"/>
              </w:rPr>
            </w:pPr>
            <w:r w:rsidRPr="005201DA">
              <w:rPr>
                <w:rFonts w:ascii="Century Gothic" w:eastAsiaTheme="majorEastAsia" w:hAnsi="Century Gothic" w:cstheme="majorBidi"/>
                <w:color w:val="7030A0"/>
                <w:sz w:val="20"/>
                <w:szCs w:val="20"/>
              </w:rPr>
              <w:t>Session Content</w:t>
            </w:r>
          </w:p>
        </w:tc>
        <w:tc>
          <w:tcPr>
            <w:tcW w:w="3466" w:type="dxa"/>
            <w:vAlign w:val="center"/>
          </w:tcPr>
          <w:p w14:paraId="1000AFA2" w14:textId="2CF7421A" w:rsidR="005201DA" w:rsidRPr="005201DA" w:rsidRDefault="005201DA" w:rsidP="005201DA">
            <w:pPr>
              <w:jc w:val="center"/>
              <w:rPr>
                <w:rFonts w:ascii="Century Gothic" w:hAnsi="Century Gothic"/>
                <w:color w:val="7030A0"/>
              </w:rPr>
            </w:pPr>
            <w:r w:rsidRPr="005201DA">
              <w:rPr>
                <w:rFonts w:ascii="Century Gothic" w:eastAsiaTheme="majorEastAsia" w:hAnsi="Century Gothic" w:cstheme="majorBidi"/>
                <w:color w:val="7030A0"/>
                <w:sz w:val="20"/>
                <w:szCs w:val="20"/>
              </w:rPr>
              <w:t>In the provider led taught curriculum</w:t>
            </w:r>
            <w:r w:rsidRPr="005201DA">
              <w:rPr>
                <w:rFonts w:ascii="Century Gothic" w:eastAsiaTheme="majorEastAsia" w:hAnsi="Century Gothic" w:cstheme="majorBidi"/>
                <w:b/>
                <w:color w:val="7030A0"/>
                <w:sz w:val="20"/>
                <w:szCs w:val="20"/>
              </w:rPr>
              <w:t>,</w:t>
            </w:r>
            <w:r w:rsidRPr="005201DA">
              <w:rPr>
                <w:rFonts w:ascii="Century Gothic" w:eastAsiaTheme="majorEastAsia" w:hAnsi="Century Gothic" w:cstheme="majorBidi"/>
                <w:color w:val="7030A0"/>
                <w:sz w:val="20"/>
                <w:szCs w:val="20"/>
              </w:rPr>
              <w:t xml:space="preserve"> trainees have “</w:t>
            </w:r>
            <w:r w:rsidRPr="005201DA">
              <w:rPr>
                <w:rFonts w:ascii="Century Gothic" w:eastAsiaTheme="majorEastAsia" w:hAnsi="Century Gothic" w:cstheme="majorBidi"/>
                <w:b/>
                <w:color w:val="7030A0"/>
                <w:sz w:val="20"/>
                <w:szCs w:val="20"/>
              </w:rPr>
              <w:t>learned</w:t>
            </w:r>
            <w:r w:rsidRPr="005201DA">
              <w:rPr>
                <w:rFonts w:ascii="Century Gothic" w:eastAsiaTheme="majorEastAsia" w:hAnsi="Century Gothic" w:cstheme="majorBidi"/>
                <w:color w:val="7030A0"/>
                <w:sz w:val="20"/>
                <w:szCs w:val="20"/>
              </w:rPr>
              <w:t xml:space="preserve"> </w:t>
            </w:r>
            <w:r w:rsidRPr="005201DA">
              <w:rPr>
                <w:rFonts w:ascii="Century Gothic" w:eastAsiaTheme="majorEastAsia" w:hAnsi="Century Gothic" w:cstheme="majorBidi"/>
                <w:b/>
                <w:bCs/>
                <w:color w:val="7030A0"/>
                <w:sz w:val="20"/>
                <w:szCs w:val="20"/>
              </w:rPr>
              <w:t>that</w:t>
            </w:r>
            <w:r w:rsidRPr="005201DA">
              <w:rPr>
                <w:rFonts w:ascii="Century Gothic" w:eastAsiaTheme="majorEastAsia" w:hAnsi="Century Gothic" w:cstheme="majorBidi"/>
                <w:color w:val="7030A0"/>
                <w:sz w:val="20"/>
                <w:szCs w:val="20"/>
              </w:rPr>
              <w:t>…” and will develop this in a range of contexts.</w:t>
            </w:r>
          </w:p>
        </w:tc>
        <w:tc>
          <w:tcPr>
            <w:tcW w:w="3467" w:type="dxa"/>
            <w:vAlign w:val="center"/>
          </w:tcPr>
          <w:p w14:paraId="60C739A1" w14:textId="09E9FB52" w:rsidR="005201DA" w:rsidRPr="005201DA" w:rsidRDefault="005201DA" w:rsidP="005201DA">
            <w:pPr>
              <w:jc w:val="center"/>
              <w:rPr>
                <w:rFonts w:ascii="Century Gothic" w:eastAsiaTheme="majorEastAsia" w:hAnsi="Century Gothic" w:cstheme="majorBidi"/>
                <w:b/>
                <w:bCs/>
                <w:color w:val="7030A0"/>
                <w:sz w:val="20"/>
                <w:szCs w:val="20"/>
              </w:rPr>
            </w:pPr>
            <w:r w:rsidRPr="005201DA">
              <w:rPr>
                <w:rFonts w:ascii="Century Gothic" w:eastAsiaTheme="majorEastAsia" w:hAnsi="Century Gothic" w:cstheme="majorBidi"/>
                <w:color w:val="7030A0"/>
                <w:sz w:val="20"/>
                <w:szCs w:val="20"/>
              </w:rPr>
              <w:t xml:space="preserve">Trainees have </w:t>
            </w:r>
            <w:r w:rsidRPr="005201DA">
              <w:rPr>
                <w:rFonts w:ascii="Century Gothic" w:eastAsiaTheme="majorEastAsia" w:hAnsi="Century Gothic" w:cstheme="majorBidi"/>
                <w:b/>
                <w:color w:val="7030A0"/>
                <w:sz w:val="20"/>
                <w:szCs w:val="20"/>
              </w:rPr>
              <w:t>learnt</w:t>
            </w:r>
            <w:r w:rsidRPr="005201DA">
              <w:rPr>
                <w:rFonts w:ascii="Century Gothic" w:eastAsiaTheme="majorEastAsia" w:hAnsi="Century Gothic" w:cstheme="majorBidi"/>
                <w:color w:val="7030A0"/>
                <w:sz w:val="20"/>
                <w:szCs w:val="20"/>
              </w:rPr>
              <w:t>, and should begin to demonstrate in</w:t>
            </w:r>
            <w:r w:rsidRPr="005201DA">
              <w:rPr>
                <w:rFonts w:ascii="Century Gothic" w:eastAsiaTheme="majorEastAsia" w:hAnsi="Century Gothic" w:cstheme="majorBidi"/>
                <w:b/>
                <w:color w:val="7030A0"/>
                <w:sz w:val="20"/>
                <w:szCs w:val="20"/>
              </w:rPr>
              <w:t xml:space="preserve"> </w:t>
            </w:r>
            <w:r w:rsidRPr="005201DA">
              <w:rPr>
                <w:rFonts w:ascii="Century Gothic" w:eastAsiaTheme="majorEastAsia" w:hAnsi="Century Gothic" w:cstheme="majorBidi"/>
                <w:color w:val="7030A0"/>
                <w:sz w:val="20"/>
                <w:szCs w:val="20"/>
              </w:rPr>
              <w:t>“</w:t>
            </w:r>
            <w:r w:rsidRPr="005201DA">
              <w:rPr>
                <w:rFonts w:ascii="Century Gothic" w:eastAsiaTheme="majorEastAsia" w:hAnsi="Century Gothic" w:cstheme="majorBidi"/>
                <w:b/>
                <w:bCs/>
                <w:color w:val="7030A0"/>
                <w:sz w:val="20"/>
                <w:szCs w:val="20"/>
              </w:rPr>
              <w:t>how to …”:</w:t>
            </w:r>
          </w:p>
          <w:p w14:paraId="55FACC66" w14:textId="77777777" w:rsidR="005201DA" w:rsidRPr="005201DA" w:rsidRDefault="005201DA" w:rsidP="005201DA">
            <w:pPr>
              <w:jc w:val="center"/>
              <w:rPr>
                <w:rFonts w:ascii="Century Gothic" w:eastAsiaTheme="majorEastAsia" w:hAnsi="Century Gothic" w:cstheme="majorBidi"/>
                <w:color w:val="7030A0"/>
                <w:sz w:val="20"/>
                <w:szCs w:val="20"/>
                <w:u w:val="single"/>
              </w:rPr>
            </w:pPr>
          </w:p>
          <w:p w14:paraId="055E956C" w14:textId="77777777" w:rsidR="005201DA" w:rsidRPr="005201DA" w:rsidRDefault="005201DA" w:rsidP="005201DA">
            <w:pPr>
              <w:jc w:val="center"/>
              <w:rPr>
                <w:rFonts w:ascii="Century Gothic" w:hAnsi="Century Gothic"/>
                <w:color w:val="7030A0"/>
              </w:rPr>
            </w:pPr>
          </w:p>
        </w:tc>
        <w:tc>
          <w:tcPr>
            <w:tcW w:w="3466" w:type="dxa"/>
            <w:vAlign w:val="center"/>
          </w:tcPr>
          <w:p w14:paraId="18971339" w14:textId="494768EF" w:rsidR="005201DA" w:rsidRPr="005201DA" w:rsidRDefault="005201DA" w:rsidP="005201DA">
            <w:pPr>
              <w:jc w:val="center"/>
              <w:rPr>
                <w:rFonts w:ascii="Century Gothic" w:hAnsi="Century Gothic"/>
                <w:color w:val="7030A0"/>
              </w:rPr>
            </w:pPr>
            <w:r w:rsidRPr="005201DA">
              <w:rPr>
                <w:rFonts w:ascii="Century Gothic" w:eastAsiaTheme="majorEastAsia" w:hAnsi="Century Gothic" w:cstheme="majorBidi"/>
                <w:color w:val="7030A0"/>
                <w:sz w:val="20"/>
                <w:szCs w:val="20"/>
              </w:rPr>
              <w:t xml:space="preserve">Examples of key questions/prompts for expert colleagues to ask trainees to help them reflect on and improve their practice and further </w:t>
            </w:r>
            <w:r w:rsidRPr="005201DA">
              <w:rPr>
                <w:rFonts w:ascii="Century Gothic" w:eastAsiaTheme="majorEastAsia" w:hAnsi="Century Gothic" w:cstheme="majorBidi"/>
                <w:b/>
                <w:color w:val="7030A0"/>
                <w:sz w:val="20"/>
                <w:szCs w:val="20"/>
              </w:rPr>
              <w:t>“learn how to…”:</w:t>
            </w:r>
          </w:p>
        </w:tc>
        <w:tc>
          <w:tcPr>
            <w:tcW w:w="3467" w:type="dxa"/>
            <w:vAlign w:val="center"/>
          </w:tcPr>
          <w:p w14:paraId="048CCFF5" w14:textId="54FC999B" w:rsidR="005201DA" w:rsidRPr="005201DA" w:rsidRDefault="005201DA" w:rsidP="005201DA">
            <w:pPr>
              <w:jc w:val="center"/>
              <w:rPr>
                <w:rFonts w:ascii="Century Gothic" w:eastAsiaTheme="majorEastAsia" w:hAnsi="Century Gothic" w:cstheme="majorBidi"/>
                <w:color w:val="7030A0"/>
                <w:sz w:val="20"/>
                <w:szCs w:val="20"/>
              </w:rPr>
            </w:pPr>
            <w:r w:rsidRPr="005201DA">
              <w:rPr>
                <w:rFonts w:ascii="Century Gothic" w:eastAsiaTheme="majorEastAsia" w:hAnsi="Century Gothic" w:cstheme="majorBidi"/>
                <w:color w:val="7030A0"/>
                <w:sz w:val="20"/>
                <w:szCs w:val="20"/>
              </w:rPr>
              <w:t>Links to support trainee/further reading shared with trainees</w:t>
            </w:r>
          </w:p>
        </w:tc>
      </w:tr>
      <w:tr w:rsidR="005201DA" w:rsidRPr="00626D77" w14:paraId="40EBA4FE" w14:textId="72B3C61D" w:rsidTr="0026714A">
        <w:trPr>
          <w:jc w:val="center"/>
        </w:trPr>
        <w:tc>
          <w:tcPr>
            <w:tcW w:w="1980" w:type="dxa"/>
          </w:tcPr>
          <w:p w14:paraId="646E10F9" w14:textId="77777777" w:rsidR="005201DA" w:rsidRDefault="005201DA" w:rsidP="005201DA">
            <w:pP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</w:p>
          <w:p w14:paraId="314F5FFA" w14:textId="32044848" w:rsidR="00522768" w:rsidRPr="00522768" w:rsidRDefault="00522768" w:rsidP="00522768">
            <w:pPr>
              <w:jc w:val="center"/>
              <w:rPr>
                <w:rFonts w:ascii="Century Gothic" w:eastAsiaTheme="majorEastAsia" w:hAnsi="Century Gothic" w:cstheme="majorBidi"/>
                <w:sz w:val="20"/>
                <w:szCs w:val="20"/>
              </w:rPr>
            </w:pPr>
            <w:r w:rsidRPr="00522768">
              <w:rPr>
                <w:rFonts w:ascii="Century Gothic" w:eastAsiaTheme="majorEastAsia" w:hAnsi="Century Gothic" w:cstheme="majorBidi"/>
                <w:b/>
                <w:color w:val="000000" w:themeColor="text1"/>
                <w:sz w:val="20"/>
                <w:szCs w:val="20"/>
              </w:rPr>
              <w:t>Aims of the national curriculum</w:t>
            </w:r>
          </w:p>
        </w:tc>
        <w:tc>
          <w:tcPr>
            <w:tcW w:w="3466" w:type="dxa"/>
          </w:tcPr>
          <w:p w14:paraId="0D72DABC" w14:textId="5BD91033" w:rsidR="005201DA" w:rsidRPr="00626D77" w:rsidRDefault="005201DA" w:rsidP="00626D77">
            <w:pPr>
              <w:numPr>
                <w:ilvl w:val="0"/>
                <w:numId w:val="1"/>
              </w:numP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  <w:r w:rsidRPr="00626D77"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t>all children have an entitlement to the three aims of the NC – Fluency, Reasoning and Problem Solving</w:t>
            </w:r>
          </w:p>
          <w:p w14:paraId="0A3E20D6" w14:textId="77777777" w:rsidR="005201DA" w:rsidRPr="00626D77" w:rsidRDefault="005201DA" w:rsidP="00626D77">
            <w:pPr>
              <w:numPr>
                <w:ilvl w:val="0"/>
                <w:numId w:val="1"/>
              </w:numP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  <w:r w:rsidRPr="00626D77"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t>planning should aim to provide a balance of the three aims over the course of a unit</w:t>
            </w:r>
          </w:p>
          <w:p w14:paraId="0DBD5822" w14:textId="77777777" w:rsidR="005201DA" w:rsidRPr="00626D77" w:rsidRDefault="005201DA" w:rsidP="00626D77">
            <w:pPr>
              <w:rPr>
                <w:rFonts w:ascii="Century Gothic" w:hAnsi="Century Gothic"/>
              </w:rPr>
            </w:pPr>
          </w:p>
        </w:tc>
        <w:tc>
          <w:tcPr>
            <w:tcW w:w="3467" w:type="dxa"/>
          </w:tcPr>
          <w:p w14:paraId="0C7E709C" w14:textId="77777777" w:rsidR="005201DA" w:rsidRPr="00626D77" w:rsidRDefault="005201DA" w:rsidP="00626D77">
            <w:pPr>
              <w:pStyle w:val="ListParagraph"/>
              <w:numPr>
                <w:ilvl w:val="0"/>
                <w:numId w:val="1"/>
              </w:numP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  <w:r w:rsidRPr="00626D77">
              <w:rPr>
                <w:rFonts w:ascii="Century Gothic" w:eastAsiaTheme="majorEastAsia" w:hAnsi="Century Gothic" w:cstheme="majorBidi"/>
                <w:b/>
                <w:bCs/>
                <w:color w:val="000000" w:themeColor="text1"/>
                <w:sz w:val="20"/>
                <w:szCs w:val="20"/>
              </w:rPr>
              <w:t>Strand C: Deliver a carefully sequenced and coherent curriculum</w:t>
            </w:r>
            <w:r w:rsidRPr="00626D77"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t xml:space="preserve"> - plan opportunities for fluency, reasoning and problem solving for all children</w:t>
            </w:r>
          </w:p>
          <w:p w14:paraId="69B2D35B" w14:textId="77777777" w:rsidR="005201DA" w:rsidRPr="00626D77" w:rsidRDefault="005201DA" w:rsidP="00626D77">
            <w:pPr>
              <w:pStyle w:val="ListParagraph"/>
              <w:numPr>
                <w:ilvl w:val="0"/>
                <w:numId w:val="1"/>
              </w:numP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  <w:r w:rsidRPr="00626D77">
              <w:rPr>
                <w:rFonts w:ascii="Century Gothic" w:eastAsiaTheme="majorEastAsia" w:hAnsi="Century Gothic" w:cstheme="majorBidi"/>
                <w:b/>
                <w:bCs/>
                <w:color w:val="000000" w:themeColor="text1"/>
                <w:sz w:val="20"/>
                <w:szCs w:val="20"/>
              </w:rPr>
              <w:t>Strand C: Develop fluency</w:t>
            </w:r>
            <w:r w:rsidRPr="00626D77"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t xml:space="preserve"> - plan for a balance of fluency, reason and problem solving over time </w:t>
            </w:r>
            <w:proofErr w:type="gramStart"/>
            <w:r w:rsidRPr="00626D77"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t>e.g.</w:t>
            </w:r>
            <w:proofErr w:type="gramEnd"/>
            <w:r w:rsidRPr="00626D77"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t xml:space="preserve"> over a whole unit of work</w:t>
            </w:r>
          </w:p>
          <w:p w14:paraId="0C633D3A" w14:textId="77777777" w:rsidR="005201DA" w:rsidRPr="00626D77" w:rsidRDefault="005201DA" w:rsidP="00626D77">
            <w:pPr>
              <w:numPr>
                <w:ilvl w:val="0"/>
                <w:numId w:val="1"/>
              </w:numP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  <w:r w:rsidRPr="00626D77">
              <w:rPr>
                <w:rFonts w:ascii="Century Gothic" w:eastAsiaTheme="majorEastAsia" w:hAnsi="Century Gothic" w:cstheme="majorBidi"/>
                <w:b/>
                <w:bCs/>
                <w:color w:val="000000" w:themeColor="text1"/>
                <w:sz w:val="20"/>
                <w:szCs w:val="20"/>
              </w:rPr>
              <w:t>Strand B: Stimulate pupil thinking and check for understanding</w:t>
            </w:r>
            <w:r w:rsidRPr="00626D77"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t xml:space="preserve"> - use reasoning structures such as: odd one out, spot the error, what’s the same, what’s different etc.</w:t>
            </w:r>
          </w:p>
          <w:p w14:paraId="56309483" w14:textId="77777777" w:rsidR="005201DA" w:rsidRPr="00626D77" w:rsidRDefault="005201DA" w:rsidP="00626D77">
            <w:pPr>
              <w:pStyle w:val="ListParagraph"/>
              <w:numPr>
                <w:ilvl w:val="0"/>
                <w:numId w:val="1"/>
              </w:numP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  <w:r w:rsidRPr="00626D77">
              <w:rPr>
                <w:rFonts w:ascii="Century Gothic" w:eastAsiaTheme="majorEastAsia" w:hAnsi="Century Gothic" w:cstheme="majorBidi"/>
                <w:b/>
                <w:bCs/>
                <w:color w:val="000000" w:themeColor="text1"/>
                <w:sz w:val="20"/>
                <w:szCs w:val="20"/>
              </w:rPr>
              <w:t xml:space="preserve">Strand </w:t>
            </w:r>
            <w:proofErr w:type="gramStart"/>
            <w:r w:rsidRPr="00626D77">
              <w:rPr>
                <w:rFonts w:ascii="Century Gothic" w:eastAsiaTheme="majorEastAsia" w:hAnsi="Century Gothic" w:cstheme="majorBidi"/>
                <w:b/>
                <w:bCs/>
                <w:color w:val="000000" w:themeColor="text1"/>
                <w:sz w:val="20"/>
                <w:szCs w:val="20"/>
              </w:rPr>
              <w:t>B;</w:t>
            </w:r>
            <w:proofErr w:type="gramEnd"/>
            <w:r w:rsidRPr="00626D77">
              <w:rPr>
                <w:rFonts w:ascii="Century Gothic" w:eastAsiaTheme="majorEastAsia" w:hAnsi="Century Gothic" w:cstheme="majorBidi"/>
                <w:b/>
                <w:bCs/>
                <w:color w:val="000000" w:themeColor="text1"/>
                <w:sz w:val="20"/>
                <w:szCs w:val="20"/>
              </w:rPr>
              <w:t xml:space="preserve"> Avoid overloading working memory</w:t>
            </w:r>
            <w:r w:rsidRPr="00626D77"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t xml:space="preserve"> - plan for regular, built-in opportunities to solve problems</w:t>
            </w:r>
          </w:p>
          <w:p w14:paraId="20BE5982" w14:textId="77777777" w:rsidR="005201DA" w:rsidRPr="00626D77" w:rsidRDefault="005201DA" w:rsidP="00626D77">
            <w:pPr>
              <w:numPr>
                <w:ilvl w:val="0"/>
                <w:numId w:val="1"/>
              </w:numP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  <w:r w:rsidRPr="00626D77">
              <w:rPr>
                <w:rFonts w:ascii="Century Gothic" w:eastAsiaTheme="majorEastAsia" w:hAnsi="Century Gothic" w:cstheme="majorBidi"/>
                <w:b/>
                <w:bCs/>
                <w:color w:val="000000" w:themeColor="text1"/>
                <w:sz w:val="20"/>
                <w:szCs w:val="20"/>
              </w:rPr>
              <w:t>Strand D: Check prior knowledge and understanding during lessons and provide high-quality feedback</w:t>
            </w:r>
            <w:r w:rsidRPr="00626D77"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t xml:space="preserve"> - use targeted and </w:t>
            </w:r>
            <w:r w:rsidRPr="00626D77"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lastRenderedPageBreak/>
              <w:t>differentiated questions and make positive/constructive responses to pupils’ contributions</w:t>
            </w:r>
          </w:p>
          <w:p w14:paraId="417C83A1" w14:textId="77777777" w:rsidR="005201DA" w:rsidRPr="00626D77" w:rsidRDefault="005201DA" w:rsidP="00626D77">
            <w:pPr>
              <w:pStyle w:val="ListParagraph"/>
              <w:numPr>
                <w:ilvl w:val="0"/>
                <w:numId w:val="1"/>
              </w:numP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  <w:r w:rsidRPr="00626D77">
              <w:rPr>
                <w:rFonts w:ascii="Century Gothic" w:eastAsiaTheme="majorEastAsia" w:hAnsi="Century Gothic" w:cstheme="majorBidi"/>
                <w:b/>
                <w:bCs/>
                <w:color w:val="000000" w:themeColor="text1"/>
                <w:sz w:val="20"/>
                <w:szCs w:val="20"/>
              </w:rPr>
              <w:t>Strand B: Plan effective lessons</w:t>
            </w:r>
            <w:r w:rsidRPr="00626D77"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t xml:space="preserve"> -show an awareness of scaffolding approaches to differentiation to allow all children to move on together. Provide opportunity for children to justify and prove by explaining their reasoning</w:t>
            </w:r>
          </w:p>
          <w:p w14:paraId="33EAB5AB" w14:textId="60D28231" w:rsidR="005201DA" w:rsidRPr="00626D77" w:rsidRDefault="005201DA" w:rsidP="00626D77">
            <w:pPr>
              <w:rPr>
                <w:rFonts w:ascii="Century Gothic" w:hAnsi="Century Gothic"/>
              </w:rPr>
            </w:pPr>
            <w:r w:rsidRPr="00626D77">
              <w:rPr>
                <w:rFonts w:ascii="Century Gothic" w:eastAsiaTheme="majorEastAsia" w:hAnsi="Century Gothic" w:cstheme="majorBidi"/>
                <w:b/>
                <w:bCs/>
                <w:color w:val="000000" w:themeColor="text1"/>
                <w:sz w:val="20"/>
                <w:szCs w:val="20"/>
              </w:rPr>
              <w:t>Strand B: Build on pupils’ prior knowledge</w:t>
            </w:r>
            <w:r w:rsidRPr="00626D77"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t xml:space="preserve"> - adapt lesson plans from Unit plans/commercial schemes to meet pupil needs</w:t>
            </w:r>
          </w:p>
        </w:tc>
        <w:tc>
          <w:tcPr>
            <w:tcW w:w="3466" w:type="dxa"/>
          </w:tcPr>
          <w:p w14:paraId="06D96F51" w14:textId="701A58B9" w:rsidR="005201DA" w:rsidRPr="00626D77" w:rsidRDefault="005201DA" w:rsidP="00626D77">
            <w:pPr>
              <w:numPr>
                <w:ilvl w:val="0"/>
                <w:numId w:val="1"/>
              </w:numP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lastRenderedPageBreak/>
              <w:t>Can you e</w:t>
            </w:r>
            <w:r w:rsidRPr="00626D77"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t>xplain which aspects of this lesson/unit promote fluency?</w:t>
            </w:r>
          </w:p>
          <w:p w14:paraId="5E901DE9" w14:textId="77777777" w:rsidR="005201DA" w:rsidRPr="00626D77" w:rsidRDefault="005201DA" w:rsidP="00626D77">
            <w:pPr>
              <w:numPr>
                <w:ilvl w:val="0"/>
                <w:numId w:val="1"/>
              </w:numP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  <w:r w:rsidRPr="00626D77"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t>Which aspects of the lesson/unit promote reasoning and/or problem solving?</w:t>
            </w:r>
          </w:p>
          <w:p w14:paraId="59D86948" w14:textId="77777777" w:rsidR="005201DA" w:rsidRPr="00626D77" w:rsidRDefault="005201DA" w:rsidP="00626D77">
            <w:pPr>
              <w:numPr>
                <w:ilvl w:val="0"/>
                <w:numId w:val="1"/>
              </w:numP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  <w:r w:rsidRPr="00626D77"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t>What support will you provide and why?</w:t>
            </w:r>
          </w:p>
          <w:p w14:paraId="5E4BCFBD" w14:textId="77777777" w:rsidR="005201DA" w:rsidRPr="00626D77" w:rsidRDefault="005201DA" w:rsidP="00626D77">
            <w:pPr>
              <w:numPr>
                <w:ilvl w:val="0"/>
                <w:numId w:val="1"/>
              </w:numP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  <w:r w:rsidRPr="00626D77"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t>What challenge will you provide and why?</w:t>
            </w:r>
          </w:p>
          <w:p w14:paraId="1D6D64AC" w14:textId="77777777" w:rsidR="005201DA" w:rsidRPr="00626D77" w:rsidRDefault="005201DA" w:rsidP="00626D77">
            <w:pPr>
              <w:numPr>
                <w:ilvl w:val="0"/>
                <w:numId w:val="1"/>
              </w:numP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  <w:r w:rsidRPr="00626D77"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t>How can you differentiate the support and challenge to help all children move on together?</w:t>
            </w:r>
          </w:p>
          <w:p w14:paraId="08BBDA41" w14:textId="77777777" w:rsidR="005201DA" w:rsidRPr="00626D77" w:rsidRDefault="005201DA" w:rsidP="00626D77">
            <w:pPr>
              <w:ind w:left="360"/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</w:p>
          <w:p w14:paraId="29B092D5" w14:textId="77777777" w:rsidR="005201DA" w:rsidRPr="00626D77" w:rsidRDefault="005201DA" w:rsidP="00626D77">
            <w:pPr>
              <w:rPr>
                <w:rFonts w:ascii="Century Gothic" w:eastAsiaTheme="majorEastAsia" w:hAnsi="Century Gothic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626D77">
              <w:rPr>
                <w:rFonts w:ascii="Century Gothic" w:eastAsiaTheme="majorEastAsia" w:hAnsi="Century Gothic" w:cstheme="majorBidi"/>
                <w:b/>
                <w:bCs/>
                <w:color w:val="000000" w:themeColor="text1"/>
                <w:sz w:val="20"/>
                <w:szCs w:val="20"/>
              </w:rPr>
              <w:t>Impact</w:t>
            </w:r>
          </w:p>
          <w:p w14:paraId="75FDB717" w14:textId="77777777" w:rsidR="005201DA" w:rsidRPr="00626D77" w:rsidRDefault="005201DA" w:rsidP="00626D77">
            <w:pPr>
              <w:rPr>
                <w:rFonts w:ascii="Century Gothic" w:eastAsiaTheme="majorEastAsia" w:hAnsi="Century Gothic" w:cstheme="majorBidi"/>
                <w:b/>
                <w:bCs/>
                <w:color w:val="000000" w:themeColor="text1"/>
                <w:sz w:val="20"/>
                <w:szCs w:val="20"/>
              </w:rPr>
            </w:pPr>
          </w:p>
          <w:p w14:paraId="075C2C76" w14:textId="77777777" w:rsidR="005201DA" w:rsidRPr="00683795" w:rsidRDefault="005201DA" w:rsidP="00626D77">
            <w:pPr>
              <w:numPr>
                <w:ilvl w:val="0"/>
                <w:numId w:val="2"/>
              </w:numP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  <w:r w:rsidRPr="00626D77"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t xml:space="preserve">Understand and apply sound knowledge of the Mathematics </w:t>
            </w:r>
            <w:r w:rsidRPr="00626D77">
              <w:rPr>
                <w:rFonts w:ascii="Century Gothic" w:eastAsiaTheme="majorEastAsia" w:hAnsi="Century Gothic" w:cstheme="minorHAnsi"/>
                <w:color w:val="000000" w:themeColor="text1"/>
                <w:sz w:val="20"/>
                <w:szCs w:val="20"/>
              </w:rPr>
              <w:t>National Curriculum for England</w:t>
            </w:r>
          </w:p>
          <w:p w14:paraId="4E482621" w14:textId="09BBDEBA" w:rsidR="005201DA" w:rsidRPr="00683795" w:rsidRDefault="005201DA" w:rsidP="00626D77">
            <w:pPr>
              <w:numPr>
                <w:ilvl w:val="0"/>
                <w:numId w:val="2"/>
              </w:numP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  <w:r w:rsidRPr="00683795">
              <w:rPr>
                <w:rFonts w:ascii="Century Gothic" w:eastAsiaTheme="majorEastAsia" w:hAnsi="Century Gothic" w:cstheme="minorHAnsi"/>
                <w:color w:val="000000" w:themeColor="text1"/>
                <w:sz w:val="20"/>
                <w:szCs w:val="20"/>
              </w:rPr>
              <w:t>Acquire secure subject and pedagogic knowledge and understanding of the key ideas that underpin primary mathematics;</w:t>
            </w:r>
          </w:p>
        </w:tc>
        <w:tc>
          <w:tcPr>
            <w:tcW w:w="3467" w:type="dxa"/>
          </w:tcPr>
          <w:p w14:paraId="7A7D6F06" w14:textId="733F7493" w:rsidR="005201DA" w:rsidRDefault="007324F1" w:rsidP="00626D77">
            <w:pPr>
              <w:numPr>
                <w:ilvl w:val="0"/>
                <w:numId w:val="1"/>
              </w:numP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  <w:hyperlink r:id="rId7" w:history="1">
              <w:r w:rsidR="005201DA" w:rsidRPr="00181628">
                <w:rPr>
                  <w:rStyle w:val="Hyperlink"/>
                  <w:rFonts w:ascii="Century Gothic" w:eastAsiaTheme="majorEastAsia" w:hAnsi="Century Gothic" w:cstheme="majorBidi"/>
                  <w:sz w:val="20"/>
                  <w:szCs w:val="20"/>
                </w:rPr>
                <w:t>https://www.ncetm.org.uk/teaching-for-mastery/mastery-explained/</w:t>
              </w:r>
            </w:hyperlink>
          </w:p>
          <w:p w14:paraId="335E2CCE" w14:textId="77777777" w:rsidR="005201DA" w:rsidRDefault="005201DA" w:rsidP="00AE5EFB">
            <w:pP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</w:p>
          <w:p w14:paraId="1348E1B0" w14:textId="2100278A" w:rsidR="005201DA" w:rsidRPr="00143F85" w:rsidRDefault="007324F1" w:rsidP="00143F85">
            <w:pPr>
              <w:pStyle w:val="ListParagraph"/>
              <w:numPr>
                <w:ilvl w:val="0"/>
                <w:numId w:val="1"/>
              </w:numP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  <w:hyperlink r:id="rId8" w:history="1">
              <w:r w:rsidR="005201DA" w:rsidRPr="00143F85">
                <w:rPr>
                  <w:rStyle w:val="Hyperlink"/>
                  <w:rFonts w:ascii="Century Gothic" w:eastAsiaTheme="majorEastAsia" w:hAnsi="Century Gothic" w:cstheme="majorBidi"/>
                  <w:sz w:val="20"/>
                  <w:szCs w:val="20"/>
                </w:rPr>
                <w:t>https://www.youcubed.org/wp-content/uploads/2017/09/Fluency-Without-Fear-1.28.15.pdf</w:t>
              </w:r>
            </w:hyperlink>
          </w:p>
          <w:p w14:paraId="75C44AA1" w14:textId="04F3AD38" w:rsidR="005201DA" w:rsidRDefault="005201DA" w:rsidP="00AE5EFB">
            <w:pP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</w:p>
        </w:tc>
      </w:tr>
      <w:tr w:rsidR="004941C7" w:rsidRPr="00626D77" w14:paraId="256A6741" w14:textId="77777777" w:rsidTr="0026714A">
        <w:trPr>
          <w:jc w:val="center"/>
        </w:trPr>
        <w:tc>
          <w:tcPr>
            <w:tcW w:w="1980" w:type="dxa"/>
          </w:tcPr>
          <w:p w14:paraId="3B66709A" w14:textId="0599D40B" w:rsidR="004941C7" w:rsidRPr="004941C7" w:rsidRDefault="004941C7" w:rsidP="004941C7">
            <w:pPr>
              <w:jc w:val="center"/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  <w:r w:rsidRPr="004941C7">
              <w:rPr>
                <w:rFonts w:ascii="Century Gothic" w:eastAsiaTheme="majorEastAsia" w:hAnsi="Century Gothic" w:cstheme="majorBidi"/>
                <w:b/>
                <w:bCs/>
                <w:color w:val="000000" w:themeColor="text1"/>
                <w:sz w:val="20"/>
                <w:szCs w:val="20"/>
              </w:rPr>
              <w:t>Concrete, Pictorial and Abstract approaches</w:t>
            </w:r>
          </w:p>
        </w:tc>
        <w:tc>
          <w:tcPr>
            <w:tcW w:w="3466" w:type="dxa"/>
          </w:tcPr>
          <w:p w14:paraId="79684D5C" w14:textId="77777777" w:rsidR="004941C7" w:rsidRPr="004941C7" w:rsidRDefault="004941C7" w:rsidP="004941C7">
            <w:pPr>
              <w:numPr>
                <w:ilvl w:val="0"/>
                <w:numId w:val="3"/>
              </w:numP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  <w:r w:rsidRPr="004941C7"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t xml:space="preserve">concrete, </w:t>
            </w:r>
            <w:proofErr w:type="gramStart"/>
            <w:r w:rsidRPr="004941C7"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t>pictorial</w:t>
            </w:r>
            <w:proofErr w:type="gramEnd"/>
            <w:r w:rsidRPr="004941C7"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t xml:space="preserve"> and abstract approaches can be effective in teaching and learning primary mathematics</w:t>
            </w:r>
          </w:p>
          <w:p w14:paraId="316CB86F" w14:textId="77777777" w:rsidR="004941C7" w:rsidRPr="004941C7" w:rsidRDefault="004941C7" w:rsidP="004941C7">
            <w:pPr>
              <w:numPr>
                <w:ilvl w:val="0"/>
                <w:numId w:val="3"/>
              </w:numP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  <w:r w:rsidRPr="004941C7"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t xml:space="preserve">concrete, </w:t>
            </w:r>
            <w:proofErr w:type="gramStart"/>
            <w:r w:rsidRPr="004941C7"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t>pictorial</w:t>
            </w:r>
            <w:proofErr w:type="gramEnd"/>
            <w:r w:rsidRPr="004941C7"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t xml:space="preserve"> and abstract approaches can be effective in teaching and learning for all children regardless of ability</w:t>
            </w:r>
          </w:p>
          <w:p w14:paraId="63FA86EE" w14:textId="77777777" w:rsidR="004941C7" w:rsidRPr="004941C7" w:rsidRDefault="004941C7" w:rsidP="004941C7">
            <w:pPr>
              <w:numPr>
                <w:ilvl w:val="0"/>
                <w:numId w:val="1"/>
              </w:numP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3467" w:type="dxa"/>
          </w:tcPr>
          <w:p w14:paraId="32EC5776" w14:textId="77777777" w:rsidR="004941C7" w:rsidRPr="004941C7" w:rsidRDefault="004941C7" w:rsidP="004941C7">
            <w:pPr>
              <w:pStyle w:val="ListParagraph"/>
              <w:numPr>
                <w:ilvl w:val="0"/>
                <w:numId w:val="2"/>
              </w:num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4941C7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Strand </w:t>
            </w:r>
            <w:proofErr w:type="gramStart"/>
            <w:r w:rsidRPr="004941C7">
              <w:rPr>
                <w:rFonts w:ascii="Century Gothic" w:hAnsi="Century Gothic"/>
                <w:b/>
                <w:bCs/>
                <w:sz w:val="20"/>
                <w:szCs w:val="20"/>
              </w:rPr>
              <w:t>B;</w:t>
            </w:r>
            <w:proofErr w:type="gramEnd"/>
            <w:r w:rsidRPr="004941C7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Make good use of expositions - </w:t>
            </w:r>
            <w:r w:rsidRPr="004941C7">
              <w:rPr>
                <w:rFonts w:ascii="Century Gothic" w:eastAsiaTheme="majorEastAsia" w:hAnsi="Century Gothic" w:cstheme="majorBidi"/>
                <w:bCs/>
                <w:color w:val="000000" w:themeColor="text1"/>
                <w:sz w:val="20"/>
                <w:szCs w:val="20"/>
              </w:rPr>
              <w:t>regularly foster mental imagery using manipulatives and or diagrammatic approaches appropriate to the year group being taught</w:t>
            </w:r>
          </w:p>
          <w:p w14:paraId="2FE41B3E" w14:textId="77777777" w:rsidR="004941C7" w:rsidRPr="004941C7" w:rsidRDefault="004941C7" w:rsidP="004941C7">
            <w:pPr>
              <w:pStyle w:val="ListParagraph"/>
              <w:numPr>
                <w:ilvl w:val="0"/>
                <w:numId w:val="2"/>
              </w:num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4941C7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Strand B: Model effectively - </w:t>
            </w:r>
            <w:r w:rsidRPr="004941C7">
              <w:rPr>
                <w:rFonts w:ascii="Century Gothic" w:eastAsiaTheme="majorEastAsia" w:hAnsi="Century Gothic" w:cstheme="majorBidi"/>
                <w:bCs/>
                <w:color w:val="000000" w:themeColor="text1"/>
                <w:sz w:val="20"/>
                <w:szCs w:val="20"/>
              </w:rPr>
              <w:t>show/model accurate use of mathematical language and notation (</w:t>
            </w:r>
            <w:proofErr w:type="gramStart"/>
            <w:r w:rsidRPr="004941C7">
              <w:rPr>
                <w:rFonts w:ascii="Century Gothic" w:eastAsiaTheme="majorEastAsia" w:hAnsi="Century Gothic" w:cstheme="majorBidi"/>
                <w:bCs/>
                <w:color w:val="000000" w:themeColor="text1"/>
                <w:sz w:val="20"/>
                <w:szCs w:val="20"/>
              </w:rPr>
              <w:t>e.g.</w:t>
            </w:r>
            <w:proofErr w:type="gramEnd"/>
            <w:r w:rsidRPr="004941C7">
              <w:rPr>
                <w:rFonts w:ascii="Century Gothic" w:eastAsiaTheme="majorEastAsia" w:hAnsi="Century Gothic" w:cstheme="majorBidi"/>
                <w:bCs/>
                <w:color w:val="000000" w:themeColor="text1"/>
                <w:sz w:val="20"/>
                <w:szCs w:val="20"/>
              </w:rPr>
              <w:t xml:space="preserve"> use of =)</w:t>
            </w:r>
          </w:p>
          <w:p w14:paraId="5CF5D70A" w14:textId="77777777" w:rsidR="004941C7" w:rsidRPr="004941C7" w:rsidRDefault="004941C7" w:rsidP="004941C7">
            <w:pPr>
              <w:numPr>
                <w:ilvl w:val="0"/>
                <w:numId w:val="2"/>
              </w:numPr>
              <w:rPr>
                <w:rFonts w:ascii="Century Gothic" w:eastAsiaTheme="majorEastAsia" w:hAnsi="Century Gothic" w:cstheme="majorBidi"/>
                <w:bCs/>
                <w:color w:val="000000" w:themeColor="text1"/>
                <w:sz w:val="20"/>
                <w:szCs w:val="20"/>
              </w:rPr>
            </w:pPr>
            <w:r w:rsidRPr="004941C7">
              <w:rPr>
                <w:rFonts w:ascii="Century Gothic" w:eastAsiaTheme="majorEastAsia" w:hAnsi="Century Gothic" w:cstheme="majorBidi"/>
                <w:bCs/>
                <w:color w:val="000000" w:themeColor="text1"/>
                <w:sz w:val="20"/>
                <w:szCs w:val="20"/>
              </w:rPr>
              <w:t>uses targeted and differentiated questions at times utilising apparatus and pictorial representations</w:t>
            </w:r>
          </w:p>
          <w:p w14:paraId="5E477957" w14:textId="77777777" w:rsidR="004941C7" w:rsidRPr="004941C7" w:rsidRDefault="004941C7" w:rsidP="004941C7">
            <w:pPr>
              <w:pStyle w:val="ListParagraph"/>
              <w:numPr>
                <w:ilvl w:val="0"/>
                <w:numId w:val="2"/>
              </w:num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4941C7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Strand B: Model effectively - </w:t>
            </w:r>
            <w:r w:rsidRPr="004941C7">
              <w:rPr>
                <w:rFonts w:ascii="Century Gothic" w:eastAsiaTheme="majorEastAsia" w:hAnsi="Century Gothic" w:cstheme="majorBidi"/>
                <w:bCs/>
                <w:color w:val="000000" w:themeColor="text1"/>
                <w:sz w:val="20"/>
                <w:szCs w:val="20"/>
              </w:rPr>
              <w:t xml:space="preserve">give clear explanations through modelling, showing </w:t>
            </w:r>
            <w:r w:rsidRPr="004941C7">
              <w:rPr>
                <w:rFonts w:ascii="Century Gothic" w:eastAsiaTheme="majorEastAsia" w:hAnsi="Century Gothic" w:cstheme="majorBidi"/>
                <w:bCs/>
                <w:color w:val="000000" w:themeColor="text1"/>
                <w:sz w:val="20"/>
                <w:szCs w:val="20"/>
              </w:rPr>
              <w:lastRenderedPageBreak/>
              <w:t xml:space="preserve">understanding of mathematical ideas with manipulatives and diagrams </w:t>
            </w:r>
            <w:proofErr w:type="gramStart"/>
            <w:r w:rsidRPr="004941C7">
              <w:rPr>
                <w:rFonts w:ascii="Century Gothic" w:eastAsiaTheme="majorEastAsia" w:hAnsi="Century Gothic" w:cstheme="majorBidi"/>
                <w:bCs/>
                <w:color w:val="000000" w:themeColor="text1"/>
                <w:sz w:val="20"/>
                <w:szCs w:val="20"/>
              </w:rPr>
              <w:t>e.g.</w:t>
            </w:r>
            <w:proofErr w:type="gramEnd"/>
            <w:r w:rsidRPr="004941C7">
              <w:rPr>
                <w:rFonts w:ascii="Century Gothic" w:eastAsiaTheme="majorEastAsia" w:hAnsi="Century Gothic" w:cstheme="majorBidi"/>
                <w:bCs/>
                <w:color w:val="000000" w:themeColor="text1"/>
                <w:sz w:val="20"/>
                <w:szCs w:val="20"/>
              </w:rPr>
              <w:t xml:space="preserve"> bar models</w:t>
            </w:r>
          </w:p>
          <w:p w14:paraId="7706EF38" w14:textId="77777777" w:rsidR="004941C7" w:rsidRPr="004941C7" w:rsidRDefault="004941C7" w:rsidP="004941C7">
            <w:pPr>
              <w:pStyle w:val="ListParagraph"/>
              <w:numPr>
                <w:ilvl w:val="0"/>
                <w:numId w:val="2"/>
              </w:num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4941C7">
              <w:rPr>
                <w:rFonts w:ascii="Century Gothic" w:eastAsiaTheme="majorEastAsia" w:hAnsi="Century Gothic" w:cstheme="majorBidi"/>
                <w:b/>
                <w:color w:val="000000" w:themeColor="text1"/>
                <w:sz w:val="20"/>
                <w:szCs w:val="20"/>
              </w:rPr>
              <w:t xml:space="preserve">Strand B: </w:t>
            </w:r>
            <w:r w:rsidRPr="004941C7">
              <w:rPr>
                <w:rFonts w:ascii="Century Gothic" w:hAnsi="Century Gothic"/>
                <w:b/>
                <w:sz w:val="20"/>
                <w:szCs w:val="20"/>
              </w:rPr>
              <w:t>Help pupils apply knowledge and skills to other contexts</w:t>
            </w:r>
            <w:r w:rsidRPr="004941C7">
              <w:rPr>
                <w:rFonts w:ascii="Century Gothic" w:hAnsi="Century Gothic"/>
                <w:sz w:val="20"/>
                <w:szCs w:val="20"/>
              </w:rPr>
              <w:t xml:space="preserve"> -</w:t>
            </w:r>
            <w:r w:rsidRPr="004941C7">
              <w:rPr>
                <w:rFonts w:ascii="Century Gothic" w:eastAsiaTheme="majorEastAsia" w:hAnsi="Century Gothic" w:cstheme="majorBidi"/>
                <w:bCs/>
                <w:color w:val="000000" w:themeColor="text1"/>
                <w:sz w:val="20"/>
                <w:szCs w:val="20"/>
              </w:rPr>
              <w:t xml:space="preserve"> give clear demonstration of mathematics using appropriate models: </w:t>
            </w:r>
            <w:proofErr w:type="gramStart"/>
            <w:r w:rsidRPr="004941C7">
              <w:rPr>
                <w:rFonts w:ascii="Century Gothic" w:eastAsiaTheme="majorEastAsia" w:hAnsi="Century Gothic" w:cstheme="majorBidi"/>
                <w:bCs/>
                <w:color w:val="000000" w:themeColor="text1"/>
                <w:sz w:val="20"/>
                <w:szCs w:val="20"/>
              </w:rPr>
              <w:t>e.g.</w:t>
            </w:r>
            <w:proofErr w:type="gramEnd"/>
            <w:r w:rsidRPr="004941C7">
              <w:rPr>
                <w:rFonts w:ascii="Century Gothic" w:eastAsiaTheme="majorEastAsia" w:hAnsi="Century Gothic" w:cstheme="majorBidi"/>
                <w:bCs/>
                <w:color w:val="000000" w:themeColor="text1"/>
                <w:sz w:val="20"/>
                <w:szCs w:val="20"/>
              </w:rPr>
              <w:t xml:space="preserve"> digit cards, base ten materials, tracks, lines, number squares PV charts etc.</w:t>
            </w:r>
          </w:p>
          <w:p w14:paraId="601437C5" w14:textId="77777777" w:rsidR="004941C7" w:rsidRPr="004941C7" w:rsidRDefault="004941C7" w:rsidP="004941C7">
            <w:pPr>
              <w:numPr>
                <w:ilvl w:val="0"/>
                <w:numId w:val="2"/>
              </w:numPr>
              <w:rPr>
                <w:rFonts w:ascii="Century Gothic" w:eastAsiaTheme="majorEastAsia" w:hAnsi="Century Gothic" w:cstheme="majorBidi"/>
                <w:b/>
                <w:color w:val="000000" w:themeColor="text1"/>
                <w:sz w:val="20"/>
                <w:szCs w:val="20"/>
              </w:rPr>
            </w:pPr>
            <w:r w:rsidRPr="004941C7">
              <w:rPr>
                <w:rFonts w:ascii="Century Gothic" w:eastAsiaTheme="majorEastAsia" w:hAnsi="Century Gothic" w:cstheme="majorBidi"/>
                <w:b/>
                <w:color w:val="000000" w:themeColor="text1"/>
                <w:sz w:val="20"/>
                <w:szCs w:val="20"/>
              </w:rPr>
              <w:t xml:space="preserve">Strand D: Check prior knowledge and understanding during lessons and provide high-quality feedback - </w:t>
            </w:r>
            <w:r w:rsidRPr="004941C7">
              <w:rPr>
                <w:rFonts w:ascii="Century Gothic" w:eastAsiaTheme="majorEastAsia" w:hAnsi="Century Gothic" w:cstheme="majorBidi"/>
                <w:bCs/>
                <w:color w:val="000000" w:themeColor="text1"/>
                <w:sz w:val="20"/>
                <w:szCs w:val="20"/>
              </w:rPr>
              <w:t xml:space="preserve">offers constructive responses to pupils’ questions and can include concrete and/or diagrammatic to help children to ‘see’:  </w:t>
            </w:r>
            <w:proofErr w:type="gramStart"/>
            <w:r w:rsidRPr="004941C7">
              <w:rPr>
                <w:rFonts w:ascii="Century Gothic" w:eastAsiaTheme="majorEastAsia" w:hAnsi="Century Gothic" w:cstheme="majorBidi"/>
                <w:bCs/>
                <w:color w:val="000000" w:themeColor="text1"/>
                <w:sz w:val="20"/>
                <w:szCs w:val="20"/>
              </w:rPr>
              <w:t>e.g.</w:t>
            </w:r>
            <w:proofErr w:type="gramEnd"/>
            <w:r w:rsidRPr="004941C7">
              <w:rPr>
                <w:rFonts w:ascii="Century Gothic" w:eastAsiaTheme="majorEastAsia" w:hAnsi="Century Gothic" w:cstheme="majorBidi"/>
                <w:bCs/>
                <w:color w:val="000000" w:themeColor="text1"/>
                <w:sz w:val="20"/>
                <w:szCs w:val="20"/>
              </w:rPr>
              <w:t xml:space="preserve"> 100 squares and number lines, Numicon, base 10, arrow cards, abacus </w:t>
            </w:r>
          </w:p>
          <w:p w14:paraId="1D174123" w14:textId="078E08AF" w:rsidR="004941C7" w:rsidRPr="004941C7" w:rsidRDefault="004941C7" w:rsidP="004941C7">
            <w:pPr>
              <w:pStyle w:val="ListParagraph"/>
              <w:numPr>
                <w:ilvl w:val="0"/>
                <w:numId w:val="2"/>
              </w:numPr>
              <w:rPr>
                <w:rFonts w:ascii="Century Gothic" w:eastAsiaTheme="majorEastAsia" w:hAnsi="Century Gothic" w:cstheme="majorBidi"/>
                <w:bCs/>
                <w:color w:val="000000" w:themeColor="text1"/>
                <w:sz w:val="20"/>
                <w:szCs w:val="20"/>
              </w:rPr>
            </w:pPr>
            <w:r w:rsidRPr="004941C7">
              <w:rPr>
                <w:rFonts w:ascii="Century Gothic" w:eastAsiaTheme="majorEastAsia" w:hAnsi="Century Gothic" w:cstheme="majorBidi"/>
                <w:b/>
                <w:color w:val="000000" w:themeColor="text1"/>
                <w:sz w:val="20"/>
                <w:szCs w:val="20"/>
              </w:rPr>
              <w:t>Strand B: - Increase likelihood of material being retained -</w:t>
            </w:r>
            <w:r w:rsidRPr="004941C7">
              <w:rPr>
                <w:rFonts w:ascii="Century Gothic" w:eastAsiaTheme="majorEastAsia" w:hAnsi="Century Gothic" w:cstheme="majorBidi"/>
                <w:bCs/>
                <w:color w:val="000000" w:themeColor="text1"/>
                <w:sz w:val="20"/>
                <w:szCs w:val="20"/>
              </w:rPr>
              <w:t>make use of mathematics displays and/or working walls in teaching</w:t>
            </w:r>
          </w:p>
        </w:tc>
        <w:tc>
          <w:tcPr>
            <w:tcW w:w="3466" w:type="dxa"/>
          </w:tcPr>
          <w:p w14:paraId="2B038336" w14:textId="77777777" w:rsidR="004941C7" w:rsidRPr="004941C7" w:rsidRDefault="004941C7" w:rsidP="004941C7">
            <w:pPr>
              <w:numPr>
                <w:ilvl w:val="0"/>
                <w:numId w:val="2"/>
              </w:numP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  <w:r w:rsidRPr="004941C7"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lastRenderedPageBreak/>
              <w:t>Which concrete apparatus are appropriate for which children?</w:t>
            </w:r>
          </w:p>
          <w:p w14:paraId="40CD75BA" w14:textId="77777777" w:rsidR="004941C7" w:rsidRPr="004941C7" w:rsidRDefault="004941C7" w:rsidP="004941C7">
            <w:pPr>
              <w:numPr>
                <w:ilvl w:val="0"/>
                <w:numId w:val="2"/>
              </w:numP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  <w:r w:rsidRPr="004941C7"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t>How will you encourage children to ‘see’ what they are doing with pictorial representation?</w:t>
            </w:r>
          </w:p>
          <w:p w14:paraId="252A3983" w14:textId="77777777" w:rsidR="004941C7" w:rsidRPr="004941C7" w:rsidRDefault="004941C7" w:rsidP="004941C7">
            <w:pPr>
              <w:numPr>
                <w:ilvl w:val="0"/>
                <w:numId w:val="2"/>
              </w:numP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  <w:r w:rsidRPr="004941C7"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t>What are your closed targeted questions and who is being targeted?</w:t>
            </w:r>
          </w:p>
          <w:p w14:paraId="5FED215E" w14:textId="77777777" w:rsidR="004941C7" w:rsidRPr="004941C7" w:rsidRDefault="004941C7" w:rsidP="004941C7">
            <w:pPr>
              <w:numPr>
                <w:ilvl w:val="0"/>
                <w:numId w:val="2"/>
              </w:numP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  <w:r w:rsidRPr="004941C7"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t>What are your open, probing questions and who is being targeted?</w:t>
            </w:r>
          </w:p>
          <w:p w14:paraId="2725F7A1" w14:textId="77777777" w:rsidR="004941C7" w:rsidRPr="004941C7" w:rsidRDefault="004941C7" w:rsidP="004941C7">
            <w:pPr>
              <w:numPr>
                <w:ilvl w:val="0"/>
                <w:numId w:val="2"/>
              </w:numP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  <w:r w:rsidRPr="004941C7"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t xml:space="preserve">Will you link your questions to a C, P or </w:t>
            </w:r>
            <w:proofErr w:type="spellStart"/>
            <w:r w:rsidRPr="004941C7"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t>A</w:t>
            </w:r>
            <w:proofErr w:type="spellEnd"/>
            <w:r w:rsidRPr="004941C7"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t xml:space="preserve"> approach?</w:t>
            </w:r>
          </w:p>
          <w:p w14:paraId="7699A537" w14:textId="77777777" w:rsidR="004941C7" w:rsidRPr="004941C7" w:rsidRDefault="004941C7" w:rsidP="004941C7">
            <w:pPr>
              <w:numPr>
                <w:ilvl w:val="0"/>
                <w:numId w:val="2"/>
              </w:numP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  <w:r w:rsidRPr="004941C7"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t>How can you incorporate working walls and encourage their use?</w:t>
            </w:r>
          </w:p>
          <w:p w14:paraId="7F6424FD" w14:textId="77777777" w:rsidR="004941C7" w:rsidRPr="004941C7" w:rsidRDefault="004941C7" w:rsidP="004941C7">
            <w:pP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</w:p>
          <w:p w14:paraId="3FEC0169" w14:textId="77777777" w:rsidR="004941C7" w:rsidRPr="004941C7" w:rsidRDefault="004941C7" w:rsidP="004941C7">
            <w:pPr>
              <w:rPr>
                <w:rFonts w:ascii="Century Gothic" w:eastAsiaTheme="majorEastAsia" w:hAnsi="Century Gothic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4941C7">
              <w:rPr>
                <w:rFonts w:ascii="Century Gothic" w:eastAsiaTheme="majorEastAsia" w:hAnsi="Century Gothic" w:cstheme="majorBidi"/>
                <w:b/>
                <w:bCs/>
                <w:color w:val="000000" w:themeColor="text1"/>
                <w:sz w:val="20"/>
                <w:szCs w:val="20"/>
              </w:rPr>
              <w:t>Impact</w:t>
            </w:r>
          </w:p>
          <w:p w14:paraId="5BFEEA97" w14:textId="77777777" w:rsidR="004941C7" w:rsidRPr="004941C7" w:rsidRDefault="004941C7" w:rsidP="004941C7">
            <w:pP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</w:p>
          <w:p w14:paraId="5D7A8DB4" w14:textId="77777777" w:rsidR="004941C7" w:rsidRPr="004941C7" w:rsidRDefault="004941C7" w:rsidP="004941C7">
            <w:pPr>
              <w:numPr>
                <w:ilvl w:val="0"/>
                <w:numId w:val="2"/>
              </w:numP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  <w:r w:rsidRPr="004941C7"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t xml:space="preserve">demonstrate secure subject and pedagogic knowledge and understanding of the key ideas that underpin primary </w:t>
            </w:r>
            <w:proofErr w:type="gramStart"/>
            <w:r w:rsidRPr="004941C7"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t>mathematics;</w:t>
            </w:r>
            <w:proofErr w:type="gramEnd"/>
          </w:p>
          <w:p w14:paraId="202AAC0A" w14:textId="419B0CFB" w:rsidR="004941C7" w:rsidRPr="004941C7" w:rsidRDefault="004941C7" w:rsidP="004941C7">
            <w:pPr>
              <w:numPr>
                <w:ilvl w:val="0"/>
                <w:numId w:val="1"/>
              </w:numP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  <w:r w:rsidRPr="004941C7"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t>be confident in the use of appropriate classroom strategies and resources, including ICT, and understand the contribution that support staff make to the teaching and learning of primary mathematics;</w:t>
            </w:r>
          </w:p>
        </w:tc>
        <w:tc>
          <w:tcPr>
            <w:tcW w:w="3467" w:type="dxa"/>
          </w:tcPr>
          <w:p w14:paraId="3ECA0A55" w14:textId="0FB55F90" w:rsidR="00612064" w:rsidRDefault="007324F1" w:rsidP="00612064">
            <w:pPr>
              <w:numPr>
                <w:ilvl w:val="0"/>
                <w:numId w:val="1"/>
              </w:numP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  <w:hyperlink r:id="rId9" w:history="1">
              <w:r w:rsidR="00612064" w:rsidRPr="00612064">
                <w:rPr>
                  <w:rStyle w:val="Hyperlink"/>
                  <w:rFonts w:ascii="Century Gothic" w:eastAsiaTheme="majorEastAsia" w:hAnsi="Century Gothic" w:cstheme="majorBidi"/>
                  <w:sz w:val="20"/>
                  <w:szCs w:val="20"/>
                </w:rPr>
                <w:t>https://educationendowmentfoundation.org.uk/education-evidence/guidance-reports/early-maths</w:t>
              </w:r>
            </w:hyperlink>
          </w:p>
          <w:p w14:paraId="0A2189DE" w14:textId="6394920C" w:rsidR="008509E3" w:rsidRDefault="007324F1" w:rsidP="008509E3">
            <w:pPr>
              <w:numPr>
                <w:ilvl w:val="0"/>
                <w:numId w:val="1"/>
              </w:numP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  <w:hyperlink r:id="rId10" w:history="1">
              <w:r w:rsidR="008509E3" w:rsidRPr="008509E3">
                <w:rPr>
                  <w:rStyle w:val="Hyperlink"/>
                  <w:rFonts w:ascii="Century Gothic" w:eastAsiaTheme="majorEastAsia" w:hAnsi="Century Gothic" w:cstheme="majorBidi"/>
                  <w:sz w:val="20"/>
                  <w:szCs w:val="20"/>
                </w:rPr>
                <w:t>https://www.ncetm.org.uk/teaching-for-mastery/mastery-explained/five-big-ideas-in-teaching-for-mastery/</w:t>
              </w:r>
            </w:hyperlink>
          </w:p>
          <w:p w14:paraId="2016CAAF" w14:textId="657F5B5A" w:rsidR="00612064" w:rsidRPr="008509E3" w:rsidRDefault="007324F1" w:rsidP="008509E3">
            <w:pPr>
              <w:numPr>
                <w:ilvl w:val="0"/>
                <w:numId w:val="1"/>
              </w:numP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  <w:hyperlink r:id="rId11" w:history="1">
              <w:r w:rsidR="008509E3" w:rsidRPr="008509E3">
                <w:rPr>
                  <w:rStyle w:val="Hyperlink"/>
                  <w:rFonts w:ascii="Century Gothic" w:eastAsiaTheme="majorEastAsia" w:hAnsi="Century Gothic" w:cstheme="majorBidi"/>
                  <w:sz w:val="20"/>
                  <w:szCs w:val="20"/>
                </w:rPr>
                <w:t>https://www.ncetm.org.uk/features/representations-in-our-primary-video-lessons</w:t>
              </w:r>
              <w:r w:rsidR="008509E3" w:rsidRPr="00423402">
                <w:rPr>
                  <w:rStyle w:val="Hyperlink"/>
                  <w:rFonts w:ascii="Century Gothic" w:eastAsiaTheme="majorEastAsia" w:hAnsi="Century Gothic" w:cstheme="majorBidi"/>
                  <w:sz w:val="20"/>
                  <w:szCs w:val="20"/>
                </w:rPr>
                <w:t>/</w:t>
              </w:r>
            </w:hyperlink>
          </w:p>
        </w:tc>
      </w:tr>
    </w:tbl>
    <w:p w14:paraId="240068B2" w14:textId="77777777" w:rsidR="00C03F25" w:rsidRDefault="00C03F25"/>
    <w:sectPr w:rsidR="00C03F25" w:rsidSect="00626D7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D73A7" w14:textId="77777777" w:rsidR="007324F1" w:rsidRDefault="007324F1" w:rsidP="00626D77">
      <w:pPr>
        <w:spacing w:after="0" w:line="240" w:lineRule="auto"/>
      </w:pPr>
      <w:r>
        <w:separator/>
      </w:r>
    </w:p>
  </w:endnote>
  <w:endnote w:type="continuationSeparator" w:id="0">
    <w:p w14:paraId="3FFD46D4" w14:textId="77777777" w:rsidR="007324F1" w:rsidRDefault="007324F1" w:rsidP="00626D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22D55" w14:textId="77777777" w:rsidR="00A079E7" w:rsidRDefault="00A079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6019B" w14:textId="77777777" w:rsidR="00A079E7" w:rsidRDefault="00A079E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99FB9" w14:textId="77777777" w:rsidR="00A079E7" w:rsidRDefault="00A079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7E256" w14:textId="77777777" w:rsidR="007324F1" w:rsidRDefault="007324F1" w:rsidP="00626D77">
      <w:pPr>
        <w:spacing w:after="0" w:line="240" w:lineRule="auto"/>
      </w:pPr>
      <w:r>
        <w:separator/>
      </w:r>
    </w:p>
  </w:footnote>
  <w:footnote w:type="continuationSeparator" w:id="0">
    <w:p w14:paraId="58072A27" w14:textId="77777777" w:rsidR="007324F1" w:rsidRDefault="007324F1" w:rsidP="00626D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CB267" w14:textId="77777777" w:rsidR="00A079E7" w:rsidRDefault="00A079E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55969" w14:textId="44812B1C" w:rsidR="00626D77" w:rsidRPr="0075009E" w:rsidRDefault="006E5BCC" w:rsidP="00626D77">
    <w:pPr>
      <w:pStyle w:val="Header"/>
      <w:jc w:val="center"/>
      <w:rPr>
        <w:rFonts w:ascii="Century Gothic" w:hAnsi="Century Gothic"/>
        <w:b/>
        <w:bCs/>
        <w:color w:val="7030A0"/>
        <w:sz w:val="32"/>
        <w:szCs w:val="32"/>
      </w:rPr>
    </w:pPr>
    <w:r w:rsidRPr="006E5BCC">
      <w:rPr>
        <w:rFonts w:ascii="Century Gothic" w:hAnsi="Century Gothic"/>
        <w:b/>
        <w:bCs/>
        <w:noProof/>
        <w:color w:val="7030A0"/>
        <w:sz w:val="32"/>
        <w:szCs w:val="32"/>
      </w:rPr>
      <w:drawing>
        <wp:anchor distT="0" distB="0" distL="114300" distR="114300" simplePos="0" relativeHeight="251658240" behindDoc="1" locked="0" layoutInCell="1" allowOverlap="1" wp14:anchorId="6CD80CA9" wp14:editId="22435AFB">
          <wp:simplePos x="0" y="0"/>
          <wp:positionH relativeFrom="column">
            <wp:posOffset>8252460</wp:posOffset>
          </wp:positionH>
          <wp:positionV relativeFrom="paragraph">
            <wp:posOffset>-266700</wp:posOffset>
          </wp:positionV>
          <wp:extent cx="1318260" cy="972185"/>
          <wp:effectExtent l="0" t="0" r="0" b="0"/>
          <wp:wrapTight wrapText="bothSides">
            <wp:wrapPolygon edited="0">
              <wp:start x="0" y="0"/>
              <wp:lineTo x="0" y="21163"/>
              <wp:lineTo x="21225" y="21163"/>
              <wp:lineTo x="21225" y="0"/>
              <wp:lineTo x="0" y="0"/>
            </wp:wrapPolygon>
          </wp:wrapTight>
          <wp:docPr id="1" name="Picture 1" descr="A picture containing polyg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polyg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8260" cy="9721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82131">
      <w:rPr>
        <w:rFonts w:ascii="Century Gothic" w:hAnsi="Century Gothic"/>
        <w:b/>
        <w:bCs/>
        <w:noProof/>
        <w:color w:val="7030A0"/>
        <w:sz w:val="32"/>
        <w:szCs w:val="32"/>
      </w:rPr>
      <w:t>Maths Curriculum: semester</w:t>
    </w:r>
    <w:r w:rsidR="00626D77" w:rsidRPr="0075009E">
      <w:rPr>
        <w:rFonts w:ascii="Century Gothic" w:hAnsi="Century Gothic"/>
        <w:b/>
        <w:bCs/>
        <w:color w:val="7030A0"/>
        <w:sz w:val="32"/>
        <w:szCs w:val="32"/>
      </w:rPr>
      <w:t xml:space="preserve"> 1 session</w:t>
    </w:r>
    <w:r w:rsidR="004941C7">
      <w:rPr>
        <w:rFonts w:ascii="Century Gothic" w:hAnsi="Century Gothic"/>
        <w:b/>
        <w:bCs/>
        <w:color w:val="7030A0"/>
        <w:sz w:val="32"/>
        <w:szCs w:val="32"/>
      </w:rPr>
      <w:t xml:space="preserve">s 1 &amp; 2 </w:t>
    </w:r>
    <w:r>
      <w:rPr>
        <w:rFonts w:ascii="Century Gothic" w:hAnsi="Century Gothic"/>
        <w:b/>
        <w:bCs/>
        <w:color w:val="7030A0"/>
        <w:sz w:val="32"/>
        <w:szCs w:val="32"/>
      </w:rPr>
      <w:t xml:space="preserve">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63A60" w14:textId="77777777" w:rsidR="00A079E7" w:rsidRDefault="00A079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8331B"/>
    <w:multiLevelType w:val="hybridMultilevel"/>
    <w:tmpl w:val="48D6CDD6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7C7422"/>
    <w:multiLevelType w:val="hybridMultilevel"/>
    <w:tmpl w:val="57A6CF66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DEA55DB"/>
    <w:multiLevelType w:val="hybridMultilevel"/>
    <w:tmpl w:val="D7F46CB0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8816410">
    <w:abstractNumId w:val="1"/>
  </w:num>
  <w:num w:numId="2" w16cid:durableId="460538998">
    <w:abstractNumId w:val="0"/>
  </w:num>
  <w:num w:numId="3" w16cid:durableId="3951294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D77"/>
    <w:rsid w:val="00044D91"/>
    <w:rsid w:val="000D64BD"/>
    <w:rsid w:val="00143F85"/>
    <w:rsid w:val="0026714A"/>
    <w:rsid w:val="00347046"/>
    <w:rsid w:val="00447749"/>
    <w:rsid w:val="004941C7"/>
    <w:rsid w:val="004F776D"/>
    <w:rsid w:val="005201DA"/>
    <w:rsid w:val="00522768"/>
    <w:rsid w:val="00582131"/>
    <w:rsid w:val="00596BB7"/>
    <w:rsid w:val="005C78ED"/>
    <w:rsid w:val="00612064"/>
    <w:rsid w:val="00626D77"/>
    <w:rsid w:val="00683795"/>
    <w:rsid w:val="006E5BCC"/>
    <w:rsid w:val="007324F1"/>
    <w:rsid w:val="0075009E"/>
    <w:rsid w:val="008509E3"/>
    <w:rsid w:val="00873703"/>
    <w:rsid w:val="008D56AC"/>
    <w:rsid w:val="00A079E7"/>
    <w:rsid w:val="00AE5EFB"/>
    <w:rsid w:val="00B77FBF"/>
    <w:rsid w:val="00C03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436185"/>
  <w15:chartTrackingRefBased/>
  <w15:docId w15:val="{59A24915-723C-4F14-8B40-3D82ED47D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6D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6D77"/>
  </w:style>
  <w:style w:type="paragraph" w:styleId="Footer">
    <w:name w:val="footer"/>
    <w:basedOn w:val="Normal"/>
    <w:link w:val="FooterChar"/>
    <w:uiPriority w:val="99"/>
    <w:unhideWhenUsed/>
    <w:rsid w:val="00626D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D77"/>
  </w:style>
  <w:style w:type="table" w:styleId="TableGrid">
    <w:name w:val="Table Grid"/>
    <w:basedOn w:val="TableNormal"/>
    <w:uiPriority w:val="39"/>
    <w:rsid w:val="00626D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26D7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26D77"/>
    <w:pPr>
      <w:spacing w:after="0" w:line="240" w:lineRule="auto"/>
      <w:ind w:left="720"/>
      <w:contextualSpacing/>
    </w:pPr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AE5E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00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cubed.org/wp-content/uploads/2017/09/Fluency-Without-Fear-1.28.15.pdf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ncetm.org.uk/teaching-for-mastery/mastery-explained/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ncetm.org.uk/features/representations-in-our-primary-video-lessons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ncetm.org.uk/teaching-for-mastery/mastery-explained/five-big-ideas-in-teaching-for-master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educationendowmentfoundation.org.uk/education-evidence/guidance-reports/early-maths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804</Words>
  <Characters>4588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Jayson</dc:creator>
  <cp:keywords/>
  <dc:description/>
  <cp:lastModifiedBy>Matthew Woodward</cp:lastModifiedBy>
  <cp:revision>2</cp:revision>
  <dcterms:created xsi:type="dcterms:W3CDTF">2022-10-19T09:13:00Z</dcterms:created>
  <dcterms:modified xsi:type="dcterms:W3CDTF">2022-10-19T09:13:00Z</dcterms:modified>
</cp:coreProperties>
</file>