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11852" w14:textId="51A4C97F" w:rsidR="00437A42" w:rsidRPr="00437A42" w:rsidRDefault="00437A42" w:rsidP="0065376B">
      <w:pPr>
        <w:pStyle w:val="Heading1"/>
        <w:rPr>
          <w:sz w:val="18"/>
        </w:rPr>
      </w:pPr>
      <w:r w:rsidRPr="00437A42">
        <w:rPr>
          <w:noProof/>
          <w:lang w:eastAsia="en-GB"/>
        </w:rPr>
        <w:drawing>
          <wp:anchor distT="0" distB="0" distL="114300" distR="114300" simplePos="0" relativeHeight="251660288" behindDoc="1" locked="0" layoutInCell="1" allowOverlap="1" wp14:anchorId="0A2B7279" wp14:editId="682F74BB">
            <wp:simplePos x="0" y="0"/>
            <wp:positionH relativeFrom="margin">
              <wp:posOffset>4449140</wp:posOffset>
            </wp:positionH>
            <wp:positionV relativeFrom="margin">
              <wp:posOffset>-541020</wp:posOffset>
            </wp:positionV>
            <wp:extent cx="1252220" cy="695960"/>
            <wp:effectExtent l="0" t="0" r="5080" b="8890"/>
            <wp:wrapTight wrapText="bothSides">
              <wp:wrapPolygon edited="0">
                <wp:start x="0" y="0"/>
                <wp:lineTo x="0" y="15964"/>
                <wp:lineTo x="329" y="21285"/>
                <wp:lineTo x="14130" y="21285"/>
                <wp:lineTo x="14787" y="19511"/>
                <wp:lineTo x="14458" y="11234"/>
                <wp:lineTo x="21359" y="7686"/>
                <wp:lineTo x="21359" y="2956"/>
                <wp:lineTo x="20045" y="0"/>
                <wp:lineTo x="0" y="0"/>
              </wp:wrapPolygon>
            </wp:wrapTight>
            <wp:docPr id="3" name="Picture 3" descr="C:\Users\mtessdg4\AppData\Local\Microsoft\Windows\INetCache\Content.Word\Turing Scheme Logo-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essdg4\AppData\Local\Microsoft\Windows\INetCache\Content.Word\Turing Scheme Logo-smal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2220" cy="695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7A42">
        <w:rPr>
          <w:noProof/>
          <w:lang w:eastAsia="en-GB"/>
        </w:rPr>
        <w:drawing>
          <wp:anchor distT="0" distB="0" distL="114300" distR="114300" simplePos="0" relativeHeight="251659264" behindDoc="1" locked="0" layoutInCell="1" allowOverlap="1" wp14:anchorId="019CEA2E" wp14:editId="2D6FDA4A">
            <wp:simplePos x="0" y="0"/>
            <wp:positionH relativeFrom="margin">
              <wp:posOffset>940</wp:posOffset>
            </wp:positionH>
            <wp:positionV relativeFrom="paragraph">
              <wp:posOffset>-511810</wp:posOffset>
            </wp:positionV>
            <wp:extent cx="1581150" cy="666750"/>
            <wp:effectExtent l="0" t="0" r="0" b="0"/>
            <wp:wrapNone/>
            <wp:docPr id="9" name="Picture 1"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col_white_background"/>
                    <pic:cNvPicPr>
                      <a:picLocks noChangeAspect="1" noChangeArrowheads="1"/>
                    </pic:cNvPicPr>
                  </pic:nvPicPr>
                  <pic:blipFill>
                    <a:blip r:embed="rId12"/>
                    <a:srcRect/>
                    <a:stretch>
                      <a:fillRect/>
                    </a:stretch>
                  </pic:blipFill>
                  <pic:spPr bwMode="auto">
                    <a:xfrm>
                      <a:off x="0" y="0"/>
                      <a:ext cx="1581150" cy="666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7C14249" w14:textId="25ABFA0F" w:rsidR="0006141F" w:rsidRPr="00630C03" w:rsidRDefault="00630C03" w:rsidP="0065376B">
      <w:pPr>
        <w:pStyle w:val="Heading1"/>
      </w:pPr>
      <w:r w:rsidRPr="00630C03">
        <w:t xml:space="preserve">Turing PGR Placements </w:t>
      </w:r>
      <w:r w:rsidR="008F4ABA">
        <w:t xml:space="preserve">Guidance </w:t>
      </w:r>
    </w:p>
    <w:p w14:paraId="7F8F9D0C" w14:textId="77777777" w:rsidR="0065376B" w:rsidRPr="00437A42" w:rsidRDefault="0065376B" w:rsidP="0065376B">
      <w:pPr>
        <w:pStyle w:val="Heading2"/>
        <w:rPr>
          <w:sz w:val="12"/>
        </w:rPr>
      </w:pPr>
    </w:p>
    <w:p w14:paraId="6D552094" w14:textId="6499E914" w:rsidR="00630C03" w:rsidRDefault="002A02F8" w:rsidP="0065376B">
      <w:pPr>
        <w:pStyle w:val="Heading2"/>
      </w:pPr>
      <w:r>
        <w:t xml:space="preserve">Overview </w:t>
      </w:r>
    </w:p>
    <w:p w14:paraId="57779680" w14:textId="183623BA" w:rsidR="00361A3C" w:rsidRDefault="00D852E2" w:rsidP="00B834C2">
      <w:r>
        <w:t>T</w:t>
      </w:r>
      <w:r w:rsidRPr="00D852E2">
        <w:t xml:space="preserve">he Turing Scheme is the UK Government's new global programme for studying and working abroad, providing students in the UK with funding to support international education opportunities </w:t>
      </w:r>
      <w:r w:rsidR="00A74732">
        <w:t>worldwide</w:t>
      </w:r>
      <w:r w:rsidRPr="00D852E2">
        <w:t>.</w:t>
      </w:r>
      <w:r>
        <w:t xml:space="preserve"> It </w:t>
      </w:r>
      <w:r w:rsidR="00361A3C" w:rsidRPr="00361A3C">
        <w:t>replaces the UK’s participation in the</w:t>
      </w:r>
      <w:r>
        <w:t xml:space="preserve"> Europe-wide Erasmus+ programme. </w:t>
      </w:r>
    </w:p>
    <w:p w14:paraId="43FD56A2" w14:textId="1CD87BE1" w:rsidR="00CD6208" w:rsidRDefault="0098207A" w:rsidP="00B834C2">
      <w:r>
        <w:t>One strand of t</w:t>
      </w:r>
      <w:r w:rsidR="002A02F8">
        <w:t xml:space="preserve">he scheme supports research placements for </w:t>
      </w:r>
      <w:r w:rsidR="00B036F3">
        <w:t>postgraduate researchers (PGRs)</w:t>
      </w:r>
      <w:r w:rsidR="002A02F8">
        <w:t xml:space="preserve"> at international partner universities and research institutes. </w:t>
      </w:r>
      <w:r w:rsidR="00B036F3">
        <w:t>PGRs</w:t>
      </w:r>
      <w:r w:rsidR="000D0E23">
        <w:t>,</w:t>
      </w:r>
      <w:r w:rsidR="000D0E23" w:rsidRPr="000D0E23">
        <w:t xml:space="preserve"> </w:t>
      </w:r>
      <w:r w:rsidR="000D0E23">
        <w:t>in any academic discipline,</w:t>
      </w:r>
      <w:r w:rsidR="002A02F8">
        <w:t xml:space="preserve"> will receive a grant to conduct a research </w:t>
      </w:r>
      <w:r w:rsidR="00B036F3">
        <w:t xml:space="preserve">placement </w:t>
      </w:r>
      <w:r w:rsidR="00930D5B">
        <w:t xml:space="preserve">as an integrated part of their </w:t>
      </w:r>
      <w:r w:rsidR="00B036F3">
        <w:t xml:space="preserve">existing </w:t>
      </w:r>
      <w:r w:rsidR="00930D5B">
        <w:t>programme</w:t>
      </w:r>
      <w:r w:rsidR="00372D6E">
        <w:t>.</w:t>
      </w:r>
      <w:r w:rsidR="002A02F8">
        <w:t xml:space="preserve"> </w:t>
      </w:r>
      <w:r w:rsidR="00CD6208" w:rsidRPr="00CD6208">
        <w:t xml:space="preserve">A placement can run for a </w:t>
      </w:r>
      <w:r w:rsidR="00CD6208" w:rsidRPr="005B3655">
        <w:t xml:space="preserve">minimum of four weeks up to a maximum of </w:t>
      </w:r>
      <w:r w:rsidR="005B3655">
        <w:t>4</w:t>
      </w:r>
      <w:r w:rsidR="00CD6208" w:rsidRPr="005B3655">
        <w:t xml:space="preserve"> months.</w:t>
      </w:r>
      <w:r w:rsidR="00CD6208">
        <w:t xml:space="preserve"> </w:t>
      </w:r>
    </w:p>
    <w:p w14:paraId="0C13BED3" w14:textId="2DBF9887" w:rsidR="00E079D2" w:rsidRDefault="005F5933" w:rsidP="00B834C2">
      <w:r w:rsidRPr="005F5933">
        <w:t xml:space="preserve">The aim of the </w:t>
      </w:r>
      <w:r w:rsidR="002A02F8">
        <w:t xml:space="preserve">placement </w:t>
      </w:r>
      <w:r>
        <w:t xml:space="preserve">is </w:t>
      </w:r>
      <w:r w:rsidRPr="005F5933">
        <w:t xml:space="preserve">to </w:t>
      </w:r>
      <w:r w:rsidR="00E079D2">
        <w:t xml:space="preserve">add value to </w:t>
      </w:r>
      <w:r w:rsidR="00E45EDE">
        <w:t xml:space="preserve">a </w:t>
      </w:r>
      <w:r w:rsidR="00B036F3">
        <w:t xml:space="preserve">PGR’s </w:t>
      </w:r>
      <w:r w:rsidR="00E45EDE">
        <w:t xml:space="preserve">existing </w:t>
      </w:r>
      <w:r w:rsidR="008F4ABA">
        <w:t xml:space="preserve">doctoral </w:t>
      </w:r>
      <w:r w:rsidR="00EE15D3">
        <w:t xml:space="preserve">programme </w:t>
      </w:r>
      <w:r w:rsidR="00E079D2">
        <w:t xml:space="preserve">through exposure to a different </w:t>
      </w:r>
      <w:r w:rsidR="00E079D2" w:rsidRPr="005F5933">
        <w:t>research environment</w:t>
      </w:r>
      <w:r w:rsidR="00EE15D3">
        <w:t xml:space="preserve"> and </w:t>
      </w:r>
      <w:r w:rsidR="00E079D2" w:rsidRPr="00C80A61">
        <w:t xml:space="preserve">access </w:t>
      </w:r>
      <w:r w:rsidR="00E079D2">
        <w:t>to</w:t>
      </w:r>
      <w:r w:rsidR="00E079D2" w:rsidRPr="00C80A61">
        <w:t xml:space="preserve"> complementary facilities</w:t>
      </w:r>
      <w:r w:rsidR="00EE15D3">
        <w:t xml:space="preserve"> and </w:t>
      </w:r>
      <w:r w:rsidR="00E079D2" w:rsidRPr="00C80A61">
        <w:t>expertise</w:t>
      </w:r>
      <w:r w:rsidR="00E079D2">
        <w:t xml:space="preserve">. The </w:t>
      </w:r>
      <w:r w:rsidR="00EE15D3">
        <w:t>scheme</w:t>
      </w:r>
      <w:r w:rsidR="00E079D2">
        <w:t xml:space="preserve"> will provide </w:t>
      </w:r>
      <w:r w:rsidR="00B036F3">
        <w:t xml:space="preserve">PGRs </w:t>
      </w:r>
      <w:r w:rsidR="00E079D2">
        <w:t xml:space="preserve">with </w:t>
      </w:r>
      <w:r w:rsidR="00E079D2">
        <w:rPr>
          <w:rFonts w:cs="Arial"/>
        </w:rPr>
        <w:t>a global perspective</w:t>
      </w:r>
      <w:r w:rsidR="00EE15D3">
        <w:rPr>
          <w:rFonts w:cs="Arial"/>
        </w:rPr>
        <w:t xml:space="preserve">, improve their </w:t>
      </w:r>
      <w:r w:rsidR="00E079D2" w:rsidRPr="00C80A61">
        <w:t>inter</w:t>
      </w:r>
      <w:r w:rsidR="0065376B">
        <w:t>cultural communication skills</w:t>
      </w:r>
      <w:r w:rsidR="001C7826">
        <w:t>, expand their academic network,</w:t>
      </w:r>
      <w:r w:rsidR="0065376B">
        <w:t xml:space="preserve"> </w:t>
      </w:r>
      <w:r w:rsidR="00E079D2" w:rsidRPr="00C80A61">
        <w:t xml:space="preserve">and </w:t>
      </w:r>
      <w:r w:rsidR="00E079D2">
        <w:t xml:space="preserve">enhance their </w:t>
      </w:r>
      <w:r w:rsidR="00E079D2" w:rsidRPr="005F5933">
        <w:t>future employability</w:t>
      </w:r>
      <w:r w:rsidR="00E079D2">
        <w:t xml:space="preserve">. </w:t>
      </w:r>
    </w:p>
    <w:p w14:paraId="7ACFF9E1" w14:textId="01765CD6" w:rsidR="00E079D2" w:rsidRDefault="00BA2ACC" w:rsidP="00BA2ACC">
      <w:pPr>
        <w:pStyle w:val="Heading2"/>
      </w:pPr>
      <w:r>
        <w:t>Placements</w:t>
      </w:r>
    </w:p>
    <w:p w14:paraId="5D1D1464" w14:textId="4E8EE791" w:rsidR="00E45EDE" w:rsidRDefault="00930D5B" w:rsidP="00E45EDE">
      <w:r>
        <w:t xml:space="preserve">The placement must have clear aims and objectives and specific </w:t>
      </w:r>
      <w:r w:rsidRPr="002E3C31">
        <w:t xml:space="preserve">outcomes </w:t>
      </w:r>
      <w:r w:rsidR="00E45EDE" w:rsidRPr="002E3C31">
        <w:t>e.g. research paper, thesis chapter, research report</w:t>
      </w:r>
      <w:r w:rsidR="00E45EDE">
        <w:t xml:space="preserve"> or development of specialist research skills. </w:t>
      </w:r>
    </w:p>
    <w:p w14:paraId="5B5686B5" w14:textId="2EF28464" w:rsidR="00E17535" w:rsidRDefault="00B61895" w:rsidP="00E45EDE">
      <w:r>
        <w:t xml:space="preserve">The scheme is </w:t>
      </w:r>
      <w:r w:rsidR="00E17535">
        <w:t>not designed to cover fieldwork expenses</w:t>
      </w:r>
      <w:r w:rsidR="0081709B">
        <w:t xml:space="preserve"> or attendance at international conferences</w:t>
      </w:r>
      <w:r w:rsidR="00E17535">
        <w:t xml:space="preserve">. There is a separate application process for fieldwork and </w:t>
      </w:r>
      <w:r w:rsidR="00B036F3">
        <w:t xml:space="preserve">PGRs </w:t>
      </w:r>
      <w:r w:rsidR="00E17535">
        <w:t>should consult the</w:t>
      </w:r>
      <w:r w:rsidR="00B036F3">
        <w:t>ir</w:t>
      </w:r>
      <w:r w:rsidR="00E17535">
        <w:t xml:space="preserve"> </w:t>
      </w:r>
      <w:r w:rsidR="00B036F3">
        <w:t xml:space="preserve">local </w:t>
      </w:r>
      <w:r w:rsidR="00E17535">
        <w:t xml:space="preserve">PGR </w:t>
      </w:r>
      <w:r w:rsidR="00B036F3">
        <w:t xml:space="preserve">support </w:t>
      </w:r>
      <w:r w:rsidR="00E17535">
        <w:t xml:space="preserve">team for more details. However, it is recognised that in some circumstances an element of fieldwork might be undertaken during the course of the placement. If this is the case, the </w:t>
      </w:r>
      <w:r w:rsidR="00B036F3">
        <w:t xml:space="preserve">PGR </w:t>
      </w:r>
      <w:r w:rsidR="00E17535">
        <w:t xml:space="preserve">should provide a clear </w:t>
      </w:r>
      <w:r w:rsidR="005D332E">
        <w:t>explanation</w:t>
      </w:r>
      <w:r w:rsidR="00E17535">
        <w:t xml:space="preserve"> in the application. </w:t>
      </w:r>
    </w:p>
    <w:p w14:paraId="119668F4" w14:textId="4C306874" w:rsidR="00E079D2" w:rsidRDefault="00E079D2" w:rsidP="00BA2ACC">
      <w:pPr>
        <w:pStyle w:val="Heading2"/>
      </w:pPr>
      <w:r w:rsidRPr="005B3655">
        <w:t>Funding</w:t>
      </w:r>
      <w:r>
        <w:t xml:space="preserve"> </w:t>
      </w:r>
    </w:p>
    <w:p w14:paraId="2DFD5D71" w14:textId="0C818880" w:rsidR="004C2874" w:rsidRDefault="00D82C9A" w:rsidP="004C2874">
      <w:r>
        <w:t xml:space="preserve">We </w:t>
      </w:r>
      <w:r w:rsidR="004C2874">
        <w:t xml:space="preserve">expect to be able to support </w:t>
      </w:r>
      <w:r w:rsidR="00E35138">
        <w:t>between</w:t>
      </w:r>
      <w:r w:rsidR="00224B96">
        <w:t xml:space="preserve"> </w:t>
      </w:r>
      <w:r w:rsidR="00E35138" w:rsidRPr="005B3655">
        <w:t>20-30</w:t>
      </w:r>
      <w:r w:rsidRPr="005B3655">
        <w:t xml:space="preserve"> placements in 2022</w:t>
      </w:r>
      <w:r w:rsidR="005C0114">
        <w:t>/2023</w:t>
      </w:r>
      <w:r>
        <w:t xml:space="preserve"> although the exact</w:t>
      </w:r>
      <w:r w:rsidR="001C7826">
        <w:t xml:space="preserve"> number will depend on </w:t>
      </w:r>
      <w:r w:rsidR="00573F0C">
        <w:t xml:space="preserve">the nature and strength of applications received. </w:t>
      </w:r>
      <w:r w:rsidR="004B6A03">
        <w:t xml:space="preserve">Please note that </w:t>
      </w:r>
      <w:r w:rsidR="006109F5">
        <w:t xml:space="preserve">the University is still awaiting the outcome of its bid for this round </w:t>
      </w:r>
      <w:r w:rsidR="006E3693">
        <w:t xml:space="preserve">of </w:t>
      </w:r>
      <w:r w:rsidR="006109F5">
        <w:t xml:space="preserve">Turing funds </w:t>
      </w:r>
      <w:r w:rsidR="006E3693">
        <w:t>and the number of awards made</w:t>
      </w:r>
      <w:r w:rsidR="006109F5">
        <w:t xml:space="preserve"> available </w:t>
      </w:r>
      <w:r w:rsidR="006E3693">
        <w:t>may be impacted by this</w:t>
      </w:r>
      <w:r w:rsidR="006109F5">
        <w:t xml:space="preserve">. </w:t>
      </w:r>
    </w:p>
    <w:p w14:paraId="59AEA8FB" w14:textId="0D1B01A2" w:rsidR="004C2874" w:rsidRPr="00D82C9A" w:rsidRDefault="004C2874" w:rsidP="004C2874">
      <w:r>
        <w:t xml:space="preserve">Funding is </w:t>
      </w:r>
      <w:r w:rsidRPr="00CD6208">
        <w:t xml:space="preserve">available </w:t>
      </w:r>
      <w:r>
        <w:t xml:space="preserve">for placements </w:t>
      </w:r>
      <w:r w:rsidRPr="00CD6208">
        <w:t>starting from </w:t>
      </w:r>
      <w:r w:rsidR="005C0114">
        <w:rPr>
          <w:bCs/>
        </w:rPr>
        <w:t>1st September</w:t>
      </w:r>
      <w:r w:rsidRPr="00D82C9A">
        <w:rPr>
          <w:bCs/>
        </w:rPr>
        <w:t xml:space="preserve"> 2022. Placements must end before 31</w:t>
      </w:r>
      <w:r w:rsidRPr="00D82C9A">
        <w:rPr>
          <w:bCs/>
          <w:vertAlign w:val="superscript"/>
        </w:rPr>
        <w:t xml:space="preserve">st </w:t>
      </w:r>
      <w:r w:rsidR="005C0114">
        <w:rPr>
          <w:bCs/>
        </w:rPr>
        <w:t>August 2023</w:t>
      </w:r>
      <w:r w:rsidRPr="00D82C9A">
        <w:t>.</w:t>
      </w:r>
    </w:p>
    <w:p w14:paraId="7B266E02" w14:textId="4E47E058" w:rsidR="00057EE7" w:rsidRDefault="00CD6208" w:rsidP="00ED26A9">
      <w:r>
        <w:lastRenderedPageBreak/>
        <w:t xml:space="preserve">Participants will receive a grant which is intended to </w:t>
      </w:r>
      <w:r w:rsidR="005C0114">
        <w:t>provide a top-up contribution towards</w:t>
      </w:r>
      <w:r w:rsidR="004C2874">
        <w:t xml:space="preserve"> </w:t>
      </w:r>
      <w:r>
        <w:t xml:space="preserve">their </w:t>
      </w:r>
      <w:r w:rsidRPr="00CD6208">
        <w:t>general living costs for the</w:t>
      </w:r>
      <w:r w:rsidR="00311892">
        <w:t xml:space="preserve"> period of time spent </w:t>
      </w:r>
      <w:r w:rsidRPr="00CD6208">
        <w:t>abroad</w:t>
      </w:r>
      <w:r w:rsidR="00311892">
        <w:t xml:space="preserve"> on placement</w:t>
      </w:r>
      <w:r>
        <w:t xml:space="preserve">.  </w:t>
      </w:r>
      <w:r w:rsidR="00057EE7">
        <w:t>The grant can be used to pay for accommodation, meals, local transport and other necessary living costs. There is no separate payment for international flights</w:t>
      </w:r>
      <w:r w:rsidR="005B3655">
        <w:t xml:space="preserve">, </w:t>
      </w:r>
      <w:r w:rsidR="00927216">
        <w:t xml:space="preserve">and participants will have to pay for the costs of international flights, visas and Covid tests (if necessary) from other sources e.g.  Research Training Support Grant (RTSG) or </w:t>
      </w:r>
      <w:r w:rsidR="005B3655">
        <w:t>the research group</w:t>
      </w:r>
      <w:r w:rsidR="0019583E">
        <w:t xml:space="preserve">. </w:t>
      </w:r>
      <w:r w:rsidR="005B3655">
        <w:t xml:space="preserve"> </w:t>
      </w:r>
    </w:p>
    <w:p w14:paraId="721A9AEA" w14:textId="6C2795CD" w:rsidR="005825EA" w:rsidRDefault="00057EE7" w:rsidP="00ED26A9">
      <w:pPr>
        <w:rPr>
          <w:rFonts w:ascii="Calibri" w:hAnsi="Calibri" w:cs="Calibri"/>
        </w:rPr>
      </w:pPr>
      <w:r>
        <w:t xml:space="preserve"> </w:t>
      </w:r>
      <w:r w:rsidR="004C2874">
        <w:t>The a</w:t>
      </w:r>
      <w:r w:rsidR="00ED26A9">
        <w:rPr>
          <w:bCs/>
        </w:rPr>
        <w:t xml:space="preserve">mount payable </w:t>
      </w:r>
      <w:r w:rsidR="00ED26A9" w:rsidRPr="00ED26A9">
        <w:rPr>
          <w:bCs/>
        </w:rPr>
        <w:t xml:space="preserve">will vary </w:t>
      </w:r>
      <w:r w:rsidR="004C2874">
        <w:rPr>
          <w:bCs/>
        </w:rPr>
        <w:t xml:space="preserve">and will depend on the </w:t>
      </w:r>
      <w:r w:rsidR="00B03A0D">
        <w:rPr>
          <w:bCs/>
        </w:rPr>
        <w:t>duration of the placement and the destination country. C</w:t>
      </w:r>
      <w:r w:rsidR="00ED26A9">
        <w:rPr>
          <w:bCs/>
        </w:rPr>
        <w:t>ountries</w:t>
      </w:r>
      <w:r w:rsidR="00ED26A9" w:rsidRPr="00ED26A9">
        <w:rPr>
          <w:bCs/>
        </w:rPr>
        <w:t xml:space="preserve"> </w:t>
      </w:r>
      <w:r w:rsidR="00ED26A9">
        <w:rPr>
          <w:bCs/>
        </w:rPr>
        <w:t xml:space="preserve">are </w:t>
      </w:r>
      <w:r w:rsidR="00ED26A9" w:rsidRPr="00ED26A9">
        <w:rPr>
          <w:bCs/>
        </w:rPr>
        <w:t>grouped into three categories: Group 1 (high cost of living), Group 2 (medium cost of living),</w:t>
      </w:r>
      <w:r w:rsidR="0019583E">
        <w:rPr>
          <w:bCs/>
        </w:rPr>
        <w:t xml:space="preserve"> Group 3 (lower cost of living) although the rates for G</w:t>
      </w:r>
      <w:r w:rsidR="0019583E">
        <w:rPr>
          <w:rFonts w:ascii="Calibri" w:hAnsi="Calibri" w:cs="Calibri"/>
        </w:rPr>
        <w:t>roup 2 and 3 are the same (this</w:t>
      </w:r>
      <w:r w:rsidR="005C0114">
        <w:rPr>
          <w:rFonts w:ascii="Calibri" w:hAnsi="Calibri" w:cs="Calibri"/>
        </w:rPr>
        <w:t xml:space="preserve"> has been set by the UK government contractor</w:t>
      </w:r>
      <w:r w:rsidR="0019583E">
        <w:rPr>
          <w:rFonts w:ascii="Calibri" w:hAnsi="Calibri" w:cs="Calibri"/>
        </w:rPr>
        <w:t xml:space="preserve"> </w:t>
      </w:r>
      <w:r w:rsidR="005C0114">
        <w:rPr>
          <w:rFonts w:ascii="Calibri" w:hAnsi="Calibri" w:cs="Calibri"/>
        </w:rPr>
        <w:t>managing the scheme</w:t>
      </w:r>
      <w:r w:rsidR="0019583E">
        <w:rPr>
          <w:rFonts w:ascii="Calibri" w:hAnsi="Calibri" w:cs="Calibri"/>
        </w:rPr>
        <w:t xml:space="preserve">). </w:t>
      </w:r>
    </w:p>
    <w:p w14:paraId="2019796F" w14:textId="77777777" w:rsidR="0098207A" w:rsidRDefault="0098207A" w:rsidP="00ED26A9">
      <w:pPr>
        <w:rPr>
          <w:bCs/>
        </w:rPr>
      </w:pPr>
    </w:p>
    <w:p w14:paraId="29CF6963" w14:textId="5CE2566E" w:rsidR="00ED26A9" w:rsidRPr="00ED26A9" w:rsidRDefault="00ED26A9" w:rsidP="00ED26A9">
      <w:pPr>
        <w:rPr>
          <w:bCs/>
        </w:rPr>
      </w:pPr>
      <w:r w:rsidRPr="00ED26A9">
        <w:rPr>
          <w:bCs/>
        </w:rPr>
        <w:t xml:space="preserve">The </w:t>
      </w:r>
      <w:r w:rsidR="00B03A0D">
        <w:rPr>
          <w:bCs/>
        </w:rPr>
        <w:t xml:space="preserve">indicative </w:t>
      </w:r>
      <w:r w:rsidRPr="00ED26A9">
        <w:rPr>
          <w:bCs/>
        </w:rPr>
        <w:t xml:space="preserve">rates </w:t>
      </w:r>
      <w:r w:rsidR="00B03A0D">
        <w:rPr>
          <w:bCs/>
        </w:rPr>
        <w:t xml:space="preserve">are: </w:t>
      </w:r>
    </w:p>
    <w:p w14:paraId="6CAD3CEF" w14:textId="5CBBEE79" w:rsidR="00057EE7" w:rsidRDefault="00ED26A9" w:rsidP="00057EE7">
      <w:pPr>
        <w:rPr>
          <w:bCs/>
        </w:rPr>
      </w:pPr>
      <w:r w:rsidRPr="00ED26A9">
        <w:rPr>
          <w:bCs/>
        </w:rPr>
        <w:t xml:space="preserve">1. </w:t>
      </w:r>
      <w:r w:rsidR="00802003">
        <w:rPr>
          <w:bCs/>
        </w:rPr>
        <w:t>P</w:t>
      </w:r>
      <w:r w:rsidRPr="00ED26A9">
        <w:rPr>
          <w:bCs/>
        </w:rPr>
        <w:t xml:space="preserve">lacements between </w:t>
      </w:r>
      <w:r w:rsidR="00057EE7">
        <w:rPr>
          <w:bCs/>
        </w:rPr>
        <w:t>4 to 8</w:t>
      </w:r>
      <w:r w:rsidRPr="00ED26A9">
        <w:rPr>
          <w:bCs/>
        </w:rPr>
        <w:t xml:space="preserve"> weeks:</w:t>
      </w:r>
    </w:p>
    <w:p w14:paraId="3672DF17" w14:textId="4CE7229E" w:rsidR="00ED26A9" w:rsidRPr="00ED26A9" w:rsidRDefault="00ED26A9" w:rsidP="00057EE7">
      <w:pPr>
        <w:pStyle w:val="NoSpacing"/>
        <w:numPr>
          <w:ilvl w:val="0"/>
          <w:numId w:val="29"/>
        </w:numPr>
      </w:pPr>
      <w:r w:rsidRPr="00ED26A9">
        <w:t>Group 1 destinations: £136 per week</w:t>
      </w:r>
    </w:p>
    <w:p w14:paraId="6FE54766" w14:textId="4636C168" w:rsidR="00ED26A9" w:rsidRPr="00ED26A9" w:rsidRDefault="00ED26A9" w:rsidP="00057EE7">
      <w:pPr>
        <w:pStyle w:val="NoSpacing"/>
        <w:numPr>
          <w:ilvl w:val="0"/>
          <w:numId w:val="29"/>
        </w:numPr>
      </w:pPr>
      <w:r w:rsidRPr="00ED26A9">
        <w:t>Group 2 and 3 destinations: £120 per week</w:t>
      </w:r>
    </w:p>
    <w:p w14:paraId="22AF9C9E" w14:textId="77777777" w:rsidR="00057EE7" w:rsidRDefault="00057EE7" w:rsidP="00ED26A9">
      <w:pPr>
        <w:rPr>
          <w:bCs/>
        </w:rPr>
      </w:pPr>
    </w:p>
    <w:p w14:paraId="49F11049" w14:textId="418CAD74" w:rsidR="00ED26A9" w:rsidRPr="00ED26A9" w:rsidRDefault="00ED26A9" w:rsidP="00ED26A9">
      <w:pPr>
        <w:rPr>
          <w:bCs/>
        </w:rPr>
      </w:pPr>
      <w:r w:rsidRPr="00ED26A9">
        <w:rPr>
          <w:bCs/>
        </w:rPr>
        <w:t xml:space="preserve">2. </w:t>
      </w:r>
      <w:r w:rsidR="00802003">
        <w:rPr>
          <w:bCs/>
        </w:rPr>
        <w:t>P</w:t>
      </w:r>
      <w:r w:rsidRPr="00ED26A9">
        <w:rPr>
          <w:bCs/>
        </w:rPr>
        <w:t xml:space="preserve">lacements </w:t>
      </w:r>
      <w:r w:rsidR="00057EE7">
        <w:rPr>
          <w:bCs/>
        </w:rPr>
        <w:t xml:space="preserve">more than 8 </w:t>
      </w:r>
      <w:r w:rsidRPr="00ED26A9">
        <w:rPr>
          <w:bCs/>
        </w:rPr>
        <w:t>weeks:</w:t>
      </w:r>
    </w:p>
    <w:p w14:paraId="400AA0A7" w14:textId="5A97A0DE" w:rsidR="00ED26A9" w:rsidRPr="00ED26A9" w:rsidRDefault="00ED26A9" w:rsidP="00057EE7">
      <w:pPr>
        <w:pStyle w:val="NoSpacing"/>
        <w:numPr>
          <w:ilvl w:val="0"/>
          <w:numId w:val="28"/>
        </w:numPr>
      </w:pPr>
      <w:r w:rsidRPr="00ED26A9">
        <w:t>Group 1 destinations: £380 per month</w:t>
      </w:r>
    </w:p>
    <w:p w14:paraId="72C2023A" w14:textId="73B4F9C2" w:rsidR="00ED26A9" w:rsidRPr="00ED26A9" w:rsidRDefault="00ED26A9" w:rsidP="00057EE7">
      <w:pPr>
        <w:pStyle w:val="NoSpacing"/>
        <w:numPr>
          <w:ilvl w:val="0"/>
          <w:numId w:val="28"/>
        </w:numPr>
      </w:pPr>
      <w:r w:rsidRPr="00ED26A9">
        <w:t>Group 2 and 3 destinations: £335 per month</w:t>
      </w:r>
    </w:p>
    <w:p w14:paraId="0CDC0B20" w14:textId="45AADAF3" w:rsidR="005825EA" w:rsidRDefault="005825EA" w:rsidP="00057EE7">
      <w:pPr>
        <w:rPr>
          <w:bCs/>
        </w:rPr>
      </w:pPr>
    </w:p>
    <w:p w14:paraId="469E7152" w14:textId="406924AE" w:rsidR="005C0114" w:rsidRDefault="005C0114" w:rsidP="00057EE7">
      <w:pPr>
        <w:rPr>
          <w:bCs/>
        </w:rPr>
      </w:pPr>
      <w:r>
        <w:rPr>
          <w:bCs/>
        </w:rPr>
        <w:t>Please note that these rates are based on the previous round of awards and may be subject to change.</w:t>
      </w:r>
    </w:p>
    <w:p w14:paraId="1EAFB705" w14:textId="0A84346E" w:rsidR="00802003" w:rsidRPr="00802003" w:rsidRDefault="00802003" w:rsidP="00057EE7">
      <w:pPr>
        <w:rPr>
          <w:b/>
          <w:bCs/>
        </w:rPr>
      </w:pPr>
      <w:r w:rsidRPr="00802003">
        <w:rPr>
          <w:bCs/>
        </w:rPr>
        <w:t xml:space="preserve">A full list of country groups can be found </w:t>
      </w:r>
      <w:r>
        <w:rPr>
          <w:bCs/>
        </w:rPr>
        <w:t xml:space="preserve">on the Turing Scheme </w:t>
      </w:r>
      <w:hyperlink r:id="rId13" w:history="1">
        <w:r w:rsidRPr="00802003">
          <w:rPr>
            <w:rStyle w:val="Hyperlink"/>
            <w:bCs/>
          </w:rPr>
          <w:t>website</w:t>
        </w:r>
      </w:hyperlink>
      <w:r>
        <w:rPr>
          <w:bCs/>
        </w:rPr>
        <w:t xml:space="preserve">.  </w:t>
      </w:r>
      <w:r>
        <w:t xml:space="preserve">There is no requirement for grant recipients to submit receipts. </w:t>
      </w:r>
    </w:p>
    <w:p w14:paraId="2D08FF4A" w14:textId="37207E8F" w:rsidR="005F5933" w:rsidRDefault="005F5933" w:rsidP="0065376B">
      <w:pPr>
        <w:pStyle w:val="Heading2"/>
      </w:pPr>
      <w:r>
        <w:t>Eligibility</w:t>
      </w:r>
    </w:p>
    <w:p w14:paraId="2405655A" w14:textId="2A76797F" w:rsidR="005F5933" w:rsidRDefault="002A02F8" w:rsidP="005F5933">
      <w:r>
        <w:t>The scheme is o</w:t>
      </w:r>
      <w:r w:rsidR="005F5933">
        <w:t xml:space="preserve">pen to </w:t>
      </w:r>
      <w:r w:rsidR="00930D5B">
        <w:t xml:space="preserve">all </w:t>
      </w:r>
      <w:r w:rsidR="00B036F3">
        <w:t xml:space="preserve">PGRs </w:t>
      </w:r>
      <w:r w:rsidR="00930D5B">
        <w:t xml:space="preserve">(full-time and part-time) </w:t>
      </w:r>
      <w:r w:rsidR="005F5933">
        <w:t>who have successfully completed the</w:t>
      </w:r>
      <w:r w:rsidR="00690845">
        <w:t xml:space="preserve"> first 3 months</w:t>
      </w:r>
      <w:r w:rsidR="00927216">
        <w:t xml:space="preserve"> (6 months for part-time PGRs)</w:t>
      </w:r>
      <w:r w:rsidR="00690845">
        <w:t xml:space="preserve"> of their </w:t>
      </w:r>
      <w:r w:rsidR="00B036F3">
        <w:t>programme</w:t>
      </w:r>
      <w:r w:rsidR="0098207A">
        <w:t xml:space="preserve"> before the start of the plac</w:t>
      </w:r>
      <w:r w:rsidR="00D079A3">
        <w:t>e</w:t>
      </w:r>
      <w:r w:rsidR="0098207A">
        <w:t>ment</w:t>
      </w:r>
      <w:r w:rsidR="00690845">
        <w:t xml:space="preserve">. </w:t>
      </w:r>
      <w:r w:rsidR="00B036F3">
        <w:t xml:space="preserve">PGRs </w:t>
      </w:r>
      <w:r w:rsidR="005F5933">
        <w:t xml:space="preserve">in the </w:t>
      </w:r>
      <w:r w:rsidR="005F5933" w:rsidRPr="005F5933">
        <w:t>l</w:t>
      </w:r>
      <w:r w:rsidR="005F5933">
        <w:t>ast 6 months</w:t>
      </w:r>
      <w:r w:rsidR="00927216">
        <w:t xml:space="preserve"> (12 months part-time)</w:t>
      </w:r>
      <w:r w:rsidR="005F5933">
        <w:t xml:space="preserve"> of their programme</w:t>
      </w:r>
      <w:r w:rsidR="00927216">
        <w:t xml:space="preserve">, </w:t>
      </w:r>
      <w:r w:rsidR="005F5933" w:rsidRPr="005F5933">
        <w:t xml:space="preserve">in submission pending </w:t>
      </w:r>
      <w:r w:rsidR="00927216">
        <w:t xml:space="preserve">or who have already submitted </w:t>
      </w:r>
      <w:r w:rsidR="00930D5B">
        <w:t>are not e</w:t>
      </w:r>
      <w:r w:rsidR="005F5933">
        <w:t>ligible</w:t>
      </w:r>
      <w:r w:rsidR="00930D5B">
        <w:t xml:space="preserve"> to apply</w:t>
      </w:r>
      <w:r w:rsidR="005F5933">
        <w:t xml:space="preserve">. </w:t>
      </w:r>
    </w:p>
    <w:p w14:paraId="36E15A31" w14:textId="77777777" w:rsidR="00311892" w:rsidRDefault="00E53F21" w:rsidP="00311892">
      <w:r>
        <w:t>S</w:t>
      </w:r>
      <w:r w:rsidR="00C872CE">
        <w:t xml:space="preserve">uccessful applicants will not receive any extension to their programme in order to undertake a placement and </w:t>
      </w:r>
      <w:r w:rsidR="005F5933" w:rsidRPr="005F5933">
        <w:t>c</w:t>
      </w:r>
      <w:r>
        <w:t xml:space="preserve">annot </w:t>
      </w:r>
      <w:r w:rsidR="005F5933" w:rsidRPr="005F5933">
        <w:t xml:space="preserve">apply for an interruption for the duration of the </w:t>
      </w:r>
      <w:r w:rsidR="006A2DE6">
        <w:t>placement</w:t>
      </w:r>
      <w:r w:rsidR="005F5933" w:rsidRPr="005F5933">
        <w:t>.</w:t>
      </w:r>
      <w:r w:rsidR="00ED7EDA">
        <w:t xml:space="preserve"> The placement cannot be used as a reason for any future extension or interruption request. </w:t>
      </w:r>
      <w:r w:rsidR="00DF6A1D">
        <w:t xml:space="preserve">PGRs </w:t>
      </w:r>
      <w:r w:rsidR="00050A6C">
        <w:t xml:space="preserve">must </w:t>
      </w:r>
      <w:r w:rsidR="00DF6A1D">
        <w:t>meet all their existing progression milestones on eProg whil</w:t>
      </w:r>
      <w:r w:rsidR="00050A6C">
        <w:t>e</w:t>
      </w:r>
      <w:r w:rsidR="00DF6A1D">
        <w:t xml:space="preserve"> on placement. </w:t>
      </w:r>
    </w:p>
    <w:p w14:paraId="6B5EBDEE" w14:textId="28B15A49" w:rsidR="00BD3201" w:rsidRDefault="00BD3201" w:rsidP="00311892">
      <w:pPr>
        <w:pStyle w:val="Heading2"/>
      </w:pPr>
      <w:r>
        <w:lastRenderedPageBreak/>
        <w:t>Host institutions</w:t>
      </w:r>
    </w:p>
    <w:p w14:paraId="11F1135A" w14:textId="641135A1" w:rsidR="00617C2E" w:rsidRDefault="00B036F3" w:rsidP="00BD3201">
      <w:r>
        <w:t xml:space="preserve">PGRs </w:t>
      </w:r>
      <w:r w:rsidR="00BD3201">
        <w:t xml:space="preserve">should select an appropriate host institution from the list of </w:t>
      </w:r>
      <w:r w:rsidR="00BD3201" w:rsidRPr="002E3C31">
        <w:t>partner</w:t>
      </w:r>
      <w:r w:rsidR="00BD3201">
        <w:t xml:space="preserve">s </w:t>
      </w:r>
      <w:r w:rsidR="00617C2E">
        <w:t xml:space="preserve">in Annex A. Applications will be accepted for institutions not on the list </w:t>
      </w:r>
      <w:r w:rsidR="0019583E">
        <w:t xml:space="preserve">but </w:t>
      </w:r>
      <w:r w:rsidR="00617C2E">
        <w:t xml:space="preserve">applicants will need to give a clear justification for the visit and the expected academic gains in their application. </w:t>
      </w:r>
    </w:p>
    <w:p w14:paraId="2CA94115" w14:textId="1CB0FD28" w:rsidR="00BD3201" w:rsidRDefault="00927216" w:rsidP="00BD3201">
      <w:r>
        <w:t>A</w:t>
      </w:r>
      <w:r w:rsidR="005B3655">
        <w:t xml:space="preserve">pplications cannot be accepted in this first call for countries </w:t>
      </w:r>
      <w:r>
        <w:t xml:space="preserve">which only allow </w:t>
      </w:r>
      <w:r w:rsidR="005B3655">
        <w:t>visitors from the UK with quarantine requirements</w:t>
      </w:r>
      <w:r>
        <w:t>.</w:t>
      </w:r>
      <w:r w:rsidR="005B3655">
        <w:t xml:space="preserve"> </w:t>
      </w:r>
    </w:p>
    <w:p w14:paraId="4CECA81E" w14:textId="673E527E" w:rsidR="005C0114" w:rsidRPr="002E3C31" w:rsidRDefault="005C0114" w:rsidP="00BD3201">
      <w:r>
        <w:t xml:space="preserve">Applications cannot be accepted for placements at institutions in the applicant’s home country. </w:t>
      </w:r>
    </w:p>
    <w:p w14:paraId="23FC7C66" w14:textId="51AA142F" w:rsidR="005D332E" w:rsidRDefault="00B036F3" w:rsidP="005D332E">
      <w:r>
        <w:t xml:space="preserve">PGRs </w:t>
      </w:r>
      <w:r w:rsidR="005D332E">
        <w:t>m</w:t>
      </w:r>
      <w:r w:rsidR="005D332E" w:rsidRPr="006A2DE6">
        <w:t xml:space="preserve">ust meet visa and/or immigration requirements </w:t>
      </w:r>
      <w:r w:rsidR="005D332E">
        <w:t xml:space="preserve">for their intended destination. </w:t>
      </w:r>
    </w:p>
    <w:p w14:paraId="29FCD67B" w14:textId="7DE8E374" w:rsidR="00886336" w:rsidRDefault="00886336" w:rsidP="00886336">
      <w:pPr>
        <w:pStyle w:val="Heading2"/>
      </w:pPr>
      <w:r>
        <w:t xml:space="preserve">Scope of a placement </w:t>
      </w:r>
    </w:p>
    <w:p w14:paraId="7D252917" w14:textId="11038707" w:rsidR="008A0CD2" w:rsidRDefault="00D36685" w:rsidP="008A0CD2">
      <w:r>
        <w:t xml:space="preserve">A placement should relate directly to a </w:t>
      </w:r>
      <w:r w:rsidR="00B036F3">
        <w:t xml:space="preserve">PGR’s </w:t>
      </w:r>
      <w:r>
        <w:t xml:space="preserve">doctoral research and aim to add value to </w:t>
      </w:r>
      <w:r w:rsidR="00B036F3">
        <w:t xml:space="preserve">their </w:t>
      </w:r>
      <w:r>
        <w:t xml:space="preserve">overall programme. </w:t>
      </w:r>
      <w:r w:rsidR="00A362DD">
        <w:t>Placements may be undertaken for the following reasons</w:t>
      </w:r>
      <w:r w:rsidR="008917C6">
        <w:t xml:space="preserve"> (this is not an exhaustive list):</w:t>
      </w:r>
      <w:r w:rsidR="008A0CD2">
        <w:t xml:space="preserve"> </w:t>
      </w:r>
    </w:p>
    <w:p w14:paraId="7DD45F02" w14:textId="7850094E" w:rsidR="008A0CD2" w:rsidRDefault="008A0CD2" w:rsidP="00D852E2">
      <w:pPr>
        <w:pStyle w:val="ListParagraph"/>
        <w:numPr>
          <w:ilvl w:val="0"/>
          <w:numId w:val="30"/>
        </w:numPr>
      </w:pPr>
      <w:r>
        <w:t xml:space="preserve">to </w:t>
      </w:r>
      <w:r w:rsidR="00FF745B" w:rsidRPr="00FF745B">
        <w:t xml:space="preserve">undertake additional specialist research training not available </w:t>
      </w:r>
      <w:r>
        <w:t>at Manchester</w:t>
      </w:r>
    </w:p>
    <w:p w14:paraId="3181F517" w14:textId="44E2F2C8" w:rsidR="004A079E" w:rsidRDefault="004A079E" w:rsidP="00D852E2">
      <w:pPr>
        <w:pStyle w:val="ListParagraph"/>
        <w:numPr>
          <w:ilvl w:val="0"/>
          <w:numId w:val="30"/>
        </w:numPr>
      </w:pPr>
      <w:r>
        <w:t xml:space="preserve">to use specialist facilities e.g. library, archives. </w:t>
      </w:r>
    </w:p>
    <w:p w14:paraId="6C670465" w14:textId="4F5FD283" w:rsidR="00FF745B" w:rsidRPr="00FF745B" w:rsidRDefault="008A0CD2" w:rsidP="00D852E2">
      <w:pPr>
        <w:pStyle w:val="ListParagraph"/>
        <w:numPr>
          <w:ilvl w:val="0"/>
          <w:numId w:val="30"/>
        </w:numPr>
      </w:pPr>
      <w:r>
        <w:t xml:space="preserve">to </w:t>
      </w:r>
      <w:r w:rsidR="00FF745B" w:rsidRPr="00FF745B">
        <w:t xml:space="preserve">establish research links that will be beneficial to </w:t>
      </w:r>
      <w:r w:rsidR="00D36685">
        <w:t xml:space="preserve">the </w:t>
      </w:r>
      <w:r w:rsidR="00B036F3">
        <w:t xml:space="preserve">PGR’s </w:t>
      </w:r>
      <w:r w:rsidR="00FF745B" w:rsidRPr="00FF745B">
        <w:t>current or future academic career</w:t>
      </w:r>
    </w:p>
    <w:p w14:paraId="57380209" w14:textId="05AE4ADE" w:rsidR="00617C2E" w:rsidRPr="00FF745B" w:rsidRDefault="008A0CD2" w:rsidP="00261CCE">
      <w:pPr>
        <w:pStyle w:val="ListParagraph"/>
        <w:numPr>
          <w:ilvl w:val="0"/>
          <w:numId w:val="30"/>
        </w:numPr>
      </w:pPr>
      <w:r>
        <w:t xml:space="preserve">to </w:t>
      </w:r>
      <w:r w:rsidR="00FF745B" w:rsidRPr="00FF745B">
        <w:t>disseminate early research findings</w:t>
      </w:r>
    </w:p>
    <w:p w14:paraId="4250F950" w14:textId="3ACB5B26" w:rsidR="00F11161" w:rsidRDefault="00F11161" w:rsidP="00F11161">
      <w:r>
        <w:t xml:space="preserve">Conference attendance or participating in a seminar should not be the primary reason for going on a placement. However PGRs may attend conferences/seminars at the host institution which are </w:t>
      </w:r>
      <w:r w:rsidRPr="00FF745B">
        <w:t xml:space="preserve">directly relevant to </w:t>
      </w:r>
      <w:r>
        <w:t xml:space="preserve">their research as part of their placement. </w:t>
      </w:r>
    </w:p>
    <w:p w14:paraId="19440E6D" w14:textId="01A1AD04" w:rsidR="00A51B65" w:rsidRDefault="00A51B65" w:rsidP="0065376B">
      <w:pPr>
        <w:pStyle w:val="Heading2"/>
      </w:pPr>
      <w:r>
        <w:t xml:space="preserve">Securing a placement </w:t>
      </w:r>
    </w:p>
    <w:p w14:paraId="417419F2" w14:textId="713813BF" w:rsidR="00DF6A1D" w:rsidRDefault="00B036F3" w:rsidP="00DF6A1D">
      <w:pPr>
        <w:autoSpaceDE w:val="0"/>
        <w:autoSpaceDN w:val="0"/>
        <w:adjustRightInd w:val="0"/>
        <w:spacing w:after="0" w:line="240" w:lineRule="auto"/>
      </w:pPr>
      <w:r>
        <w:t xml:space="preserve">PGRs </w:t>
      </w:r>
      <w:r w:rsidR="00A362DD">
        <w:t>should discuss their ideas for a placement with their supervisor</w:t>
      </w:r>
      <w:r w:rsidR="00CB3EEE">
        <w:t>s</w:t>
      </w:r>
      <w:r w:rsidR="00A362DD">
        <w:t xml:space="preserve"> </w:t>
      </w:r>
      <w:r w:rsidR="008917C6">
        <w:t xml:space="preserve">at Manchester </w:t>
      </w:r>
      <w:r w:rsidR="00A362DD">
        <w:t xml:space="preserve">in the first instance. </w:t>
      </w:r>
      <w:r w:rsidR="00DF6A1D" w:rsidRPr="00DF6A1D">
        <w:t xml:space="preserve">PGRs must secure a placement with an academic supervisor from an appropriate area of research at the host institution before they apply for funding. Speculative applications will not be accepted. </w:t>
      </w:r>
    </w:p>
    <w:p w14:paraId="782904D2" w14:textId="77777777" w:rsidR="00050A6C" w:rsidRPr="00DF6A1D" w:rsidRDefault="00050A6C" w:rsidP="00DF6A1D">
      <w:pPr>
        <w:autoSpaceDE w:val="0"/>
        <w:autoSpaceDN w:val="0"/>
        <w:adjustRightInd w:val="0"/>
        <w:spacing w:after="0" w:line="240" w:lineRule="auto"/>
      </w:pPr>
    </w:p>
    <w:p w14:paraId="62CA1870" w14:textId="1CA122C6" w:rsidR="00425D88" w:rsidRDefault="00A362DD" w:rsidP="008F4ABA">
      <w:pPr>
        <w:autoSpaceDE w:val="0"/>
        <w:autoSpaceDN w:val="0"/>
        <w:adjustRightInd w:val="0"/>
        <w:spacing w:after="0" w:line="240" w:lineRule="auto"/>
        <w:rPr>
          <w:rFonts w:cstheme="minorHAnsi"/>
        </w:rPr>
      </w:pPr>
      <w:r>
        <w:t xml:space="preserve">Supervisors </w:t>
      </w:r>
      <w:r w:rsidR="008F4ABA">
        <w:t xml:space="preserve">are encouraged to help </w:t>
      </w:r>
      <w:r w:rsidR="00B036F3">
        <w:t xml:space="preserve">PGRs </w:t>
      </w:r>
      <w:r w:rsidR="008F4ABA">
        <w:t xml:space="preserve">find the </w:t>
      </w:r>
      <w:r w:rsidR="008917C6">
        <w:t>best fit of</w:t>
      </w:r>
      <w:r>
        <w:t xml:space="preserve"> host institution</w:t>
      </w:r>
      <w:r w:rsidR="008F4ABA">
        <w:t xml:space="preserve"> and </w:t>
      </w:r>
      <w:r w:rsidR="008917C6">
        <w:t>research group</w:t>
      </w:r>
      <w:r>
        <w:t xml:space="preserve"> </w:t>
      </w:r>
      <w:r w:rsidR="008F4ABA">
        <w:t xml:space="preserve">for their topic </w:t>
      </w:r>
      <w:r>
        <w:t xml:space="preserve">and </w:t>
      </w:r>
      <w:r w:rsidR="008F4ABA">
        <w:t xml:space="preserve">to use the placement to </w:t>
      </w:r>
      <w:r w:rsidR="00425D88">
        <w:t xml:space="preserve">develop existing relationships or </w:t>
      </w:r>
      <w:r w:rsidR="008F4ABA">
        <w:t xml:space="preserve">lay </w:t>
      </w:r>
      <w:r w:rsidR="008F4ABA" w:rsidRPr="008F4ABA">
        <w:rPr>
          <w:rFonts w:cstheme="minorHAnsi"/>
        </w:rPr>
        <w:t>the</w:t>
      </w:r>
      <w:r w:rsidR="008F4ABA">
        <w:rPr>
          <w:rFonts w:cstheme="minorHAnsi"/>
        </w:rPr>
        <w:t xml:space="preserve"> </w:t>
      </w:r>
      <w:r w:rsidR="008F4ABA" w:rsidRPr="008F4ABA">
        <w:rPr>
          <w:rFonts w:cstheme="minorHAnsi"/>
        </w:rPr>
        <w:t>groundwork for future collaborations</w:t>
      </w:r>
      <w:r w:rsidR="00BC680E">
        <w:rPr>
          <w:rFonts w:cstheme="minorHAnsi"/>
        </w:rPr>
        <w:t xml:space="preserve"> between teams</w:t>
      </w:r>
      <w:r w:rsidR="008F4ABA" w:rsidRPr="008F4ABA">
        <w:rPr>
          <w:rFonts w:cstheme="minorHAnsi"/>
        </w:rPr>
        <w:t>.</w:t>
      </w:r>
      <w:r w:rsidR="008F4ABA">
        <w:rPr>
          <w:rFonts w:cstheme="minorHAnsi"/>
        </w:rPr>
        <w:t xml:space="preserve"> </w:t>
      </w:r>
    </w:p>
    <w:p w14:paraId="087531C9" w14:textId="77777777" w:rsidR="00425D88" w:rsidRDefault="00425D88" w:rsidP="008F4ABA">
      <w:pPr>
        <w:autoSpaceDE w:val="0"/>
        <w:autoSpaceDN w:val="0"/>
        <w:adjustRightInd w:val="0"/>
        <w:spacing w:after="0" w:line="240" w:lineRule="auto"/>
        <w:rPr>
          <w:rFonts w:cstheme="minorHAnsi"/>
        </w:rPr>
      </w:pPr>
    </w:p>
    <w:p w14:paraId="4AC2AE23" w14:textId="6CBFB907" w:rsidR="00292347" w:rsidRDefault="008F4ABA" w:rsidP="008F4ABA">
      <w:pPr>
        <w:autoSpaceDE w:val="0"/>
        <w:autoSpaceDN w:val="0"/>
        <w:adjustRightInd w:val="0"/>
        <w:spacing w:after="0" w:line="240" w:lineRule="auto"/>
      </w:pPr>
      <w:r>
        <w:rPr>
          <w:rFonts w:cstheme="minorHAnsi"/>
        </w:rPr>
        <w:t>S</w:t>
      </w:r>
      <w:r w:rsidR="008917C6">
        <w:t xml:space="preserve">upervisors may </w:t>
      </w:r>
      <w:r w:rsidR="00BC680E">
        <w:t xml:space="preserve">wish to </w:t>
      </w:r>
      <w:r w:rsidR="008917C6">
        <w:t xml:space="preserve">introduce </w:t>
      </w:r>
      <w:r w:rsidR="00B036F3">
        <w:t xml:space="preserve">PGRs </w:t>
      </w:r>
      <w:r w:rsidR="008917C6">
        <w:t>to academic colleagues at the host institution</w:t>
      </w:r>
      <w:r w:rsidR="00BC680E">
        <w:t xml:space="preserve"> particularly if they have existing </w:t>
      </w:r>
      <w:r w:rsidR="00F749EB">
        <w:t xml:space="preserve">relationships </w:t>
      </w:r>
      <w:r w:rsidR="008917C6">
        <w:t xml:space="preserve">or the </w:t>
      </w:r>
      <w:r w:rsidR="00B036F3">
        <w:t xml:space="preserve">PGR </w:t>
      </w:r>
      <w:r w:rsidR="008917C6">
        <w:t xml:space="preserve">may </w:t>
      </w:r>
      <w:r w:rsidR="00292347">
        <w:t xml:space="preserve">choose to </w:t>
      </w:r>
      <w:r w:rsidR="008917C6">
        <w:t xml:space="preserve">approach </w:t>
      </w:r>
      <w:r w:rsidR="00F749EB">
        <w:t xml:space="preserve">a potential supervisor </w:t>
      </w:r>
      <w:r w:rsidR="008917C6">
        <w:t xml:space="preserve">directly. </w:t>
      </w:r>
      <w:r w:rsidR="00CB3EEE">
        <w:rPr>
          <w:rFonts w:cstheme="minorHAnsi"/>
        </w:rPr>
        <w:t>It is likely in this first round that many placements will be arranged with researchers who the supervisors already work with.</w:t>
      </w:r>
    </w:p>
    <w:p w14:paraId="5D3F8A28" w14:textId="77777777" w:rsidR="00292347" w:rsidRDefault="00292347" w:rsidP="008F4ABA">
      <w:pPr>
        <w:autoSpaceDE w:val="0"/>
        <w:autoSpaceDN w:val="0"/>
        <w:adjustRightInd w:val="0"/>
        <w:spacing w:after="0" w:line="240" w:lineRule="auto"/>
      </w:pPr>
    </w:p>
    <w:p w14:paraId="73DEA2ED" w14:textId="30D6ADB6" w:rsidR="008917C6" w:rsidRDefault="00292347" w:rsidP="008F4ABA">
      <w:pPr>
        <w:autoSpaceDE w:val="0"/>
        <w:autoSpaceDN w:val="0"/>
        <w:adjustRightInd w:val="0"/>
        <w:spacing w:after="0" w:line="240" w:lineRule="auto"/>
      </w:pPr>
      <w:r>
        <w:t xml:space="preserve">All applications must include </w:t>
      </w:r>
      <w:r w:rsidR="00F749EB">
        <w:t>statement</w:t>
      </w:r>
      <w:r>
        <w:t>s</w:t>
      </w:r>
      <w:r w:rsidR="00F749EB">
        <w:t xml:space="preserve"> of support from the </w:t>
      </w:r>
      <w:r w:rsidR="00B036F3">
        <w:t xml:space="preserve">PGR’s </w:t>
      </w:r>
      <w:r>
        <w:t xml:space="preserve">home and </w:t>
      </w:r>
      <w:r w:rsidR="00F749EB">
        <w:t>host supervisor</w:t>
      </w:r>
      <w:r>
        <w:t>s</w:t>
      </w:r>
      <w:r w:rsidR="00F749EB">
        <w:t xml:space="preserve">. </w:t>
      </w:r>
    </w:p>
    <w:p w14:paraId="18C279C7" w14:textId="0858D765" w:rsidR="00F749EB" w:rsidRDefault="00F749EB" w:rsidP="008F4ABA">
      <w:pPr>
        <w:autoSpaceDE w:val="0"/>
        <w:autoSpaceDN w:val="0"/>
        <w:adjustRightInd w:val="0"/>
        <w:spacing w:after="0" w:line="240" w:lineRule="auto"/>
      </w:pPr>
    </w:p>
    <w:p w14:paraId="60C5170D" w14:textId="5FCBAB51" w:rsidR="00292347" w:rsidRPr="00292347" w:rsidRDefault="00292347" w:rsidP="00292347">
      <w:pPr>
        <w:spacing w:after="0" w:line="240" w:lineRule="auto"/>
      </w:pPr>
      <w:r w:rsidRPr="00292347">
        <w:lastRenderedPageBreak/>
        <w:t>Home Supervisors should address the following points:</w:t>
      </w:r>
    </w:p>
    <w:p w14:paraId="04123C2C" w14:textId="36D2E254" w:rsidR="00292347" w:rsidRPr="000221B3" w:rsidRDefault="00292347" w:rsidP="00292347">
      <w:pPr>
        <w:pStyle w:val="ListParagraph"/>
        <w:numPr>
          <w:ilvl w:val="0"/>
          <w:numId w:val="11"/>
        </w:numPr>
        <w:spacing w:after="0" w:line="240" w:lineRule="auto"/>
      </w:pPr>
      <w:r>
        <w:t xml:space="preserve">The </w:t>
      </w:r>
      <w:r w:rsidR="00B036F3">
        <w:t xml:space="preserve">PGR’s </w:t>
      </w:r>
      <w:r>
        <w:t xml:space="preserve">academic </w:t>
      </w:r>
      <w:r w:rsidRPr="000221B3">
        <w:t xml:space="preserve">progress </w:t>
      </w:r>
      <w:r>
        <w:t>so far</w:t>
      </w:r>
    </w:p>
    <w:p w14:paraId="4A9B0D6B" w14:textId="2FEF4DB0" w:rsidR="00292347" w:rsidRDefault="00292347" w:rsidP="00292347">
      <w:pPr>
        <w:pStyle w:val="ListParagraph"/>
        <w:numPr>
          <w:ilvl w:val="0"/>
          <w:numId w:val="11"/>
        </w:numPr>
        <w:spacing w:after="0" w:line="240" w:lineRule="auto"/>
      </w:pPr>
      <w:r>
        <w:t xml:space="preserve">An assessment of the fit between the </w:t>
      </w:r>
      <w:r w:rsidRPr="000221B3">
        <w:t xml:space="preserve">host supervisor’s research </w:t>
      </w:r>
      <w:r>
        <w:t xml:space="preserve">and </w:t>
      </w:r>
      <w:r w:rsidRPr="000221B3">
        <w:t xml:space="preserve">the </w:t>
      </w:r>
      <w:r w:rsidR="00051A27">
        <w:t xml:space="preserve">PGR’s </w:t>
      </w:r>
      <w:r w:rsidR="00B036F3">
        <w:t>research project and anticipated benefits</w:t>
      </w:r>
    </w:p>
    <w:p w14:paraId="001AA92D" w14:textId="50C986A0" w:rsidR="00292347" w:rsidRPr="002C16C1" w:rsidRDefault="00292347" w:rsidP="00292347">
      <w:pPr>
        <w:pStyle w:val="ListParagraph"/>
        <w:numPr>
          <w:ilvl w:val="0"/>
          <w:numId w:val="11"/>
        </w:numPr>
        <w:spacing w:after="0" w:line="240" w:lineRule="auto"/>
        <w:rPr>
          <w:b/>
        </w:rPr>
      </w:pPr>
      <w:r>
        <w:t xml:space="preserve">Any anticipated benefits of the placement to the supervisor’s and/or your team’s research </w:t>
      </w:r>
    </w:p>
    <w:p w14:paraId="19D8E5BD" w14:textId="2E1722E8" w:rsidR="00292347" w:rsidRPr="002C16C1" w:rsidRDefault="00292347" w:rsidP="00292347">
      <w:pPr>
        <w:pStyle w:val="ListParagraph"/>
        <w:numPr>
          <w:ilvl w:val="0"/>
          <w:numId w:val="11"/>
        </w:numPr>
        <w:spacing w:after="0" w:line="240" w:lineRule="auto"/>
        <w:rPr>
          <w:b/>
        </w:rPr>
      </w:pPr>
      <w:r>
        <w:t xml:space="preserve">A description of any potential for future collaboration between UoM and the host institution which may result from the placement. </w:t>
      </w:r>
    </w:p>
    <w:p w14:paraId="65DC67DE" w14:textId="77777777" w:rsidR="00292347" w:rsidRDefault="00292347" w:rsidP="008F4ABA">
      <w:pPr>
        <w:autoSpaceDE w:val="0"/>
        <w:autoSpaceDN w:val="0"/>
        <w:adjustRightInd w:val="0"/>
        <w:spacing w:after="0" w:line="240" w:lineRule="auto"/>
      </w:pPr>
    </w:p>
    <w:p w14:paraId="299D40DF" w14:textId="03A21845" w:rsidR="00292347" w:rsidRPr="00292347" w:rsidRDefault="00292347" w:rsidP="00292347">
      <w:pPr>
        <w:autoSpaceDE w:val="0"/>
        <w:autoSpaceDN w:val="0"/>
        <w:adjustRightInd w:val="0"/>
        <w:spacing w:after="0" w:line="240" w:lineRule="auto"/>
      </w:pPr>
      <w:r w:rsidRPr="00292347">
        <w:t xml:space="preserve">The supporting statement </w:t>
      </w:r>
      <w:r>
        <w:t xml:space="preserve">from the potential host supervisor </w:t>
      </w:r>
      <w:r w:rsidRPr="00292347">
        <w:t>should include the following:</w:t>
      </w:r>
    </w:p>
    <w:p w14:paraId="10CE6DDA" w14:textId="5BC27722" w:rsidR="00292347" w:rsidRPr="00292347" w:rsidRDefault="00292347" w:rsidP="00292347">
      <w:pPr>
        <w:numPr>
          <w:ilvl w:val="0"/>
          <w:numId w:val="11"/>
        </w:numPr>
        <w:autoSpaceDE w:val="0"/>
        <w:autoSpaceDN w:val="0"/>
        <w:adjustRightInd w:val="0"/>
        <w:spacing w:after="0" w:line="240" w:lineRule="auto"/>
      </w:pPr>
      <w:r w:rsidRPr="00292347">
        <w:t xml:space="preserve">The agreed supervision support and contact time </w:t>
      </w:r>
      <w:r>
        <w:t xml:space="preserve">to be provided </w:t>
      </w:r>
      <w:r w:rsidRPr="00292347">
        <w:t>during the placement</w:t>
      </w:r>
    </w:p>
    <w:p w14:paraId="5A58F892" w14:textId="10636E14" w:rsidR="00292347" w:rsidRPr="00292347" w:rsidRDefault="00292347" w:rsidP="00292347">
      <w:pPr>
        <w:numPr>
          <w:ilvl w:val="0"/>
          <w:numId w:val="11"/>
        </w:numPr>
        <w:autoSpaceDE w:val="0"/>
        <w:autoSpaceDN w:val="0"/>
        <w:adjustRightInd w:val="0"/>
        <w:spacing w:after="0" w:line="240" w:lineRule="auto"/>
      </w:pPr>
      <w:r w:rsidRPr="00292347">
        <w:t xml:space="preserve">The alignment of </w:t>
      </w:r>
      <w:r w:rsidR="00B036F3">
        <w:t>their</w:t>
      </w:r>
      <w:r w:rsidRPr="00292347">
        <w:t xml:space="preserve"> research with that of the </w:t>
      </w:r>
      <w:r w:rsidR="00B036F3">
        <w:t>PGR’s research project</w:t>
      </w:r>
    </w:p>
    <w:p w14:paraId="2244D19B" w14:textId="020735C8" w:rsidR="00292347" w:rsidRPr="00292347" w:rsidRDefault="00292347" w:rsidP="00292347">
      <w:pPr>
        <w:numPr>
          <w:ilvl w:val="0"/>
          <w:numId w:val="11"/>
        </w:numPr>
        <w:autoSpaceDE w:val="0"/>
        <w:autoSpaceDN w:val="0"/>
        <w:adjustRightInd w:val="0"/>
        <w:spacing w:after="0" w:line="240" w:lineRule="auto"/>
      </w:pPr>
      <w:r w:rsidRPr="00292347">
        <w:t xml:space="preserve">The agreed programme of study and </w:t>
      </w:r>
      <w:r w:rsidR="00CB3EEE">
        <w:t xml:space="preserve">planned </w:t>
      </w:r>
      <w:r w:rsidRPr="00292347">
        <w:t>research outputs for the period of the placement</w:t>
      </w:r>
    </w:p>
    <w:p w14:paraId="4529F59C" w14:textId="5182B986" w:rsidR="00292347" w:rsidRPr="00292347" w:rsidRDefault="00292347" w:rsidP="00292347">
      <w:pPr>
        <w:numPr>
          <w:ilvl w:val="0"/>
          <w:numId w:val="11"/>
        </w:numPr>
        <w:autoSpaceDE w:val="0"/>
        <w:autoSpaceDN w:val="0"/>
        <w:adjustRightInd w:val="0"/>
        <w:spacing w:after="0" w:line="240" w:lineRule="auto"/>
      </w:pPr>
      <w:r w:rsidRPr="00292347">
        <w:t xml:space="preserve">The facilities that the </w:t>
      </w:r>
      <w:r w:rsidR="00B036F3">
        <w:t>PGR</w:t>
      </w:r>
      <w:r w:rsidR="00B036F3" w:rsidRPr="00292347">
        <w:t xml:space="preserve"> </w:t>
      </w:r>
      <w:r w:rsidRPr="00292347">
        <w:t>will have access to as part of the placement</w:t>
      </w:r>
    </w:p>
    <w:p w14:paraId="75C03464" w14:textId="67B9B098" w:rsidR="00292347" w:rsidRPr="00292347" w:rsidRDefault="00292347" w:rsidP="00292347">
      <w:pPr>
        <w:numPr>
          <w:ilvl w:val="0"/>
          <w:numId w:val="11"/>
        </w:numPr>
        <w:autoSpaceDE w:val="0"/>
        <w:autoSpaceDN w:val="0"/>
        <w:adjustRightInd w:val="0"/>
        <w:spacing w:after="0" w:line="240" w:lineRule="auto"/>
      </w:pPr>
      <w:r w:rsidRPr="00292347">
        <w:t xml:space="preserve">Any wider benefits of the placement e.g. developing collaboration between </w:t>
      </w:r>
      <w:r>
        <w:t>the host</w:t>
      </w:r>
      <w:r w:rsidRPr="00292347">
        <w:t xml:space="preserve"> university and UoM</w:t>
      </w:r>
    </w:p>
    <w:p w14:paraId="148047D2" w14:textId="77777777" w:rsidR="00F749EB" w:rsidRDefault="00F749EB" w:rsidP="008F4ABA">
      <w:pPr>
        <w:autoSpaceDE w:val="0"/>
        <w:autoSpaceDN w:val="0"/>
        <w:adjustRightInd w:val="0"/>
        <w:spacing w:after="0" w:line="240" w:lineRule="auto"/>
      </w:pPr>
    </w:p>
    <w:p w14:paraId="79058CB1" w14:textId="77777777" w:rsidR="00A51B65" w:rsidRPr="00224B96" w:rsidRDefault="00A51B65" w:rsidP="00A51B65">
      <w:pPr>
        <w:pStyle w:val="Heading2"/>
      </w:pPr>
      <w:r w:rsidRPr="005B3655">
        <w:t>Accommodation and Travel</w:t>
      </w:r>
      <w:r w:rsidRPr="00224B96">
        <w:t xml:space="preserve"> </w:t>
      </w:r>
    </w:p>
    <w:p w14:paraId="0E5B5523" w14:textId="64E3A38E" w:rsidR="00311892" w:rsidRPr="005B3655" w:rsidRDefault="00ED26A9" w:rsidP="00802003">
      <w:r w:rsidRPr="005B3655">
        <w:t xml:space="preserve">Details of arrangements for booking travel and accommodation </w:t>
      </w:r>
      <w:r w:rsidR="00311892" w:rsidRPr="005B3655">
        <w:t xml:space="preserve">are subject to confirmation and information will be sent to successful applicants. </w:t>
      </w:r>
    </w:p>
    <w:p w14:paraId="0F0F8042" w14:textId="62EA3673" w:rsidR="0006141F" w:rsidRDefault="0006141F" w:rsidP="0065376B">
      <w:pPr>
        <w:pStyle w:val="Heading2"/>
      </w:pPr>
      <w:r w:rsidRPr="00DC0293">
        <w:t>Application process</w:t>
      </w:r>
    </w:p>
    <w:p w14:paraId="0EFC895D" w14:textId="1D05C960" w:rsidR="00046C2F" w:rsidRDefault="00142AB4" w:rsidP="00156143">
      <w:r>
        <w:t>PGRs</w:t>
      </w:r>
      <w:r w:rsidR="001A52DF">
        <w:t xml:space="preserve"> </w:t>
      </w:r>
      <w:r w:rsidR="00BD5AAD">
        <w:t xml:space="preserve">should </w:t>
      </w:r>
      <w:r w:rsidR="005313F4">
        <w:t xml:space="preserve">apply </w:t>
      </w:r>
      <w:r w:rsidR="00DC0293">
        <w:t xml:space="preserve">online through </w:t>
      </w:r>
      <w:hyperlink r:id="rId14" w:history="1">
        <w:r w:rsidR="00DC0293" w:rsidRPr="00D36154">
          <w:rPr>
            <w:rStyle w:val="Hyperlink"/>
          </w:rPr>
          <w:t>SmartSurvey</w:t>
        </w:r>
      </w:hyperlink>
      <w:r w:rsidR="00567174">
        <w:t xml:space="preserve">. </w:t>
      </w:r>
      <w:r w:rsidR="006A2DE6">
        <w:t>The form ask</w:t>
      </w:r>
      <w:r w:rsidR="003601DE">
        <w:t>s</w:t>
      </w:r>
      <w:r w:rsidR="006A2DE6">
        <w:t xml:space="preserve"> </w:t>
      </w:r>
      <w:r>
        <w:t xml:space="preserve">PGRs </w:t>
      </w:r>
      <w:r w:rsidR="006A2DE6">
        <w:t xml:space="preserve">to provide </w:t>
      </w:r>
      <w:r w:rsidR="00BD5AAD">
        <w:t xml:space="preserve">details of the visit and how it will enhance their doctoral research. </w:t>
      </w:r>
    </w:p>
    <w:p w14:paraId="5E3AA2C0" w14:textId="42644E8C" w:rsidR="00046C2F" w:rsidRPr="00261CCE" w:rsidRDefault="00BD5AAD" w:rsidP="00156143">
      <w:r>
        <w:t xml:space="preserve">It is possible to </w:t>
      </w:r>
      <w:hyperlink r:id="rId15" w:history="1">
        <w:r w:rsidRPr="00156143">
          <w:rPr>
            <w:rStyle w:val="Hyperlink"/>
          </w:rPr>
          <w:t>preview</w:t>
        </w:r>
      </w:hyperlink>
      <w:r>
        <w:t xml:space="preserve"> the form before completing it</w:t>
      </w:r>
      <w:r w:rsidR="00046C2F">
        <w:t xml:space="preserve"> (use the drop down menu in the top right hand corner to navigate the form)</w:t>
      </w:r>
      <w:r>
        <w:t xml:space="preserve">. </w:t>
      </w:r>
      <w:r w:rsidR="00156143" w:rsidRPr="00156143">
        <w:rPr>
          <w:lang w:val="en-CA"/>
        </w:rPr>
        <w:t xml:space="preserve">Applicants can use the ‘save and continue’ feature to save the proposal and continue later (a link is sent to the applicant’s email address). </w:t>
      </w:r>
    </w:p>
    <w:p w14:paraId="0A5B35F6" w14:textId="2079D6B0" w:rsidR="00630C03" w:rsidRDefault="006A2DE6" w:rsidP="00B834C2">
      <w:r>
        <w:t xml:space="preserve">In addition to completing the online application form, applicants will be required to submit the following: </w:t>
      </w:r>
    </w:p>
    <w:p w14:paraId="1EFD4D86" w14:textId="69A6EB68" w:rsidR="004E329E" w:rsidRDefault="005313F4" w:rsidP="00B834C2">
      <w:pPr>
        <w:pStyle w:val="ListParagraph"/>
        <w:numPr>
          <w:ilvl w:val="0"/>
          <w:numId w:val="18"/>
        </w:numPr>
      </w:pPr>
      <w:r>
        <w:t xml:space="preserve">a </w:t>
      </w:r>
      <w:r w:rsidR="00DD58D0">
        <w:t xml:space="preserve">statement </w:t>
      </w:r>
      <w:r w:rsidR="006A2DE6">
        <w:t xml:space="preserve">of support </w:t>
      </w:r>
      <w:r>
        <w:t>from their supervisor</w:t>
      </w:r>
      <w:r w:rsidR="00CB3EEE">
        <w:t>s</w:t>
      </w:r>
      <w:r>
        <w:t xml:space="preserve"> </w:t>
      </w:r>
    </w:p>
    <w:p w14:paraId="0EA33309" w14:textId="3825268E" w:rsidR="005313F4" w:rsidRDefault="00DB00D7" w:rsidP="00B834C2">
      <w:pPr>
        <w:pStyle w:val="ListParagraph"/>
        <w:numPr>
          <w:ilvl w:val="0"/>
          <w:numId w:val="18"/>
        </w:numPr>
      </w:pPr>
      <w:r>
        <w:t xml:space="preserve">a </w:t>
      </w:r>
      <w:r w:rsidR="00DD58D0">
        <w:t xml:space="preserve">statement </w:t>
      </w:r>
      <w:r>
        <w:t xml:space="preserve">of support </w:t>
      </w:r>
      <w:r w:rsidR="00DC0293">
        <w:t xml:space="preserve">from </w:t>
      </w:r>
      <w:r>
        <w:t xml:space="preserve">the </w:t>
      </w:r>
      <w:r w:rsidR="005313F4">
        <w:t xml:space="preserve">academic </w:t>
      </w:r>
      <w:r w:rsidR="00DD3413">
        <w:t xml:space="preserve">supervisor </w:t>
      </w:r>
      <w:r w:rsidR="008213C7">
        <w:t xml:space="preserve">at the </w:t>
      </w:r>
      <w:r w:rsidR="00DC0293">
        <w:t xml:space="preserve">host </w:t>
      </w:r>
      <w:r w:rsidR="008213C7">
        <w:t>institution</w:t>
      </w:r>
    </w:p>
    <w:p w14:paraId="3D0A9218" w14:textId="6A68F711" w:rsidR="006A2DE6" w:rsidRDefault="003601DE" w:rsidP="00B834C2">
      <w:pPr>
        <w:pStyle w:val="ListParagraph"/>
        <w:numPr>
          <w:ilvl w:val="0"/>
          <w:numId w:val="18"/>
        </w:numPr>
      </w:pPr>
      <w:r>
        <w:t xml:space="preserve">an abbreviated </w:t>
      </w:r>
      <w:r w:rsidR="006A2DE6">
        <w:t>CV</w:t>
      </w:r>
      <w:r w:rsidR="00CB3EEE">
        <w:t xml:space="preserve"> (1 page)</w:t>
      </w:r>
    </w:p>
    <w:p w14:paraId="1F6B8D53" w14:textId="33A8BB53" w:rsidR="00DC0293" w:rsidRDefault="00DC0293" w:rsidP="0065376B">
      <w:pPr>
        <w:pStyle w:val="Heading2"/>
      </w:pPr>
      <w:r w:rsidRPr="00DC0293">
        <w:t>Timeline</w:t>
      </w:r>
    </w:p>
    <w:p w14:paraId="32CDC18A" w14:textId="382E29A8" w:rsidR="00DC0293" w:rsidRDefault="00230B7D" w:rsidP="00B834C2">
      <w:r>
        <w:t>The e</w:t>
      </w:r>
      <w:r w:rsidR="00DC0293" w:rsidRPr="00630C03">
        <w:t xml:space="preserve">arliest start date for </w:t>
      </w:r>
      <w:r w:rsidR="004E329E">
        <w:t xml:space="preserve">placements is </w:t>
      </w:r>
      <w:r w:rsidR="00DC0293" w:rsidRPr="00630C03">
        <w:t>1</w:t>
      </w:r>
      <w:r w:rsidR="00261CCE" w:rsidRPr="00261CCE">
        <w:rPr>
          <w:vertAlign w:val="superscript"/>
        </w:rPr>
        <w:t>st</w:t>
      </w:r>
      <w:r w:rsidR="00261CCE">
        <w:t xml:space="preserve"> September</w:t>
      </w:r>
      <w:r w:rsidR="00630C03">
        <w:t xml:space="preserve"> 2022</w:t>
      </w:r>
      <w:r w:rsidR="00DD3413">
        <w:t xml:space="preserve">. </w:t>
      </w:r>
      <w:r>
        <w:t>The l</w:t>
      </w:r>
      <w:r w:rsidR="00DC0293" w:rsidRPr="00630C03">
        <w:t xml:space="preserve">atest </w:t>
      </w:r>
      <w:r w:rsidR="00630C03" w:rsidRPr="00630C03">
        <w:t xml:space="preserve">start </w:t>
      </w:r>
      <w:r w:rsidR="00DC0293" w:rsidRPr="00630C03">
        <w:t xml:space="preserve">date </w:t>
      </w:r>
      <w:r w:rsidR="00DD3413">
        <w:t>for 4 week placement</w:t>
      </w:r>
      <w:r>
        <w:t>s</w:t>
      </w:r>
      <w:r w:rsidR="00DD3413">
        <w:t xml:space="preserve"> is</w:t>
      </w:r>
      <w:r w:rsidR="00927216">
        <w:t xml:space="preserve"> 31st</w:t>
      </w:r>
      <w:r w:rsidR="00DD3413">
        <w:t xml:space="preserve"> </w:t>
      </w:r>
      <w:r w:rsidR="00630C03" w:rsidRPr="00630C03">
        <w:t>July</w:t>
      </w:r>
      <w:r w:rsidR="00261CCE">
        <w:t xml:space="preserve"> 2023</w:t>
      </w:r>
      <w:r w:rsidR="00564834">
        <w:t>.</w:t>
      </w:r>
      <w:r w:rsidR="00DD3413">
        <w:t xml:space="preserve"> All placements mus</w:t>
      </w:r>
      <w:r w:rsidR="00261CCE">
        <w:t>t be completed by 31 August 2023</w:t>
      </w:r>
      <w:r w:rsidR="00DD3413">
        <w:t xml:space="preserve">. </w:t>
      </w:r>
    </w:p>
    <w:p w14:paraId="5DAF9A61" w14:textId="123678C0" w:rsidR="00802003" w:rsidRDefault="00802003" w:rsidP="00802003">
      <w:pPr>
        <w:spacing w:after="10"/>
        <w:ind w:left="-5"/>
      </w:pPr>
      <w:r>
        <w:lastRenderedPageBreak/>
        <w:t xml:space="preserve">The deadline for applications is </w:t>
      </w:r>
      <w:r w:rsidRPr="00A85CC8">
        <w:t>12:00pm</w:t>
      </w:r>
      <w:r w:rsidR="00261CCE">
        <w:t xml:space="preserve"> Monday 13</w:t>
      </w:r>
      <w:r w:rsidR="00224B96" w:rsidRPr="00224B96">
        <w:rPr>
          <w:vertAlign w:val="superscript"/>
        </w:rPr>
        <w:t>th</w:t>
      </w:r>
      <w:r w:rsidR="00261CCE">
        <w:t xml:space="preserve"> June</w:t>
      </w:r>
      <w:r>
        <w:t>. Applicants will be notifie</w:t>
      </w:r>
      <w:r w:rsidR="00261CCE">
        <w:t>d of decisions by early July</w:t>
      </w:r>
      <w:r w:rsidRPr="00A85CC8">
        <w:t>.</w:t>
      </w:r>
      <w:r>
        <w:rPr>
          <w:b/>
        </w:rPr>
        <w:t xml:space="preserve"> </w:t>
      </w:r>
    </w:p>
    <w:tbl>
      <w:tblPr>
        <w:tblStyle w:val="TableGrid"/>
        <w:tblW w:w="0" w:type="auto"/>
        <w:tblLook w:val="04A0" w:firstRow="1" w:lastRow="0" w:firstColumn="1" w:lastColumn="0" w:noHBand="0" w:noVBand="1"/>
      </w:tblPr>
      <w:tblGrid>
        <w:gridCol w:w="2140"/>
        <w:gridCol w:w="2958"/>
      </w:tblGrid>
      <w:tr w:rsidR="00DC0293" w14:paraId="24431E53" w14:textId="77777777" w:rsidTr="00BD580C">
        <w:tc>
          <w:tcPr>
            <w:tcW w:w="0" w:type="auto"/>
          </w:tcPr>
          <w:p w14:paraId="2051F897" w14:textId="77777777" w:rsidR="00DC0293" w:rsidRDefault="00DC0293" w:rsidP="00B834C2">
            <w:bookmarkStart w:id="0" w:name="_GoBack" w:colFirst="0" w:colLast="1"/>
            <w:r>
              <w:t>Open for applications</w:t>
            </w:r>
          </w:p>
          <w:p w14:paraId="3523FC59" w14:textId="77777777" w:rsidR="00DC0293" w:rsidRDefault="00DC0293" w:rsidP="00B834C2">
            <w:pPr>
              <w:rPr>
                <w:b/>
              </w:rPr>
            </w:pPr>
          </w:p>
        </w:tc>
        <w:tc>
          <w:tcPr>
            <w:tcW w:w="2958" w:type="dxa"/>
          </w:tcPr>
          <w:p w14:paraId="4094B727" w14:textId="46E98ED5" w:rsidR="00DC0293" w:rsidRPr="00DC0293" w:rsidRDefault="00261CCE" w:rsidP="00D36154">
            <w:r>
              <w:t>Friday 29</w:t>
            </w:r>
            <w:r w:rsidR="00802003" w:rsidRPr="00802003">
              <w:rPr>
                <w:vertAlign w:val="superscript"/>
              </w:rPr>
              <w:t>th</w:t>
            </w:r>
            <w:r w:rsidR="00802003">
              <w:t xml:space="preserve"> </w:t>
            </w:r>
            <w:r>
              <w:t>April 2022</w:t>
            </w:r>
          </w:p>
        </w:tc>
      </w:tr>
      <w:tr w:rsidR="00DC0293" w14:paraId="30DF44E6" w14:textId="77777777" w:rsidTr="00BD580C">
        <w:tc>
          <w:tcPr>
            <w:tcW w:w="0" w:type="auto"/>
          </w:tcPr>
          <w:p w14:paraId="236778B5" w14:textId="77777777" w:rsidR="00DC0293" w:rsidRDefault="00DC0293" w:rsidP="00B834C2">
            <w:r>
              <w:t>Closing date</w:t>
            </w:r>
          </w:p>
          <w:p w14:paraId="3DEF10BF" w14:textId="77777777" w:rsidR="00DC0293" w:rsidRDefault="00DC0293" w:rsidP="00B834C2">
            <w:pPr>
              <w:rPr>
                <w:b/>
              </w:rPr>
            </w:pPr>
          </w:p>
        </w:tc>
        <w:tc>
          <w:tcPr>
            <w:tcW w:w="2958" w:type="dxa"/>
          </w:tcPr>
          <w:p w14:paraId="17624AE1" w14:textId="13770F89" w:rsidR="00DC0293" w:rsidRPr="00DC0293" w:rsidRDefault="00802003" w:rsidP="00261CCE">
            <w:r>
              <w:t xml:space="preserve">Monday </w:t>
            </w:r>
            <w:r w:rsidR="00261CCE">
              <w:t>13</w:t>
            </w:r>
            <w:r w:rsidR="00261CCE" w:rsidRPr="00261CCE">
              <w:rPr>
                <w:vertAlign w:val="superscript"/>
              </w:rPr>
              <w:t>th</w:t>
            </w:r>
            <w:r w:rsidR="00261CCE">
              <w:t xml:space="preserve"> June 2022</w:t>
            </w:r>
          </w:p>
        </w:tc>
      </w:tr>
      <w:tr w:rsidR="00DC0293" w14:paraId="091AEF2C" w14:textId="77777777" w:rsidTr="00BD580C">
        <w:tc>
          <w:tcPr>
            <w:tcW w:w="0" w:type="auto"/>
          </w:tcPr>
          <w:p w14:paraId="1AA5FD3F" w14:textId="77777777" w:rsidR="00DC0293" w:rsidRDefault="00DC0293" w:rsidP="00B834C2">
            <w:r>
              <w:t xml:space="preserve">Applicants notified </w:t>
            </w:r>
          </w:p>
          <w:p w14:paraId="0062F703" w14:textId="77777777" w:rsidR="00DC0293" w:rsidRDefault="00DC0293" w:rsidP="00B834C2">
            <w:pPr>
              <w:rPr>
                <w:b/>
              </w:rPr>
            </w:pPr>
          </w:p>
        </w:tc>
        <w:tc>
          <w:tcPr>
            <w:tcW w:w="2958" w:type="dxa"/>
          </w:tcPr>
          <w:p w14:paraId="6FAADE31" w14:textId="4FD54CD9" w:rsidR="00DC0293" w:rsidRPr="00DC0293" w:rsidRDefault="00261CCE" w:rsidP="00224B96">
            <w:r>
              <w:t>Early</w:t>
            </w:r>
            <w:r w:rsidR="00224B96">
              <w:t xml:space="preserve"> </w:t>
            </w:r>
            <w:r>
              <w:t>July 2022</w:t>
            </w:r>
          </w:p>
        </w:tc>
      </w:tr>
      <w:bookmarkEnd w:id="0"/>
    </w:tbl>
    <w:p w14:paraId="151FCAD9" w14:textId="77777777" w:rsidR="00DC0293" w:rsidRPr="00DC0293" w:rsidRDefault="00DC0293" w:rsidP="00DC0293">
      <w:pPr>
        <w:pStyle w:val="NoSpacing"/>
        <w:rPr>
          <w:b/>
        </w:rPr>
      </w:pPr>
    </w:p>
    <w:p w14:paraId="50413C7F" w14:textId="77777777" w:rsidR="00DC0293" w:rsidRPr="00C0591C" w:rsidRDefault="00DC0293" w:rsidP="0065376B">
      <w:pPr>
        <w:pStyle w:val="Heading2"/>
      </w:pPr>
      <w:r w:rsidRPr="00C0591C">
        <w:t>Review process</w:t>
      </w:r>
    </w:p>
    <w:p w14:paraId="29383FDC" w14:textId="12F41994" w:rsidR="00E079D2" w:rsidRDefault="00D36154" w:rsidP="00D36154">
      <w:r w:rsidRPr="00206F51">
        <w:t>An internal</w:t>
      </w:r>
      <w:r>
        <w:rPr>
          <w:sz w:val="24"/>
          <w:szCs w:val="24"/>
        </w:rPr>
        <w:t xml:space="preserve"> </w:t>
      </w:r>
      <w:r w:rsidRPr="00D36154">
        <w:t xml:space="preserve">review </w:t>
      </w:r>
      <w:r>
        <w:t xml:space="preserve">panel </w:t>
      </w:r>
      <w:r w:rsidRPr="00D36154">
        <w:t xml:space="preserve">will assess </w:t>
      </w:r>
      <w:r>
        <w:t>applications.  F</w:t>
      </w:r>
      <w:r w:rsidR="003601DE">
        <w:t xml:space="preserve">unding decisions will be based on the quality of the </w:t>
      </w:r>
      <w:r w:rsidR="0042675A">
        <w:t xml:space="preserve">following </w:t>
      </w:r>
      <w:r w:rsidR="003601DE">
        <w:t xml:space="preserve">assessment </w:t>
      </w:r>
      <w:r w:rsidR="0042675A" w:rsidRPr="003601DE">
        <w:t>criteria:</w:t>
      </w:r>
    </w:p>
    <w:p w14:paraId="60BE88CD" w14:textId="0444EEC1" w:rsidR="0042675A" w:rsidRDefault="003601DE" w:rsidP="00B834C2">
      <w:pPr>
        <w:pStyle w:val="ListParagraph"/>
        <w:numPr>
          <w:ilvl w:val="0"/>
          <w:numId w:val="19"/>
        </w:numPr>
      </w:pPr>
      <w:r>
        <w:t xml:space="preserve">The purpose of the visit and value added to the </w:t>
      </w:r>
      <w:r w:rsidR="00142AB4">
        <w:t xml:space="preserve">PGR’s </w:t>
      </w:r>
      <w:r>
        <w:t>doctoral programme</w:t>
      </w:r>
    </w:p>
    <w:p w14:paraId="31EE320B" w14:textId="386B49F3" w:rsidR="003601DE" w:rsidRPr="0042675A" w:rsidRDefault="003601DE" w:rsidP="00B834C2">
      <w:pPr>
        <w:pStyle w:val="ListParagraph"/>
        <w:numPr>
          <w:ilvl w:val="0"/>
          <w:numId w:val="19"/>
        </w:numPr>
      </w:pPr>
      <w:r>
        <w:t xml:space="preserve">The intended work plan (the plan should be realistic and achievable) </w:t>
      </w:r>
    </w:p>
    <w:p w14:paraId="0892F8D1" w14:textId="77777777" w:rsidR="0042675A" w:rsidRPr="0042675A" w:rsidRDefault="0042675A" w:rsidP="00B834C2">
      <w:pPr>
        <w:pStyle w:val="ListParagraph"/>
        <w:numPr>
          <w:ilvl w:val="0"/>
          <w:numId w:val="19"/>
        </w:numPr>
      </w:pPr>
      <w:r w:rsidRPr="0042675A">
        <w:t>Level of supervision and mentorship committed by the host supervisor</w:t>
      </w:r>
    </w:p>
    <w:p w14:paraId="09602353" w14:textId="57DB4880" w:rsidR="0042675A" w:rsidRPr="0042675A" w:rsidRDefault="0042675A" w:rsidP="00B834C2">
      <w:pPr>
        <w:pStyle w:val="ListParagraph"/>
        <w:numPr>
          <w:ilvl w:val="0"/>
          <w:numId w:val="19"/>
        </w:numPr>
      </w:pPr>
      <w:r w:rsidRPr="0042675A">
        <w:t>Strength of recommendation by the home supervisor</w:t>
      </w:r>
      <w:r w:rsidR="00CB3EEE">
        <w:t>s</w:t>
      </w:r>
    </w:p>
    <w:p w14:paraId="22945B1C" w14:textId="3985FEEF" w:rsidR="0042675A" w:rsidRPr="0042675A" w:rsidRDefault="0042675A" w:rsidP="00B834C2">
      <w:pPr>
        <w:pStyle w:val="ListParagraph"/>
        <w:numPr>
          <w:ilvl w:val="0"/>
          <w:numId w:val="19"/>
        </w:numPr>
      </w:pPr>
      <w:r>
        <w:t xml:space="preserve">The wider value of the placement e.g. </w:t>
      </w:r>
      <w:r w:rsidR="00BA2ACC">
        <w:t>opening up wider opportunities for collaboration</w:t>
      </w:r>
      <w:r w:rsidR="00D36154">
        <w:t>.</w:t>
      </w:r>
    </w:p>
    <w:p w14:paraId="599525E4" w14:textId="14C9B8BC" w:rsidR="00DB00D7" w:rsidRDefault="00DB00D7" w:rsidP="00FF745B">
      <w:pPr>
        <w:pStyle w:val="Heading2"/>
      </w:pPr>
      <w:r>
        <w:t>Reporting</w:t>
      </w:r>
    </w:p>
    <w:p w14:paraId="19C0BD9F" w14:textId="2345B99B" w:rsidR="00DB00D7" w:rsidRPr="00DB00D7" w:rsidRDefault="00DB00D7" w:rsidP="00DB00D7">
      <w:r>
        <w:t xml:space="preserve">Scheme participants </w:t>
      </w:r>
      <w:r w:rsidR="00A546C3">
        <w:t xml:space="preserve">must, as a condition of receiving funding, </w:t>
      </w:r>
      <w:r>
        <w:t xml:space="preserve">complete a report </w:t>
      </w:r>
      <w:r w:rsidR="00A546C3">
        <w:rPr>
          <w:sz w:val="23"/>
          <w:szCs w:val="23"/>
        </w:rPr>
        <w:t xml:space="preserve">that describes the outcomes of the placement </w:t>
      </w:r>
      <w:r>
        <w:t xml:space="preserve">no more than one month after </w:t>
      </w:r>
      <w:r w:rsidR="00A546C3">
        <w:t xml:space="preserve">return home. </w:t>
      </w:r>
      <w:r w:rsidR="008D61D2">
        <w:t xml:space="preserve">A report format will be provided to successful applicants. </w:t>
      </w:r>
    </w:p>
    <w:p w14:paraId="38F54185" w14:textId="47DE350C" w:rsidR="00FF745B" w:rsidRDefault="00FF745B" w:rsidP="00FF745B">
      <w:pPr>
        <w:pStyle w:val="Heading2"/>
      </w:pPr>
      <w:r>
        <w:t>Contact</w:t>
      </w:r>
    </w:p>
    <w:p w14:paraId="6E2B1BA3" w14:textId="4BF224C9" w:rsidR="003601DE" w:rsidRDefault="00261CCE" w:rsidP="0081709B">
      <w:pPr>
        <w:pStyle w:val="NoSpacing"/>
      </w:pPr>
      <w:r>
        <w:t>Elliot Rankin-Jones</w:t>
      </w:r>
    </w:p>
    <w:p w14:paraId="6826478B" w14:textId="6D944212" w:rsidR="0081709B" w:rsidRDefault="00261CCE" w:rsidP="0081709B">
      <w:pPr>
        <w:pStyle w:val="NoSpacing"/>
      </w:pPr>
      <w:r>
        <w:t>Internationalisation Senior Administrator</w:t>
      </w:r>
      <w:r w:rsidR="0081709B">
        <w:t xml:space="preserve">, </w:t>
      </w:r>
      <w:r>
        <w:t>Research Development &amp; Innovation</w:t>
      </w:r>
    </w:p>
    <w:p w14:paraId="234B19F9" w14:textId="14A04BD9" w:rsidR="003601DE" w:rsidRDefault="00261CCE" w:rsidP="0081709B">
      <w:pPr>
        <w:pStyle w:val="NoSpacing"/>
      </w:pPr>
      <w:r>
        <w:t>Faculty of Science &amp; Engineering</w:t>
      </w:r>
    </w:p>
    <w:p w14:paraId="664F05D1" w14:textId="4AA8F8DF" w:rsidR="0081709B" w:rsidRPr="0081709B" w:rsidRDefault="0081709B" w:rsidP="0081709B">
      <w:pPr>
        <w:pStyle w:val="NoSpacing"/>
      </w:pPr>
      <w:r>
        <w:t xml:space="preserve">e: </w:t>
      </w:r>
      <w:r w:rsidR="00261CCE">
        <w:t>elliot.rankin-jones</w:t>
      </w:r>
      <w:r w:rsidRPr="0081709B">
        <w:t xml:space="preserve">@manchester.ac.uk </w:t>
      </w:r>
    </w:p>
    <w:p w14:paraId="659E0B29" w14:textId="77777777" w:rsidR="006419A6" w:rsidRDefault="006419A6" w:rsidP="00B834C2">
      <w:pPr>
        <w:sectPr w:rsidR="006419A6" w:rsidSect="00437A42">
          <w:pgSz w:w="11906" w:h="16838"/>
          <w:pgMar w:top="1440" w:right="1440" w:bottom="851" w:left="1440" w:header="708" w:footer="708" w:gutter="0"/>
          <w:cols w:space="708"/>
          <w:docGrid w:linePitch="360"/>
        </w:sectPr>
      </w:pPr>
    </w:p>
    <w:p w14:paraId="20874894" w14:textId="6C9E35BB" w:rsidR="00DF39DB" w:rsidRDefault="002E3C31" w:rsidP="00F72642">
      <w:pPr>
        <w:pStyle w:val="Heading1"/>
      </w:pPr>
      <w:r w:rsidRPr="002E3C31">
        <w:lastRenderedPageBreak/>
        <w:t xml:space="preserve">Annex A: List of host institutions </w:t>
      </w:r>
    </w:p>
    <w:p w14:paraId="6DAE0618" w14:textId="77777777" w:rsidR="00324606" w:rsidRDefault="00324606" w:rsidP="0019583E">
      <w:pPr>
        <w:pStyle w:val="NoSpacing"/>
      </w:pPr>
    </w:p>
    <w:p w14:paraId="42739859" w14:textId="0F092A72" w:rsidR="0019583E" w:rsidRDefault="0019583E" w:rsidP="00BD580C">
      <w:pPr>
        <w:pStyle w:val="NoSpacing"/>
        <w:spacing w:line="360" w:lineRule="auto"/>
      </w:pPr>
      <w:r>
        <w:t>A*STAR</w:t>
      </w:r>
      <w:r w:rsidR="00324606">
        <w:t xml:space="preserve"> (</w:t>
      </w:r>
      <w:r w:rsidR="00324606" w:rsidRPr="00324606">
        <w:t>The Agency for S</w:t>
      </w:r>
      <w:r w:rsidR="00324606">
        <w:t>cience, Technology and Research), Singapore</w:t>
      </w:r>
    </w:p>
    <w:p w14:paraId="4388C7F5" w14:textId="77777777" w:rsidR="0019583E" w:rsidRPr="005E1418" w:rsidRDefault="0019583E" w:rsidP="00BD580C">
      <w:pPr>
        <w:pStyle w:val="NoSpacing"/>
        <w:spacing w:line="360" w:lineRule="auto"/>
      </w:pPr>
      <w:r>
        <w:t xml:space="preserve">The </w:t>
      </w:r>
      <w:r w:rsidRPr="005E1418">
        <w:t>C</w:t>
      </w:r>
      <w:r>
        <w:t xml:space="preserve">hinese </w:t>
      </w:r>
      <w:r w:rsidRPr="005E1418">
        <w:t>U</w:t>
      </w:r>
      <w:r>
        <w:t xml:space="preserve">niversity of </w:t>
      </w:r>
      <w:r w:rsidRPr="005E1418">
        <w:t>H</w:t>
      </w:r>
      <w:r>
        <w:t xml:space="preserve">ong </w:t>
      </w:r>
      <w:r w:rsidRPr="005E1418">
        <w:t>K</w:t>
      </w:r>
      <w:r>
        <w:t xml:space="preserve">ong </w:t>
      </w:r>
    </w:p>
    <w:p w14:paraId="3EE53D85" w14:textId="32886A3A" w:rsidR="005825EA" w:rsidRDefault="0019583E" w:rsidP="00BD580C">
      <w:pPr>
        <w:pStyle w:val="NoSpacing"/>
        <w:spacing w:line="360" w:lineRule="auto"/>
      </w:pPr>
      <w:r w:rsidRPr="00BE6D9F">
        <w:t>E</w:t>
      </w:r>
      <w:r>
        <w:t xml:space="preserve">uropean </w:t>
      </w:r>
      <w:r w:rsidRPr="00BE6D9F">
        <w:t>U</w:t>
      </w:r>
      <w:r>
        <w:t xml:space="preserve">niversity </w:t>
      </w:r>
      <w:r w:rsidRPr="00BE6D9F">
        <w:t>I</w:t>
      </w:r>
      <w:r>
        <w:t>nstitute</w:t>
      </w:r>
    </w:p>
    <w:p w14:paraId="1E9CAFA7" w14:textId="77777777" w:rsidR="0019583E" w:rsidRDefault="0019583E" w:rsidP="00BD580C">
      <w:pPr>
        <w:pStyle w:val="NoSpacing"/>
        <w:spacing w:line="360" w:lineRule="auto"/>
      </w:pPr>
      <w:r>
        <w:t>Huazhong University of Science &amp; Technology</w:t>
      </w:r>
    </w:p>
    <w:p w14:paraId="5D2781BC" w14:textId="77777777" w:rsidR="0019583E" w:rsidRDefault="0019583E" w:rsidP="00BD580C">
      <w:pPr>
        <w:pStyle w:val="NoSpacing"/>
        <w:spacing w:line="360" w:lineRule="auto"/>
      </w:pPr>
      <w:r>
        <w:t xml:space="preserve">Indian institute of Science (IISc), Bangalore </w:t>
      </w:r>
    </w:p>
    <w:p w14:paraId="1E18585B" w14:textId="77777777" w:rsidR="0019583E" w:rsidRDefault="0019583E" w:rsidP="00BD580C">
      <w:pPr>
        <w:pStyle w:val="NoSpacing"/>
        <w:spacing w:line="360" w:lineRule="auto"/>
      </w:pPr>
      <w:r>
        <w:t xml:space="preserve">Indian Institute of Technology (IIT), </w:t>
      </w:r>
      <w:r w:rsidRPr="002E3C31">
        <w:t>Kharagpur</w:t>
      </w:r>
    </w:p>
    <w:p w14:paraId="1F26E876" w14:textId="1A02AF24" w:rsidR="0019583E" w:rsidRDefault="0019583E" w:rsidP="00BD580C">
      <w:pPr>
        <w:pStyle w:val="NoSpacing"/>
        <w:spacing w:line="360" w:lineRule="auto"/>
      </w:pPr>
      <w:r>
        <w:t>Indian Institute of Technology (IIT), Madras</w:t>
      </w:r>
    </w:p>
    <w:p w14:paraId="182EAB28" w14:textId="77777777" w:rsidR="0019583E" w:rsidRDefault="0019583E" w:rsidP="00BD580C">
      <w:pPr>
        <w:pStyle w:val="NoSpacing"/>
        <w:spacing w:line="360" w:lineRule="auto"/>
      </w:pPr>
      <w:r>
        <w:t xml:space="preserve">King Saud University </w:t>
      </w:r>
    </w:p>
    <w:p w14:paraId="3FDC4517" w14:textId="77777777" w:rsidR="0019583E" w:rsidRDefault="0019583E" w:rsidP="00BD580C">
      <w:pPr>
        <w:pStyle w:val="NoSpacing"/>
        <w:spacing w:line="360" w:lineRule="auto"/>
      </w:pPr>
      <w:r>
        <w:t>Korean Advanced Institute of Science and Technology</w:t>
      </w:r>
    </w:p>
    <w:p w14:paraId="58F6408F" w14:textId="7A17A65B" w:rsidR="0019583E" w:rsidRDefault="0019583E" w:rsidP="00BD580C">
      <w:pPr>
        <w:pStyle w:val="NoSpacing"/>
        <w:spacing w:line="360" w:lineRule="auto"/>
      </w:pPr>
      <w:r w:rsidRPr="005E1418">
        <w:t xml:space="preserve">KTH </w:t>
      </w:r>
      <w:r>
        <w:t>Royal Institute of Technology</w:t>
      </w:r>
    </w:p>
    <w:p w14:paraId="3C2A16C8" w14:textId="77777777" w:rsidR="0019583E" w:rsidRDefault="0019583E" w:rsidP="00BD580C">
      <w:pPr>
        <w:pStyle w:val="NoSpacing"/>
        <w:spacing w:line="360" w:lineRule="auto"/>
      </w:pPr>
      <w:r>
        <w:t>Ministry of Health, Kenya and Kenyatta University Teaching, Referral and Research Hospital</w:t>
      </w:r>
    </w:p>
    <w:p w14:paraId="200B9512" w14:textId="77777777" w:rsidR="00324606" w:rsidRDefault="00324606" w:rsidP="00BD580C">
      <w:pPr>
        <w:pStyle w:val="NoSpacing"/>
        <w:spacing w:line="360" w:lineRule="auto"/>
      </w:pPr>
      <w:r w:rsidRPr="002E3C31">
        <w:t>Na</w:t>
      </w:r>
      <w:r>
        <w:t>nyang Technological University</w:t>
      </w:r>
    </w:p>
    <w:p w14:paraId="1F7D2BC5" w14:textId="77777777" w:rsidR="00324606" w:rsidRDefault="00324606" w:rsidP="00BD580C">
      <w:pPr>
        <w:pStyle w:val="NoSpacing"/>
        <w:spacing w:line="360" w:lineRule="auto"/>
      </w:pPr>
      <w:r>
        <w:t>National University Singapore</w:t>
      </w:r>
    </w:p>
    <w:p w14:paraId="79619BCE" w14:textId="77777777" w:rsidR="00324606" w:rsidRDefault="00324606" w:rsidP="00BD580C">
      <w:pPr>
        <w:pStyle w:val="NoSpacing"/>
        <w:spacing w:line="360" w:lineRule="auto"/>
      </w:pPr>
      <w:r>
        <w:t>Peking University Health Sciences Centre</w:t>
      </w:r>
    </w:p>
    <w:p w14:paraId="366011EE" w14:textId="3EDDAC24" w:rsidR="0019583E" w:rsidRDefault="00324606" w:rsidP="00BD580C">
      <w:pPr>
        <w:pStyle w:val="NoSpacing"/>
        <w:spacing w:line="360" w:lineRule="auto"/>
      </w:pPr>
      <w:r w:rsidRPr="00BE6D9F">
        <w:t>Renmin</w:t>
      </w:r>
      <w:r>
        <w:t xml:space="preserve"> University</w:t>
      </w:r>
    </w:p>
    <w:p w14:paraId="7FBEA783" w14:textId="502D43E0" w:rsidR="00324606" w:rsidRDefault="00324606" w:rsidP="00BD580C">
      <w:pPr>
        <w:pStyle w:val="NoSpacing"/>
        <w:spacing w:line="360" w:lineRule="auto"/>
      </w:pPr>
      <w:r>
        <w:t>Sabanci University</w:t>
      </w:r>
    </w:p>
    <w:p w14:paraId="11E60B97" w14:textId="77777777" w:rsidR="00324606" w:rsidRDefault="00324606" w:rsidP="00BD580C">
      <w:pPr>
        <w:pStyle w:val="NoSpacing"/>
        <w:spacing w:line="360" w:lineRule="auto"/>
      </w:pPr>
      <w:r>
        <w:t>Shanghai Jiao Tong University School of Medicine</w:t>
      </w:r>
    </w:p>
    <w:p w14:paraId="4DAEDADA" w14:textId="77777777" w:rsidR="00324606" w:rsidRPr="005E1418" w:rsidRDefault="00324606" w:rsidP="00BD580C">
      <w:pPr>
        <w:pStyle w:val="NoSpacing"/>
        <w:spacing w:line="360" w:lineRule="auto"/>
      </w:pPr>
      <w:r w:rsidRPr="005E1418">
        <w:t>Stockho</w:t>
      </w:r>
      <w:r>
        <w:t>l</w:t>
      </w:r>
      <w:r w:rsidRPr="005E1418">
        <w:t>m University</w:t>
      </w:r>
    </w:p>
    <w:p w14:paraId="79D26BF2" w14:textId="77777777" w:rsidR="00324606" w:rsidRPr="005E1418" w:rsidRDefault="00324606" w:rsidP="00BD580C">
      <w:pPr>
        <w:pStyle w:val="NoSpacing"/>
        <w:spacing w:line="360" w:lineRule="auto"/>
      </w:pPr>
      <w:r w:rsidRPr="005E1418">
        <w:t>Tel Aviv University</w:t>
      </w:r>
    </w:p>
    <w:p w14:paraId="5C301CC3" w14:textId="44F1EF22" w:rsidR="005E1418" w:rsidRDefault="006419A6" w:rsidP="00BD580C">
      <w:pPr>
        <w:pStyle w:val="NoSpacing"/>
        <w:spacing w:line="360" w:lineRule="auto"/>
      </w:pPr>
      <w:r>
        <w:t xml:space="preserve">The University of </w:t>
      </w:r>
      <w:r w:rsidR="005E1418" w:rsidRPr="005E1418">
        <w:t>Melbourne</w:t>
      </w:r>
    </w:p>
    <w:p w14:paraId="106FBE13" w14:textId="6CB7A149" w:rsidR="00261CCE" w:rsidRPr="005E1418" w:rsidRDefault="00261CCE" w:rsidP="00BD580C">
      <w:pPr>
        <w:pStyle w:val="NoSpacing"/>
        <w:spacing w:line="360" w:lineRule="auto"/>
      </w:pPr>
      <w:r>
        <w:t>Tohoku University</w:t>
      </w:r>
    </w:p>
    <w:p w14:paraId="475B6050" w14:textId="77777777" w:rsidR="00324606" w:rsidRDefault="00324606" w:rsidP="00BD580C">
      <w:pPr>
        <w:pStyle w:val="NoSpacing"/>
        <w:spacing w:line="360" w:lineRule="auto"/>
      </w:pPr>
      <w:r>
        <w:t>Tokyo Institute of Technology</w:t>
      </w:r>
    </w:p>
    <w:p w14:paraId="1CCBCFAF" w14:textId="14996C44" w:rsidR="00324606" w:rsidRDefault="00324606" w:rsidP="00BD580C">
      <w:pPr>
        <w:pStyle w:val="NoSpacing"/>
        <w:spacing w:line="360" w:lineRule="auto"/>
      </w:pPr>
      <w:r w:rsidRPr="00BE6D9F">
        <w:t>Ton</w:t>
      </w:r>
      <w:r>
        <w:t>g</w:t>
      </w:r>
      <w:r w:rsidRPr="00BE6D9F">
        <w:t>ji</w:t>
      </w:r>
      <w:r>
        <w:t xml:space="preserve"> University</w:t>
      </w:r>
    </w:p>
    <w:p w14:paraId="4484F0A1" w14:textId="7F202468" w:rsidR="005E1418" w:rsidRDefault="005E1418" w:rsidP="00BD580C">
      <w:pPr>
        <w:pStyle w:val="NoSpacing"/>
        <w:spacing w:line="360" w:lineRule="auto"/>
      </w:pPr>
      <w:r>
        <w:t>Tsinghua</w:t>
      </w:r>
      <w:r w:rsidR="006419A6">
        <w:t xml:space="preserve"> University </w:t>
      </w:r>
    </w:p>
    <w:p w14:paraId="18102B0E" w14:textId="77777777" w:rsidR="00324606" w:rsidRDefault="00324606" w:rsidP="00BD580C">
      <w:pPr>
        <w:pStyle w:val="NoSpacing"/>
        <w:spacing w:line="360" w:lineRule="auto"/>
      </w:pPr>
      <w:r>
        <w:t>University of Amsterdam</w:t>
      </w:r>
    </w:p>
    <w:p w14:paraId="755FF3C1" w14:textId="77777777" w:rsidR="005E1418" w:rsidRDefault="005E1418" w:rsidP="00BD580C">
      <w:pPr>
        <w:pStyle w:val="NoSpacing"/>
        <w:spacing w:line="360" w:lineRule="auto"/>
      </w:pPr>
      <w:r>
        <w:t>University of Chile</w:t>
      </w:r>
    </w:p>
    <w:p w14:paraId="5188B08C" w14:textId="0974832A" w:rsidR="00BE6D9F" w:rsidRDefault="005E1418" w:rsidP="00BD580C">
      <w:pPr>
        <w:pStyle w:val="NoSpacing"/>
        <w:spacing w:line="360" w:lineRule="auto"/>
      </w:pPr>
      <w:r>
        <w:t xml:space="preserve">University of </w:t>
      </w:r>
      <w:r w:rsidR="00BE6D9F">
        <w:t>Copenhagen</w:t>
      </w:r>
    </w:p>
    <w:p w14:paraId="6E4958D3" w14:textId="77777777" w:rsidR="00324606" w:rsidRDefault="00324606" w:rsidP="00BD580C">
      <w:pPr>
        <w:pStyle w:val="NoSpacing"/>
        <w:spacing w:line="360" w:lineRule="auto"/>
      </w:pPr>
      <w:r>
        <w:t>University of Indiana</w:t>
      </w:r>
      <w:r w:rsidRPr="00BE6D9F">
        <w:t xml:space="preserve"> </w:t>
      </w:r>
    </w:p>
    <w:p w14:paraId="174EE908" w14:textId="77777777" w:rsidR="00324606" w:rsidRDefault="00324606" w:rsidP="00BD580C">
      <w:pPr>
        <w:pStyle w:val="NoSpacing"/>
        <w:spacing w:line="360" w:lineRule="auto"/>
      </w:pPr>
      <w:r>
        <w:lastRenderedPageBreak/>
        <w:t>University of Sao Paulo</w:t>
      </w:r>
    </w:p>
    <w:p w14:paraId="312DC7E2" w14:textId="0C6ED726" w:rsidR="00324606" w:rsidRPr="005E1418" w:rsidRDefault="00324606" w:rsidP="00BD580C">
      <w:pPr>
        <w:pStyle w:val="NoSpacing"/>
        <w:spacing w:line="360" w:lineRule="auto"/>
      </w:pPr>
      <w:r>
        <w:t xml:space="preserve">University of </w:t>
      </w:r>
      <w:r w:rsidRPr="005E1418">
        <w:t>Toronto</w:t>
      </w:r>
    </w:p>
    <w:p w14:paraId="6DE61738" w14:textId="5FB871D0" w:rsidR="005E1418" w:rsidRDefault="005E1418" w:rsidP="00BD580C">
      <w:pPr>
        <w:pStyle w:val="NoSpacing"/>
        <w:spacing w:line="360" w:lineRule="auto"/>
      </w:pPr>
      <w:r>
        <w:t>Weizmann Institute</w:t>
      </w:r>
      <w:r w:rsidR="006419A6">
        <w:t xml:space="preserve"> of Science</w:t>
      </w:r>
    </w:p>
    <w:p w14:paraId="7594E102" w14:textId="77777777" w:rsidR="005825EA" w:rsidRDefault="005825EA" w:rsidP="00BD580C">
      <w:pPr>
        <w:pStyle w:val="NoSpacing"/>
        <w:spacing w:line="360" w:lineRule="auto"/>
      </w:pPr>
    </w:p>
    <w:sectPr w:rsidR="005825EA" w:rsidSect="00051A27">
      <w:pgSz w:w="11906" w:h="16838"/>
      <w:pgMar w:top="124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0D371" w14:textId="77777777" w:rsidR="00711B2D" w:rsidRDefault="00711B2D" w:rsidP="0047569F">
      <w:pPr>
        <w:spacing w:after="0" w:line="240" w:lineRule="auto"/>
      </w:pPr>
      <w:r>
        <w:separator/>
      </w:r>
    </w:p>
  </w:endnote>
  <w:endnote w:type="continuationSeparator" w:id="0">
    <w:p w14:paraId="38D1E4E6" w14:textId="77777777" w:rsidR="00711B2D" w:rsidRDefault="00711B2D" w:rsidP="0047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D419C" w14:textId="77777777" w:rsidR="00711B2D" w:rsidRDefault="00711B2D" w:rsidP="0047569F">
      <w:pPr>
        <w:spacing w:after="0" w:line="240" w:lineRule="auto"/>
      </w:pPr>
      <w:r>
        <w:separator/>
      </w:r>
    </w:p>
  </w:footnote>
  <w:footnote w:type="continuationSeparator" w:id="0">
    <w:p w14:paraId="3150078A" w14:textId="77777777" w:rsidR="00711B2D" w:rsidRDefault="00711B2D" w:rsidP="00475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21A66"/>
    <w:multiLevelType w:val="hybridMultilevel"/>
    <w:tmpl w:val="353E07D6"/>
    <w:lvl w:ilvl="0" w:tplc="FB48C390">
      <w:start w:val="1"/>
      <w:numFmt w:val="lowerLetter"/>
      <w:lvlText w:val="%1."/>
      <w:lvlJc w:val="left"/>
      <w:pPr>
        <w:ind w:left="786" w:hanging="360"/>
      </w:pPr>
      <w:rPr>
        <w:rFonts w:hint="default"/>
        <w:b w:val="0"/>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1" w15:restartNumberingAfterBreak="0">
    <w:nsid w:val="134860E2"/>
    <w:multiLevelType w:val="hybridMultilevel"/>
    <w:tmpl w:val="0630AD86"/>
    <w:lvl w:ilvl="0" w:tplc="475886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7193F78"/>
    <w:multiLevelType w:val="multilevel"/>
    <w:tmpl w:val="48C88354"/>
    <w:lvl w:ilvl="0">
      <w:start w:val="3"/>
      <w:numFmt w:val="decimal"/>
      <w:lvlText w:val="%1"/>
      <w:lvlJc w:val="left"/>
      <w:pPr>
        <w:ind w:left="360" w:hanging="360"/>
      </w:pPr>
      <w:rPr>
        <w:rFonts w:hint="default"/>
      </w:rPr>
    </w:lvl>
    <w:lvl w:ilvl="1">
      <w:start w:val="2"/>
      <w:numFmt w:val="decimal"/>
      <w:lvlText w:val="%1.%2"/>
      <w:lvlJc w:val="left"/>
      <w:pPr>
        <w:ind w:left="220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AFA1463"/>
    <w:multiLevelType w:val="hybridMultilevel"/>
    <w:tmpl w:val="06E282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0C3E10"/>
    <w:multiLevelType w:val="multilevel"/>
    <w:tmpl w:val="7910ED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39950B0"/>
    <w:multiLevelType w:val="multilevel"/>
    <w:tmpl w:val="6F2EB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D34F01"/>
    <w:multiLevelType w:val="multilevel"/>
    <w:tmpl w:val="1A766834"/>
    <w:lvl w:ilvl="0">
      <w:start w:val="2"/>
      <w:numFmt w:val="decimal"/>
      <w:lvlText w:val="%1"/>
      <w:lvlJc w:val="left"/>
      <w:pPr>
        <w:ind w:left="360" w:hanging="360"/>
      </w:pPr>
      <w:rPr>
        <w:rFonts w:hint="default"/>
      </w:rPr>
    </w:lvl>
    <w:lvl w:ilvl="1">
      <w:start w:val="1"/>
      <w:numFmt w:val="decimal"/>
      <w:lvlText w:val="%1.%2"/>
      <w:lvlJc w:val="left"/>
      <w:pPr>
        <w:ind w:left="688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FE10706"/>
    <w:multiLevelType w:val="hybridMultilevel"/>
    <w:tmpl w:val="41269C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4CA7459"/>
    <w:multiLevelType w:val="hybridMultilevel"/>
    <w:tmpl w:val="396EA9C6"/>
    <w:lvl w:ilvl="0" w:tplc="08090019">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AF4149"/>
    <w:multiLevelType w:val="hybridMultilevel"/>
    <w:tmpl w:val="D0BEA860"/>
    <w:lvl w:ilvl="0" w:tplc="0376FE98">
      <w:start w:val="1"/>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6172764"/>
    <w:multiLevelType w:val="hybridMultilevel"/>
    <w:tmpl w:val="A7AA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5C7AF7"/>
    <w:multiLevelType w:val="hybridMultilevel"/>
    <w:tmpl w:val="07BCFE76"/>
    <w:lvl w:ilvl="0" w:tplc="60B44DC6">
      <w:start w:val="5"/>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0D7197"/>
    <w:multiLevelType w:val="hybridMultilevel"/>
    <w:tmpl w:val="31282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B57AB6"/>
    <w:multiLevelType w:val="multilevel"/>
    <w:tmpl w:val="D752E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5305B2"/>
    <w:multiLevelType w:val="hybridMultilevel"/>
    <w:tmpl w:val="5192E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E30D6F"/>
    <w:multiLevelType w:val="hybridMultilevel"/>
    <w:tmpl w:val="1EB438B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564B2C"/>
    <w:multiLevelType w:val="hybridMultilevel"/>
    <w:tmpl w:val="1F34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F7534C"/>
    <w:multiLevelType w:val="hybridMultilevel"/>
    <w:tmpl w:val="96909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6E082C"/>
    <w:multiLevelType w:val="hybridMultilevel"/>
    <w:tmpl w:val="635E9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4D5EE8"/>
    <w:multiLevelType w:val="hybridMultilevel"/>
    <w:tmpl w:val="8CD2F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9206D1"/>
    <w:multiLevelType w:val="hybridMultilevel"/>
    <w:tmpl w:val="44D4C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7504E3"/>
    <w:multiLevelType w:val="hybridMultilevel"/>
    <w:tmpl w:val="9A0C6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603132"/>
    <w:multiLevelType w:val="multilevel"/>
    <w:tmpl w:val="EC0E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8A4873"/>
    <w:multiLevelType w:val="hybridMultilevel"/>
    <w:tmpl w:val="6D3C2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4D068F"/>
    <w:multiLevelType w:val="hybridMultilevel"/>
    <w:tmpl w:val="A59496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415D8E"/>
    <w:multiLevelType w:val="multilevel"/>
    <w:tmpl w:val="D6368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136B3C"/>
    <w:multiLevelType w:val="hybridMultilevel"/>
    <w:tmpl w:val="437E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B344EC"/>
    <w:multiLevelType w:val="hybridMultilevel"/>
    <w:tmpl w:val="2B4C5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486FA9"/>
    <w:multiLevelType w:val="hybridMultilevel"/>
    <w:tmpl w:val="E604C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983660"/>
    <w:multiLevelType w:val="hybridMultilevel"/>
    <w:tmpl w:val="90D6F4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5"/>
  </w:num>
  <w:num w:numId="2">
    <w:abstractNumId w:val="4"/>
  </w:num>
  <w:num w:numId="3">
    <w:abstractNumId w:val="29"/>
  </w:num>
  <w:num w:numId="4">
    <w:abstractNumId w:val="6"/>
  </w:num>
  <w:num w:numId="5">
    <w:abstractNumId w:val="24"/>
  </w:num>
  <w:num w:numId="6">
    <w:abstractNumId w:val="8"/>
  </w:num>
  <w:num w:numId="7">
    <w:abstractNumId w:val="1"/>
  </w:num>
  <w:num w:numId="8">
    <w:abstractNumId w:val="3"/>
  </w:num>
  <w:num w:numId="9">
    <w:abstractNumId w:val="2"/>
  </w:num>
  <w:num w:numId="10">
    <w:abstractNumId w:val="0"/>
  </w:num>
  <w:num w:numId="11">
    <w:abstractNumId w:val="11"/>
  </w:num>
  <w:num w:numId="12">
    <w:abstractNumId w:val="7"/>
  </w:num>
  <w:num w:numId="13">
    <w:abstractNumId w:val="20"/>
  </w:num>
  <w:num w:numId="14">
    <w:abstractNumId w:val="14"/>
  </w:num>
  <w:num w:numId="15">
    <w:abstractNumId w:val="13"/>
  </w:num>
  <w:num w:numId="16">
    <w:abstractNumId w:val="18"/>
  </w:num>
  <w:num w:numId="17">
    <w:abstractNumId w:val="9"/>
  </w:num>
  <w:num w:numId="18">
    <w:abstractNumId w:val="16"/>
  </w:num>
  <w:num w:numId="19">
    <w:abstractNumId w:val="28"/>
  </w:num>
  <w:num w:numId="20">
    <w:abstractNumId w:val="22"/>
  </w:num>
  <w:num w:numId="21">
    <w:abstractNumId w:val="27"/>
  </w:num>
  <w:num w:numId="22">
    <w:abstractNumId w:val="19"/>
  </w:num>
  <w:num w:numId="23">
    <w:abstractNumId w:val="23"/>
  </w:num>
  <w:num w:numId="24">
    <w:abstractNumId w:val="12"/>
  </w:num>
  <w:num w:numId="25">
    <w:abstractNumId w:val="25"/>
  </w:num>
  <w:num w:numId="26">
    <w:abstractNumId w:val="5"/>
  </w:num>
  <w:num w:numId="27">
    <w:abstractNumId w:val="21"/>
  </w:num>
  <w:num w:numId="28">
    <w:abstractNumId w:val="10"/>
  </w:num>
  <w:num w:numId="29">
    <w:abstractNumId w:val="26"/>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3F4"/>
    <w:rsid w:val="00002494"/>
    <w:rsid w:val="00016C2B"/>
    <w:rsid w:val="00022BB3"/>
    <w:rsid w:val="00046C2F"/>
    <w:rsid w:val="00050A6C"/>
    <w:rsid w:val="00051A27"/>
    <w:rsid w:val="0005449A"/>
    <w:rsid w:val="00057EE7"/>
    <w:rsid w:val="0006141F"/>
    <w:rsid w:val="00094B9D"/>
    <w:rsid w:val="000B6177"/>
    <w:rsid w:val="000C23C5"/>
    <w:rsid w:val="000D0E23"/>
    <w:rsid w:val="000F0162"/>
    <w:rsid w:val="00105A7E"/>
    <w:rsid w:val="001075FC"/>
    <w:rsid w:val="001278CB"/>
    <w:rsid w:val="00142AB4"/>
    <w:rsid w:val="00156143"/>
    <w:rsid w:val="0019583E"/>
    <w:rsid w:val="001A52DF"/>
    <w:rsid w:val="001B3D13"/>
    <w:rsid w:val="001B5DC8"/>
    <w:rsid w:val="001C44E2"/>
    <w:rsid w:val="001C7826"/>
    <w:rsid w:val="001D78F8"/>
    <w:rsid w:val="0020186B"/>
    <w:rsid w:val="00206F51"/>
    <w:rsid w:val="00224B96"/>
    <w:rsid w:val="00230B7D"/>
    <w:rsid w:val="002321F6"/>
    <w:rsid w:val="00261CCE"/>
    <w:rsid w:val="00265F39"/>
    <w:rsid w:val="002823AC"/>
    <w:rsid w:val="00292347"/>
    <w:rsid w:val="00295C28"/>
    <w:rsid w:val="002A02F8"/>
    <w:rsid w:val="002B7915"/>
    <w:rsid w:val="002D6878"/>
    <w:rsid w:val="002E0ECD"/>
    <w:rsid w:val="002E3C31"/>
    <w:rsid w:val="002E7B27"/>
    <w:rsid w:val="00305523"/>
    <w:rsid w:val="00311892"/>
    <w:rsid w:val="00317DCE"/>
    <w:rsid w:val="003226F8"/>
    <w:rsid w:val="00324606"/>
    <w:rsid w:val="00326E87"/>
    <w:rsid w:val="0033399F"/>
    <w:rsid w:val="003601DE"/>
    <w:rsid w:val="00361A3C"/>
    <w:rsid w:val="00371940"/>
    <w:rsid w:val="00372D6E"/>
    <w:rsid w:val="0038202A"/>
    <w:rsid w:val="00382744"/>
    <w:rsid w:val="00390068"/>
    <w:rsid w:val="00397CBF"/>
    <w:rsid w:val="003B2165"/>
    <w:rsid w:val="003C190B"/>
    <w:rsid w:val="004137BE"/>
    <w:rsid w:val="00415381"/>
    <w:rsid w:val="00425D88"/>
    <w:rsid w:val="0042675A"/>
    <w:rsid w:val="00435BD9"/>
    <w:rsid w:val="00437A42"/>
    <w:rsid w:val="00453F5A"/>
    <w:rsid w:val="0047569F"/>
    <w:rsid w:val="00494BC0"/>
    <w:rsid w:val="00497F9E"/>
    <w:rsid w:val="004A079E"/>
    <w:rsid w:val="004B6A03"/>
    <w:rsid w:val="004C2874"/>
    <w:rsid w:val="004C476D"/>
    <w:rsid w:val="004C7CC1"/>
    <w:rsid w:val="004D4107"/>
    <w:rsid w:val="004E329E"/>
    <w:rsid w:val="004F09DE"/>
    <w:rsid w:val="004F4F82"/>
    <w:rsid w:val="0050224D"/>
    <w:rsid w:val="005313F4"/>
    <w:rsid w:val="00564834"/>
    <w:rsid w:val="005662CB"/>
    <w:rsid w:val="00567174"/>
    <w:rsid w:val="005672E2"/>
    <w:rsid w:val="00573F0C"/>
    <w:rsid w:val="005825EA"/>
    <w:rsid w:val="005B3655"/>
    <w:rsid w:val="005C0114"/>
    <w:rsid w:val="005C224D"/>
    <w:rsid w:val="005C75EE"/>
    <w:rsid w:val="005D332E"/>
    <w:rsid w:val="005E1418"/>
    <w:rsid w:val="005F48D8"/>
    <w:rsid w:val="005F5933"/>
    <w:rsid w:val="006109F5"/>
    <w:rsid w:val="00617C2E"/>
    <w:rsid w:val="00630C03"/>
    <w:rsid w:val="006409B0"/>
    <w:rsid w:val="006419A6"/>
    <w:rsid w:val="0065376B"/>
    <w:rsid w:val="00690845"/>
    <w:rsid w:val="00697D3B"/>
    <w:rsid w:val="006A2DE6"/>
    <w:rsid w:val="006A6987"/>
    <w:rsid w:val="006C5750"/>
    <w:rsid w:val="006E3693"/>
    <w:rsid w:val="006E5A9B"/>
    <w:rsid w:val="00711B2D"/>
    <w:rsid w:val="00766CBB"/>
    <w:rsid w:val="00796455"/>
    <w:rsid w:val="007B4637"/>
    <w:rsid w:val="007D77FC"/>
    <w:rsid w:val="00802003"/>
    <w:rsid w:val="00805180"/>
    <w:rsid w:val="00810E66"/>
    <w:rsid w:val="0081709B"/>
    <w:rsid w:val="00820368"/>
    <w:rsid w:val="008213C7"/>
    <w:rsid w:val="0082403D"/>
    <w:rsid w:val="00842121"/>
    <w:rsid w:val="00854B93"/>
    <w:rsid w:val="00870A54"/>
    <w:rsid w:val="00886336"/>
    <w:rsid w:val="008917C6"/>
    <w:rsid w:val="008A0CD2"/>
    <w:rsid w:val="008B2C22"/>
    <w:rsid w:val="008D61D2"/>
    <w:rsid w:val="008F4ABA"/>
    <w:rsid w:val="00901B33"/>
    <w:rsid w:val="00920387"/>
    <w:rsid w:val="00927216"/>
    <w:rsid w:val="00930D5B"/>
    <w:rsid w:val="00953D92"/>
    <w:rsid w:val="00980EBF"/>
    <w:rsid w:val="0098207A"/>
    <w:rsid w:val="009921DA"/>
    <w:rsid w:val="009C143E"/>
    <w:rsid w:val="009E0396"/>
    <w:rsid w:val="009F2AD8"/>
    <w:rsid w:val="00A01615"/>
    <w:rsid w:val="00A17602"/>
    <w:rsid w:val="00A304F4"/>
    <w:rsid w:val="00A32F2A"/>
    <w:rsid w:val="00A362DD"/>
    <w:rsid w:val="00A51B65"/>
    <w:rsid w:val="00A546C3"/>
    <w:rsid w:val="00A74732"/>
    <w:rsid w:val="00A80A56"/>
    <w:rsid w:val="00AA7B3C"/>
    <w:rsid w:val="00AB6E28"/>
    <w:rsid w:val="00AF5B17"/>
    <w:rsid w:val="00B036F3"/>
    <w:rsid w:val="00B03A0D"/>
    <w:rsid w:val="00B20DDB"/>
    <w:rsid w:val="00B23AD1"/>
    <w:rsid w:val="00B53E38"/>
    <w:rsid w:val="00B61895"/>
    <w:rsid w:val="00B655FA"/>
    <w:rsid w:val="00B80409"/>
    <w:rsid w:val="00B834C2"/>
    <w:rsid w:val="00B90510"/>
    <w:rsid w:val="00B954F5"/>
    <w:rsid w:val="00BA2ACC"/>
    <w:rsid w:val="00BC680E"/>
    <w:rsid w:val="00BD3201"/>
    <w:rsid w:val="00BD580C"/>
    <w:rsid w:val="00BD5AAD"/>
    <w:rsid w:val="00BE6D9F"/>
    <w:rsid w:val="00BF3E96"/>
    <w:rsid w:val="00C01DDD"/>
    <w:rsid w:val="00C03F06"/>
    <w:rsid w:val="00C0591C"/>
    <w:rsid w:val="00C1336D"/>
    <w:rsid w:val="00C2156E"/>
    <w:rsid w:val="00C354F5"/>
    <w:rsid w:val="00C452A3"/>
    <w:rsid w:val="00C66315"/>
    <w:rsid w:val="00C73BC0"/>
    <w:rsid w:val="00C811E4"/>
    <w:rsid w:val="00C872CE"/>
    <w:rsid w:val="00C87F99"/>
    <w:rsid w:val="00CA4E35"/>
    <w:rsid w:val="00CB3EEE"/>
    <w:rsid w:val="00CD6208"/>
    <w:rsid w:val="00CD7482"/>
    <w:rsid w:val="00D05081"/>
    <w:rsid w:val="00D079A3"/>
    <w:rsid w:val="00D15D1E"/>
    <w:rsid w:val="00D20255"/>
    <w:rsid w:val="00D36154"/>
    <w:rsid w:val="00D36685"/>
    <w:rsid w:val="00D66D5D"/>
    <w:rsid w:val="00D67BD2"/>
    <w:rsid w:val="00D82C9A"/>
    <w:rsid w:val="00D852E2"/>
    <w:rsid w:val="00D91EDF"/>
    <w:rsid w:val="00D934CF"/>
    <w:rsid w:val="00DA04C5"/>
    <w:rsid w:val="00DB00D7"/>
    <w:rsid w:val="00DB38DA"/>
    <w:rsid w:val="00DC0293"/>
    <w:rsid w:val="00DC334A"/>
    <w:rsid w:val="00DC7535"/>
    <w:rsid w:val="00DD3413"/>
    <w:rsid w:val="00DD58D0"/>
    <w:rsid w:val="00DE0B58"/>
    <w:rsid w:val="00DF39DB"/>
    <w:rsid w:val="00DF6A1D"/>
    <w:rsid w:val="00E05512"/>
    <w:rsid w:val="00E07432"/>
    <w:rsid w:val="00E079D2"/>
    <w:rsid w:val="00E17535"/>
    <w:rsid w:val="00E269B4"/>
    <w:rsid w:val="00E35138"/>
    <w:rsid w:val="00E41A0E"/>
    <w:rsid w:val="00E45EDE"/>
    <w:rsid w:val="00E53F21"/>
    <w:rsid w:val="00E617A4"/>
    <w:rsid w:val="00E86768"/>
    <w:rsid w:val="00EB00EB"/>
    <w:rsid w:val="00EB5D87"/>
    <w:rsid w:val="00EC4020"/>
    <w:rsid w:val="00ED26A9"/>
    <w:rsid w:val="00ED428F"/>
    <w:rsid w:val="00ED7EDA"/>
    <w:rsid w:val="00EE15D3"/>
    <w:rsid w:val="00EF5E45"/>
    <w:rsid w:val="00F11161"/>
    <w:rsid w:val="00F13B2A"/>
    <w:rsid w:val="00F36A55"/>
    <w:rsid w:val="00F40CA4"/>
    <w:rsid w:val="00F412E4"/>
    <w:rsid w:val="00F54B5E"/>
    <w:rsid w:val="00F5750E"/>
    <w:rsid w:val="00F6053F"/>
    <w:rsid w:val="00F63326"/>
    <w:rsid w:val="00F72642"/>
    <w:rsid w:val="00F749EB"/>
    <w:rsid w:val="00F84EC3"/>
    <w:rsid w:val="00F91FE4"/>
    <w:rsid w:val="00FA4C48"/>
    <w:rsid w:val="00FA4D44"/>
    <w:rsid w:val="00FD1C83"/>
    <w:rsid w:val="00FF74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132B8947"/>
  <w15:docId w15:val="{2B8D1589-4447-4BE9-8B3B-AA83F553E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756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5376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313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13F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313F4"/>
    <w:pPr>
      <w:ind w:left="720"/>
      <w:contextualSpacing/>
    </w:pPr>
  </w:style>
  <w:style w:type="paragraph" w:styleId="Header">
    <w:name w:val="header"/>
    <w:basedOn w:val="Normal"/>
    <w:link w:val="HeaderChar"/>
    <w:uiPriority w:val="99"/>
    <w:unhideWhenUsed/>
    <w:rsid w:val="004756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69F"/>
  </w:style>
  <w:style w:type="paragraph" w:styleId="Footer">
    <w:name w:val="footer"/>
    <w:basedOn w:val="Normal"/>
    <w:link w:val="FooterChar"/>
    <w:uiPriority w:val="99"/>
    <w:unhideWhenUsed/>
    <w:rsid w:val="004756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69F"/>
  </w:style>
  <w:style w:type="character" w:customStyle="1" w:styleId="Heading1Char">
    <w:name w:val="Heading 1 Char"/>
    <w:basedOn w:val="DefaultParagraphFont"/>
    <w:link w:val="Heading1"/>
    <w:uiPriority w:val="9"/>
    <w:rsid w:val="0047569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05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512"/>
    <w:rPr>
      <w:rFonts w:ascii="Tahoma" w:hAnsi="Tahoma" w:cs="Tahoma"/>
      <w:sz w:val="16"/>
      <w:szCs w:val="16"/>
    </w:rPr>
  </w:style>
  <w:style w:type="character" w:styleId="CommentReference">
    <w:name w:val="annotation reference"/>
    <w:basedOn w:val="DefaultParagraphFont"/>
    <w:uiPriority w:val="99"/>
    <w:semiHidden/>
    <w:unhideWhenUsed/>
    <w:rsid w:val="00DC334A"/>
    <w:rPr>
      <w:sz w:val="16"/>
      <w:szCs w:val="16"/>
    </w:rPr>
  </w:style>
  <w:style w:type="paragraph" w:styleId="CommentText">
    <w:name w:val="annotation text"/>
    <w:basedOn w:val="Normal"/>
    <w:link w:val="CommentTextChar"/>
    <w:uiPriority w:val="99"/>
    <w:unhideWhenUsed/>
    <w:rsid w:val="00DC334A"/>
    <w:pPr>
      <w:spacing w:line="240" w:lineRule="auto"/>
    </w:pPr>
    <w:rPr>
      <w:sz w:val="20"/>
      <w:szCs w:val="20"/>
    </w:rPr>
  </w:style>
  <w:style w:type="character" w:customStyle="1" w:styleId="CommentTextChar">
    <w:name w:val="Comment Text Char"/>
    <w:basedOn w:val="DefaultParagraphFont"/>
    <w:link w:val="CommentText"/>
    <w:uiPriority w:val="99"/>
    <w:rsid w:val="00DC334A"/>
    <w:rPr>
      <w:sz w:val="20"/>
      <w:szCs w:val="20"/>
    </w:rPr>
  </w:style>
  <w:style w:type="paragraph" w:styleId="CommentSubject">
    <w:name w:val="annotation subject"/>
    <w:basedOn w:val="CommentText"/>
    <w:next w:val="CommentText"/>
    <w:link w:val="CommentSubjectChar"/>
    <w:uiPriority w:val="99"/>
    <w:semiHidden/>
    <w:unhideWhenUsed/>
    <w:rsid w:val="00DC334A"/>
    <w:rPr>
      <w:b/>
      <w:bCs/>
    </w:rPr>
  </w:style>
  <w:style w:type="character" w:customStyle="1" w:styleId="CommentSubjectChar">
    <w:name w:val="Comment Subject Char"/>
    <w:basedOn w:val="CommentTextChar"/>
    <w:link w:val="CommentSubject"/>
    <w:uiPriority w:val="99"/>
    <w:semiHidden/>
    <w:rsid w:val="00DC334A"/>
    <w:rPr>
      <w:b/>
      <w:bCs/>
      <w:sz w:val="20"/>
      <w:szCs w:val="20"/>
    </w:rPr>
  </w:style>
  <w:style w:type="character" w:styleId="Hyperlink">
    <w:name w:val="Hyperlink"/>
    <w:basedOn w:val="DefaultParagraphFont"/>
    <w:uiPriority w:val="99"/>
    <w:unhideWhenUsed/>
    <w:rsid w:val="00FD1C83"/>
    <w:rPr>
      <w:color w:val="0000FF" w:themeColor="hyperlink"/>
      <w:u w:val="single"/>
    </w:rPr>
  </w:style>
  <w:style w:type="character" w:styleId="FollowedHyperlink">
    <w:name w:val="FollowedHyperlink"/>
    <w:basedOn w:val="DefaultParagraphFont"/>
    <w:uiPriority w:val="99"/>
    <w:semiHidden/>
    <w:unhideWhenUsed/>
    <w:rsid w:val="00D91EDF"/>
    <w:rPr>
      <w:color w:val="800080" w:themeColor="followedHyperlink"/>
      <w:u w:val="single"/>
    </w:rPr>
  </w:style>
  <w:style w:type="paragraph" w:styleId="NoSpacing">
    <w:name w:val="No Spacing"/>
    <w:uiPriority w:val="1"/>
    <w:qFormat/>
    <w:rsid w:val="00DC0293"/>
    <w:pPr>
      <w:spacing w:after="0" w:line="240" w:lineRule="auto"/>
    </w:pPr>
  </w:style>
  <w:style w:type="table" w:styleId="TableGrid">
    <w:name w:val="Table Grid"/>
    <w:basedOn w:val="TableNormal"/>
    <w:uiPriority w:val="59"/>
    <w:rsid w:val="00DC0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376B"/>
    <w:rPr>
      <w:rFonts w:asciiTheme="majorHAnsi" w:eastAsiaTheme="majorEastAsia" w:hAnsiTheme="majorHAnsi" w:cstheme="majorBidi"/>
      <w:color w:val="365F91" w:themeColor="accent1" w:themeShade="BF"/>
      <w:sz w:val="26"/>
      <w:szCs w:val="26"/>
    </w:rPr>
  </w:style>
  <w:style w:type="paragraph" w:customStyle="1" w:styleId="Default">
    <w:name w:val="Default"/>
    <w:rsid w:val="00930D5B"/>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4F09DE"/>
    <w:pPr>
      <w:spacing w:after="0" w:line="240" w:lineRule="auto"/>
    </w:pPr>
  </w:style>
  <w:style w:type="character" w:styleId="PlaceholderText">
    <w:name w:val="Placeholder Text"/>
    <w:basedOn w:val="DefaultParagraphFont"/>
    <w:uiPriority w:val="99"/>
    <w:semiHidden/>
    <w:rsid w:val="00A747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7901">
      <w:bodyDiv w:val="1"/>
      <w:marLeft w:val="0"/>
      <w:marRight w:val="0"/>
      <w:marTop w:val="0"/>
      <w:marBottom w:val="0"/>
      <w:divBdr>
        <w:top w:val="none" w:sz="0" w:space="0" w:color="auto"/>
        <w:left w:val="none" w:sz="0" w:space="0" w:color="auto"/>
        <w:bottom w:val="none" w:sz="0" w:space="0" w:color="auto"/>
        <w:right w:val="none" w:sz="0" w:space="0" w:color="auto"/>
      </w:divBdr>
    </w:div>
    <w:div w:id="66535382">
      <w:bodyDiv w:val="1"/>
      <w:marLeft w:val="0"/>
      <w:marRight w:val="0"/>
      <w:marTop w:val="0"/>
      <w:marBottom w:val="0"/>
      <w:divBdr>
        <w:top w:val="none" w:sz="0" w:space="0" w:color="auto"/>
        <w:left w:val="none" w:sz="0" w:space="0" w:color="auto"/>
        <w:bottom w:val="none" w:sz="0" w:space="0" w:color="auto"/>
        <w:right w:val="none" w:sz="0" w:space="0" w:color="auto"/>
      </w:divBdr>
    </w:div>
    <w:div w:id="167840141">
      <w:bodyDiv w:val="1"/>
      <w:marLeft w:val="0"/>
      <w:marRight w:val="0"/>
      <w:marTop w:val="0"/>
      <w:marBottom w:val="0"/>
      <w:divBdr>
        <w:top w:val="none" w:sz="0" w:space="0" w:color="auto"/>
        <w:left w:val="none" w:sz="0" w:space="0" w:color="auto"/>
        <w:bottom w:val="none" w:sz="0" w:space="0" w:color="auto"/>
        <w:right w:val="none" w:sz="0" w:space="0" w:color="auto"/>
      </w:divBdr>
    </w:div>
    <w:div w:id="204416986">
      <w:bodyDiv w:val="1"/>
      <w:marLeft w:val="0"/>
      <w:marRight w:val="0"/>
      <w:marTop w:val="0"/>
      <w:marBottom w:val="0"/>
      <w:divBdr>
        <w:top w:val="none" w:sz="0" w:space="0" w:color="auto"/>
        <w:left w:val="none" w:sz="0" w:space="0" w:color="auto"/>
        <w:bottom w:val="none" w:sz="0" w:space="0" w:color="auto"/>
        <w:right w:val="none" w:sz="0" w:space="0" w:color="auto"/>
      </w:divBdr>
    </w:div>
    <w:div w:id="406655194">
      <w:bodyDiv w:val="1"/>
      <w:marLeft w:val="0"/>
      <w:marRight w:val="0"/>
      <w:marTop w:val="0"/>
      <w:marBottom w:val="0"/>
      <w:divBdr>
        <w:top w:val="none" w:sz="0" w:space="0" w:color="auto"/>
        <w:left w:val="none" w:sz="0" w:space="0" w:color="auto"/>
        <w:bottom w:val="none" w:sz="0" w:space="0" w:color="auto"/>
        <w:right w:val="none" w:sz="0" w:space="0" w:color="auto"/>
      </w:divBdr>
    </w:div>
    <w:div w:id="603459860">
      <w:bodyDiv w:val="1"/>
      <w:marLeft w:val="0"/>
      <w:marRight w:val="0"/>
      <w:marTop w:val="0"/>
      <w:marBottom w:val="0"/>
      <w:divBdr>
        <w:top w:val="none" w:sz="0" w:space="0" w:color="auto"/>
        <w:left w:val="none" w:sz="0" w:space="0" w:color="auto"/>
        <w:bottom w:val="none" w:sz="0" w:space="0" w:color="auto"/>
        <w:right w:val="none" w:sz="0" w:space="0" w:color="auto"/>
      </w:divBdr>
    </w:div>
    <w:div w:id="762798617">
      <w:bodyDiv w:val="1"/>
      <w:marLeft w:val="0"/>
      <w:marRight w:val="0"/>
      <w:marTop w:val="0"/>
      <w:marBottom w:val="0"/>
      <w:divBdr>
        <w:top w:val="none" w:sz="0" w:space="0" w:color="auto"/>
        <w:left w:val="none" w:sz="0" w:space="0" w:color="auto"/>
        <w:bottom w:val="none" w:sz="0" w:space="0" w:color="auto"/>
        <w:right w:val="none" w:sz="0" w:space="0" w:color="auto"/>
      </w:divBdr>
    </w:div>
    <w:div w:id="1218971136">
      <w:bodyDiv w:val="1"/>
      <w:marLeft w:val="0"/>
      <w:marRight w:val="0"/>
      <w:marTop w:val="0"/>
      <w:marBottom w:val="0"/>
      <w:divBdr>
        <w:top w:val="none" w:sz="0" w:space="0" w:color="auto"/>
        <w:left w:val="none" w:sz="0" w:space="0" w:color="auto"/>
        <w:bottom w:val="none" w:sz="0" w:space="0" w:color="auto"/>
        <w:right w:val="none" w:sz="0" w:space="0" w:color="auto"/>
      </w:divBdr>
    </w:div>
    <w:div w:id="1595943740">
      <w:bodyDiv w:val="1"/>
      <w:marLeft w:val="0"/>
      <w:marRight w:val="0"/>
      <w:marTop w:val="0"/>
      <w:marBottom w:val="0"/>
      <w:divBdr>
        <w:top w:val="none" w:sz="0" w:space="0" w:color="auto"/>
        <w:left w:val="none" w:sz="0" w:space="0" w:color="auto"/>
        <w:bottom w:val="none" w:sz="0" w:space="0" w:color="auto"/>
        <w:right w:val="none" w:sz="0" w:space="0" w:color="auto"/>
      </w:divBdr>
    </w:div>
    <w:div w:id="1871525516">
      <w:bodyDiv w:val="1"/>
      <w:marLeft w:val="0"/>
      <w:marRight w:val="0"/>
      <w:marTop w:val="0"/>
      <w:marBottom w:val="0"/>
      <w:divBdr>
        <w:top w:val="none" w:sz="0" w:space="0" w:color="auto"/>
        <w:left w:val="none" w:sz="0" w:space="0" w:color="auto"/>
        <w:bottom w:val="none" w:sz="0" w:space="0" w:color="auto"/>
        <w:right w:val="none" w:sz="0" w:space="0" w:color="auto"/>
      </w:divBdr>
    </w:div>
    <w:div w:id="1911188151">
      <w:bodyDiv w:val="1"/>
      <w:marLeft w:val="0"/>
      <w:marRight w:val="0"/>
      <w:marTop w:val="0"/>
      <w:marBottom w:val="0"/>
      <w:divBdr>
        <w:top w:val="none" w:sz="0" w:space="0" w:color="auto"/>
        <w:left w:val="none" w:sz="0" w:space="0" w:color="auto"/>
        <w:bottom w:val="none" w:sz="0" w:space="0" w:color="auto"/>
        <w:right w:val="none" w:sz="0" w:space="0" w:color="auto"/>
      </w:divBdr>
    </w:div>
    <w:div w:id="1922135048">
      <w:bodyDiv w:val="1"/>
      <w:marLeft w:val="0"/>
      <w:marRight w:val="0"/>
      <w:marTop w:val="0"/>
      <w:marBottom w:val="0"/>
      <w:divBdr>
        <w:top w:val="none" w:sz="0" w:space="0" w:color="auto"/>
        <w:left w:val="none" w:sz="0" w:space="0" w:color="auto"/>
        <w:bottom w:val="none" w:sz="0" w:space="0" w:color="auto"/>
        <w:right w:val="none" w:sz="0" w:space="0" w:color="auto"/>
      </w:divBdr>
    </w:div>
    <w:div w:id="1933971392">
      <w:bodyDiv w:val="1"/>
      <w:marLeft w:val="0"/>
      <w:marRight w:val="0"/>
      <w:marTop w:val="0"/>
      <w:marBottom w:val="0"/>
      <w:divBdr>
        <w:top w:val="none" w:sz="0" w:space="0" w:color="auto"/>
        <w:left w:val="none" w:sz="0" w:space="0" w:color="auto"/>
        <w:bottom w:val="none" w:sz="0" w:space="0" w:color="auto"/>
        <w:right w:val="none" w:sz="0" w:space="0" w:color="auto"/>
      </w:divBdr>
    </w:div>
    <w:div w:id="1976980092">
      <w:bodyDiv w:val="1"/>
      <w:marLeft w:val="0"/>
      <w:marRight w:val="0"/>
      <w:marTop w:val="0"/>
      <w:marBottom w:val="0"/>
      <w:divBdr>
        <w:top w:val="none" w:sz="0" w:space="0" w:color="auto"/>
        <w:left w:val="none" w:sz="0" w:space="0" w:color="auto"/>
        <w:bottom w:val="none" w:sz="0" w:space="0" w:color="auto"/>
        <w:right w:val="none" w:sz="0" w:space="0" w:color="auto"/>
      </w:divBdr>
    </w:div>
    <w:div w:id="201264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uring-scheme.org.uk/funding-opportunities/cost-of-living-group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martsurvey.co.uk/s/preview/TuringPGR_22-23/EE93DBA691CB0474F51238C70B8695"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martsurvey.co.uk/s/TuringPGR_2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02B72BE546C2439D1EF95BCDFDA566" ma:contentTypeVersion="9" ma:contentTypeDescription="Create a new document." ma:contentTypeScope="" ma:versionID="e49628aa5d5c487ec11fa33780d34cbf">
  <xsd:schema xmlns:xsd="http://www.w3.org/2001/XMLSchema" xmlns:xs="http://www.w3.org/2001/XMLSchema" xmlns:p="http://schemas.microsoft.com/office/2006/metadata/properties" xmlns:ns3="6fb6afdf-e105-4288-b677-6a5d3d0fbc16" targetNamespace="http://schemas.microsoft.com/office/2006/metadata/properties" ma:root="true" ma:fieldsID="a47df146718c4df7141baaf1f6ad8bf7" ns3:_="">
    <xsd:import namespace="6fb6afdf-e105-4288-b677-6a5d3d0fbc1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afdf-e105-4288-b677-6a5d3d0fb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28C4B-4287-47F0-924F-6C863D949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afdf-e105-4288-b677-6a5d3d0fb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9D80F-926E-46F5-9552-E2C902D22D6D}">
  <ds:schemaRefs>
    <ds:schemaRef ds:uri="http://schemas.microsoft.com/sharepoint/v3/contenttype/forms"/>
  </ds:schemaRefs>
</ds:datastoreItem>
</file>

<file path=customXml/itemProps3.xml><?xml version="1.0" encoding="utf-8"?>
<ds:datastoreItem xmlns:ds="http://schemas.openxmlformats.org/officeDocument/2006/customXml" ds:itemID="{B473C9F8-7117-4DAC-979C-4574768F8522}">
  <ds:schemaRefs>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http://www.w3.org/XML/1998/namespace"/>
    <ds:schemaRef ds:uri="http://schemas.microsoft.com/office/infopath/2007/PartnerControls"/>
    <ds:schemaRef ds:uri="6fb6afdf-e105-4288-b677-6a5d3d0fbc16"/>
    <ds:schemaRef ds:uri="http://schemas.microsoft.com/office/2006/metadata/properties"/>
  </ds:schemaRefs>
</ds:datastoreItem>
</file>

<file path=customXml/itemProps4.xml><?xml version="1.0" encoding="utf-8"?>
<ds:datastoreItem xmlns:ds="http://schemas.openxmlformats.org/officeDocument/2006/customXml" ds:itemID="{B299B7A5-6FF9-40FE-9A80-2F547F811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5</Pages>
  <Words>1655</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Jacobs</dc:creator>
  <cp:keywords/>
  <dc:description/>
  <cp:lastModifiedBy>Alexander Gaskill</cp:lastModifiedBy>
  <cp:revision>3</cp:revision>
  <cp:lastPrinted>2021-10-25T10:48:00Z</cp:lastPrinted>
  <dcterms:created xsi:type="dcterms:W3CDTF">2022-04-12T14:48:00Z</dcterms:created>
  <dcterms:modified xsi:type="dcterms:W3CDTF">2022-04-13T10:11:00Z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0x010100C702B72BE546C2439D1EF95BCDFDA566</vt:lpwstr>
  </property>
</Properties>
</file>