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6F5" w:rsidRPr="007246F5" w:rsidRDefault="007246F5">
      <w:pPr>
        <w:rPr>
          <w:sz w:val="18"/>
          <w:szCs w:val="18"/>
        </w:rPr>
      </w:pPr>
      <w:r w:rsidRPr="007246F5">
        <w:rPr>
          <w:sz w:val="22"/>
          <w:szCs w:val="22"/>
        </w:rPr>
        <w:t>University of Manchester Primary PGCE</w:t>
      </w:r>
      <w:r>
        <w:rPr>
          <w:sz w:val="22"/>
          <w:szCs w:val="22"/>
        </w:rPr>
        <w:t xml:space="preserve"> Programme</w:t>
      </w:r>
      <w:r w:rsidRPr="007246F5">
        <w:rPr>
          <w:sz w:val="22"/>
          <w:szCs w:val="22"/>
        </w:rPr>
        <w:t xml:space="preserve">: </w:t>
      </w:r>
      <w:r w:rsidRPr="007246F5">
        <w:rPr>
          <w:b/>
          <w:sz w:val="22"/>
          <w:szCs w:val="22"/>
        </w:rPr>
        <w:t xml:space="preserve">Strategic Development Priorities for 2021-22.     </w:t>
      </w:r>
      <w:r w:rsidRPr="007246F5">
        <w:rPr>
          <w:sz w:val="18"/>
          <w:szCs w:val="18"/>
        </w:rPr>
        <w:t>(based on SDP v5)</w:t>
      </w:r>
    </w:p>
    <w:p w:rsidR="007246F5" w:rsidRPr="007246F5" w:rsidRDefault="007246F5">
      <w:pPr>
        <w:rPr>
          <w:sz w:val="22"/>
          <w:szCs w:val="22"/>
        </w:rPr>
      </w:pPr>
    </w:p>
    <w:tbl>
      <w:tblPr>
        <w:tblStyle w:val="TableGrid"/>
        <w:tblW w:w="0" w:type="auto"/>
        <w:tblInd w:w="-113" w:type="dxa"/>
        <w:tblLook w:val="04A0" w:firstRow="1" w:lastRow="0" w:firstColumn="1" w:lastColumn="0" w:noHBand="0" w:noVBand="1"/>
      </w:tblPr>
      <w:tblGrid>
        <w:gridCol w:w="2372"/>
        <w:gridCol w:w="7035"/>
        <w:gridCol w:w="1156"/>
      </w:tblGrid>
      <w:tr w:rsidR="007246F5" w:rsidRPr="007246F5" w:rsidTr="007246F5">
        <w:tc>
          <w:tcPr>
            <w:tcW w:w="2376" w:type="dxa"/>
          </w:tcPr>
          <w:p w:rsidR="007246F5" w:rsidRPr="007246F5" w:rsidRDefault="007246F5" w:rsidP="007246F5">
            <w:pPr>
              <w:pStyle w:val="ListParagraph"/>
              <w:numPr>
                <w:ilvl w:val="0"/>
                <w:numId w:val="1"/>
              </w:numPr>
              <w:rPr>
                <w:sz w:val="22"/>
                <w:szCs w:val="22"/>
              </w:rPr>
            </w:pPr>
            <w:r w:rsidRPr="007246F5">
              <w:rPr>
                <w:sz w:val="22"/>
                <w:szCs w:val="22"/>
              </w:rPr>
              <w:t>Recruitment and selection</w:t>
            </w:r>
          </w:p>
        </w:tc>
        <w:tc>
          <w:tcPr>
            <w:tcW w:w="7122" w:type="dxa"/>
          </w:tcPr>
          <w:p w:rsidR="007246F5" w:rsidRPr="007246F5" w:rsidRDefault="007246F5" w:rsidP="007246F5">
            <w:pPr>
              <w:rPr>
                <w:sz w:val="22"/>
                <w:szCs w:val="22"/>
              </w:rPr>
            </w:pPr>
            <w:r w:rsidRPr="007246F5">
              <w:rPr>
                <w:sz w:val="22"/>
                <w:szCs w:val="22"/>
              </w:rPr>
              <w:t xml:space="preserve">Recruit to SEED targets: 134 </w:t>
            </w:r>
            <w:proofErr w:type="gramStart"/>
            <w:r w:rsidRPr="007246F5">
              <w:rPr>
                <w:sz w:val="22"/>
                <w:szCs w:val="22"/>
              </w:rPr>
              <w:t>core</w:t>
            </w:r>
            <w:proofErr w:type="gramEnd"/>
            <w:r w:rsidRPr="007246F5">
              <w:rPr>
                <w:sz w:val="22"/>
                <w:szCs w:val="22"/>
              </w:rPr>
              <w:t xml:space="preserve">; </w:t>
            </w:r>
            <w:r w:rsidRPr="007246F5">
              <w:rPr>
                <w:sz w:val="22"/>
                <w:szCs w:val="22"/>
              </w:rPr>
              <w:t>30 SD</w:t>
            </w:r>
          </w:p>
        </w:tc>
        <w:tc>
          <w:tcPr>
            <w:tcW w:w="957" w:type="dxa"/>
          </w:tcPr>
          <w:p w:rsidR="007246F5" w:rsidRPr="007246F5" w:rsidRDefault="009F0E6A" w:rsidP="007246F5">
            <w:pPr>
              <w:rPr>
                <w:sz w:val="22"/>
                <w:szCs w:val="22"/>
              </w:rPr>
            </w:pPr>
            <w:r>
              <w:rPr>
                <w:sz w:val="22"/>
                <w:szCs w:val="22"/>
              </w:rPr>
              <w:t>End of year Evaluation</w:t>
            </w:r>
          </w:p>
        </w:tc>
      </w:tr>
      <w:tr w:rsidR="007246F5" w:rsidRPr="007246F5" w:rsidTr="007246F5">
        <w:tc>
          <w:tcPr>
            <w:tcW w:w="2376" w:type="dxa"/>
          </w:tcPr>
          <w:p w:rsidR="007246F5" w:rsidRPr="007246F5" w:rsidRDefault="007246F5" w:rsidP="007246F5">
            <w:pPr>
              <w:pStyle w:val="ListParagraph"/>
              <w:numPr>
                <w:ilvl w:val="0"/>
                <w:numId w:val="1"/>
              </w:numPr>
              <w:rPr>
                <w:sz w:val="22"/>
                <w:szCs w:val="22"/>
              </w:rPr>
            </w:pPr>
            <w:r w:rsidRPr="007246F5">
              <w:rPr>
                <w:sz w:val="22"/>
                <w:szCs w:val="22"/>
              </w:rPr>
              <w:t>ITT curriculum</w:t>
            </w:r>
          </w:p>
        </w:tc>
        <w:tc>
          <w:tcPr>
            <w:tcW w:w="7122" w:type="dxa"/>
          </w:tcPr>
          <w:p w:rsidR="007246F5" w:rsidRPr="007246F5" w:rsidRDefault="007246F5">
            <w:pPr>
              <w:rPr>
                <w:sz w:val="22"/>
                <w:szCs w:val="22"/>
              </w:rPr>
            </w:pPr>
            <w:r w:rsidRPr="007246F5">
              <w:rPr>
                <w:sz w:val="22"/>
                <w:szCs w:val="22"/>
              </w:rPr>
              <w:t>Ensure the CCF is embedded into our UoM primary PGCE curriculum and that trainees are well prepared to apply it to their teaching on placement.</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pPr>
              <w:rPr>
                <w:sz w:val="22"/>
                <w:szCs w:val="22"/>
              </w:rPr>
            </w:pPr>
          </w:p>
        </w:tc>
        <w:tc>
          <w:tcPr>
            <w:tcW w:w="7122" w:type="dxa"/>
          </w:tcPr>
          <w:p w:rsidR="007246F5" w:rsidRPr="007246F5" w:rsidRDefault="007246F5">
            <w:pPr>
              <w:rPr>
                <w:sz w:val="22"/>
                <w:szCs w:val="22"/>
              </w:rPr>
            </w:pPr>
            <w:r w:rsidRPr="007246F5">
              <w:rPr>
                <w:sz w:val="22"/>
                <w:szCs w:val="22"/>
              </w:rPr>
              <w:t xml:space="preserve">Ensure consistent approach to delivering the PGCE curriculum in university-based teaching and learning and trainees' learning on placement.  </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pPr>
              <w:rPr>
                <w:sz w:val="22"/>
                <w:szCs w:val="22"/>
              </w:rPr>
            </w:pPr>
          </w:p>
        </w:tc>
        <w:tc>
          <w:tcPr>
            <w:tcW w:w="7122" w:type="dxa"/>
          </w:tcPr>
          <w:p w:rsidR="007246F5" w:rsidRPr="007246F5" w:rsidRDefault="007246F5">
            <w:pPr>
              <w:rPr>
                <w:sz w:val="22"/>
                <w:szCs w:val="22"/>
              </w:rPr>
            </w:pPr>
            <w:r w:rsidRPr="007246F5">
              <w:rPr>
                <w:sz w:val="22"/>
                <w:szCs w:val="22"/>
              </w:rPr>
              <w:t>Introduce and embed into the curriculum 3x new EDUC assignments</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pPr>
              <w:rPr>
                <w:sz w:val="22"/>
                <w:szCs w:val="22"/>
              </w:rPr>
            </w:pPr>
          </w:p>
        </w:tc>
        <w:tc>
          <w:tcPr>
            <w:tcW w:w="7122" w:type="dxa"/>
          </w:tcPr>
          <w:p w:rsidR="007246F5" w:rsidRPr="007246F5" w:rsidRDefault="007246F5">
            <w:pPr>
              <w:rPr>
                <w:sz w:val="22"/>
                <w:szCs w:val="22"/>
              </w:rPr>
            </w:pPr>
            <w:r w:rsidRPr="007246F5">
              <w:rPr>
                <w:sz w:val="22"/>
                <w:szCs w:val="22"/>
              </w:rPr>
              <w:t>Advance the Maths specialism into year 2</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pPr>
              <w:rPr>
                <w:sz w:val="22"/>
                <w:szCs w:val="22"/>
              </w:rPr>
            </w:pPr>
          </w:p>
        </w:tc>
        <w:tc>
          <w:tcPr>
            <w:tcW w:w="7122" w:type="dxa"/>
          </w:tcPr>
          <w:p w:rsidR="007246F5" w:rsidRPr="007246F5" w:rsidRDefault="007246F5">
            <w:pPr>
              <w:rPr>
                <w:sz w:val="22"/>
                <w:szCs w:val="22"/>
              </w:rPr>
            </w:pPr>
            <w:r w:rsidRPr="007246F5">
              <w:rPr>
                <w:sz w:val="22"/>
                <w:szCs w:val="22"/>
              </w:rPr>
              <w:t>Address aspects the programme identified in SED data and end of programme evaluation data, EE feedback.  (EAL, communicating with parents/carers, applying for jobs)</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numPr>
                <w:ilvl w:val="0"/>
                <w:numId w:val="1"/>
              </w:numPr>
              <w:rPr>
                <w:sz w:val="22"/>
                <w:szCs w:val="22"/>
              </w:rPr>
            </w:pPr>
            <w:r w:rsidRPr="007246F5">
              <w:rPr>
                <w:sz w:val="22"/>
                <w:szCs w:val="22"/>
              </w:rPr>
              <w:t>Partnership and schools</w:t>
            </w:r>
          </w:p>
        </w:tc>
        <w:tc>
          <w:tcPr>
            <w:tcW w:w="7122" w:type="dxa"/>
          </w:tcPr>
          <w:p w:rsidR="007246F5" w:rsidRPr="007246F5" w:rsidRDefault="007246F5">
            <w:pPr>
              <w:rPr>
                <w:sz w:val="22"/>
                <w:szCs w:val="22"/>
              </w:rPr>
            </w:pPr>
            <w:r w:rsidRPr="007246F5">
              <w:rPr>
                <w:sz w:val="22"/>
                <w:szCs w:val="22"/>
              </w:rPr>
              <w:t>Placements -</w:t>
            </w:r>
            <w:r>
              <w:rPr>
                <w:sz w:val="22"/>
                <w:szCs w:val="22"/>
              </w:rPr>
              <w:t xml:space="preserve"> ensure</w:t>
            </w:r>
            <w:r w:rsidRPr="007246F5">
              <w:rPr>
                <w:sz w:val="22"/>
                <w:szCs w:val="22"/>
              </w:rPr>
              <w:t xml:space="preserve"> the content and expectations of school placement experiences for trainees align with our curriculum and supports them to apply and develop their knowledge and teaching skills for the award of PGCE with QTS and in readiness for their ECT year.</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pPr>
              <w:rPr>
                <w:sz w:val="22"/>
                <w:szCs w:val="22"/>
              </w:rPr>
            </w:pPr>
          </w:p>
        </w:tc>
        <w:tc>
          <w:tcPr>
            <w:tcW w:w="7122" w:type="dxa"/>
          </w:tcPr>
          <w:p w:rsidR="007246F5" w:rsidRPr="007246F5" w:rsidRDefault="007246F5">
            <w:pPr>
              <w:rPr>
                <w:sz w:val="22"/>
                <w:szCs w:val="22"/>
              </w:rPr>
            </w:pPr>
            <w:r>
              <w:rPr>
                <w:sz w:val="22"/>
                <w:szCs w:val="22"/>
              </w:rPr>
              <w:t xml:space="preserve">Mentor training - develop </w:t>
            </w:r>
            <w:r w:rsidRPr="007246F5">
              <w:rPr>
                <w:sz w:val="22"/>
                <w:szCs w:val="22"/>
              </w:rPr>
              <w:t xml:space="preserve">mentor training </w:t>
            </w:r>
            <w:proofErr w:type="spellStart"/>
            <w:r w:rsidRPr="007246F5">
              <w:rPr>
                <w:sz w:val="22"/>
                <w:szCs w:val="22"/>
              </w:rPr>
              <w:t>webspace</w:t>
            </w:r>
            <w:proofErr w:type="spellEnd"/>
            <w:r w:rsidRPr="007246F5">
              <w:rPr>
                <w:sz w:val="22"/>
                <w:szCs w:val="22"/>
              </w:rPr>
              <w:t xml:space="preserve"> and resources</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pPr>
              <w:rPr>
                <w:sz w:val="22"/>
                <w:szCs w:val="22"/>
              </w:rPr>
            </w:pPr>
          </w:p>
        </w:tc>
        <w:tc>
          <w:tcPr>
            <w:tcW w:w="7122" w:type="dxa"/>
          </w:tcPr>
          <w:p w:rsidR="007246F5" w:rsidRPr="007246F5" w:rsidRDefault="007246F5">
            <w:pPr>
              <w:rPr>
                <w:sz w:val="22"/>
                <w:szCs w:val="22"/>
              </w:rPr>
            </w:pPr>
            <w:r w:rsidRPr="007246F5">
              <w:rPr>
                <w:sz w:val="22"/>
                <w:szCs w:val="22"/>
              </w:rPr>
              <w:t xml:space="preserve">Preparation for 24-25 curriculum: establish a working party of HTs and senior leaders </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pPr>
              <w:rPr>
                <w:sz w:val="22"/>
                <w:szCs w:val="22"/>
              </w:rPr>
            </w:pPr>
          </w:p>
        </w:tc>
        <w:tc>
          <w:tcPr>
            <w:tcW w:w="7122" w:type="dxa"/>
          </w:tcPr>
          <w:p w:rsidR="007246F5" w:rsidRPr="007246F5" w:rsidRDefault="007246F5">
            <w:pPr>
              <w:rPr>
                <w:sz w:val="22"/>
                <w:szCs w:val="22"/>
              </w:rPr>
            </w:pPr>
            <w:r w:rsidRPr="007246F5">
              <w:rPr>
                <w:sz w:val="22"/>
                <w:szCs w:val="22"/>
              </w:rPr>
              <w:t>School Direct - support SD alliances to embed the CCF requirements into their alliance led training programme and equip trainees for school placements</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pPr>
              <w:rPr>
                <w:sz w:val="22"/>
                <w:szCs w:val="22"/>
              </w:rPr>
            </w:pPr>
          </w:p>
        </w:tc>
        <w:tc>
          <w:tcPr>
            <w:tcW w:w="7122" w:type="dxa"/>
          </w:tcPr>
          <w:p w:rsidR="007246F5" w:rsidRPr="007246F5" w:rsidRDefault="007246F5">
            <w:pPr>
              <w:rPr>
                <w:sz w:val="22"/>
                <w:szCs w:val="22"/>
              </w:rPr>
            </w:pPr>
            <w:r w:rsidRPr="007246F5">
              <w:rPr>
                <w:sz w:val="22"/>
                <w:szCs w:val="22"/>
              </w:rPr>
              <w:t>Ensure that SD leads are well equipped to assess trainees’ knowledge, understanding and application of the curriculum against the CCF during the programme and against Teachers' Standards at the end of the programme.</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numPr>
                <w:ilvl w:val="0"/>
                <w:numId w:val="1"/>
              </w:numPr>
              <w:rPr>
                <w:sz w:val="22"/>
                <w:szCs w:val="22"/>
              </w:rPr>
            </w:pPr>
            <w:r w:rsidRPr="007246F5">
              <w:rPr>
                <w:sz w:val="22"/>
                <w:szCs w:val="22"/>
              </w:rPr>
              <w:t>Completion and attainment</w:t>
            </w:r>
          </w:p>
        </w:tc>
        <w:tc>
          <w:tcPr>
            <w:tcW w:w="7122" w:type="dxa"/>
          </w:tcPr>
          <w:p w:rsidR="007246F5" w:rsidRPr="007246F5" w:rsidRDefault="007246F5" w:rsidP="007246F5">
            <w:pPr>
              <w:rPr>
                <w:sz w:val="22"/>
                <w:szCs w:val="22"/>
              </w:rPr>
            </w:pPr>
            <w:r w:rsidRPr="007246F5">
              <w:rPr>
                <w:sz w:val="22"/>
                <w:szCs w:val="22"/>
              </w:rPr>
              <w:t>Ensure the Trainee Portfolio is a robust source of evidence for the as</w:t>
            </w:r>
            <w:r w:rsidRPr="007246F5">
              <w:rPr>
                <w:sz w:val="22"/>
                <w:szCs w:val="22"/>
              </w:rPr>
              <w:t>sessment of trainees' teaching. (</w:t>
            </w:r>
            <w:r w:rsidRPr="007246F5">
              <w:rPr>
                <w:sz w:val="22"/>
                <w:szCs w:val="22"/>
              </w:rPr>
              <w:t>Strands A-E</w:t>
            </w:r>
            <w:r w:rsidRPr="007246F5">
              <w:rPr>
                <w:sz w:val="22"/>
                <w:szCs w:val="22"/>
              </w:rPr>
              <w:t>)</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rPr>
                <w:sz w:val="22"/>
                <w:szCs w:val="22"/>
              </w:rPr>
            </w:pPr>
          </w:p>
        </w:tc>
        <w:tc>
          <w:tcPr>
            <w:tcW w:w="7122" w:type="dxa"/>
          </w:tcPr>
          <w:p w:rsidR="007246F5" w:rsidRPr="007246F5" w:rsidRDefault="007246F5" w:rsidP="007246F5">
            <w:pPr>
              <w:rPr>
                <w:sz w:val="22"/>
                <w:szCs w:val="22"/>
              </w:rPr>
            </w:pPr>
            <w:r w:rsidRPr="007246F5">
              <w:rPr>
                <w:sz w:val="22"/>
                <w:szCs w:val="22"/>
              </w:rPr>
              <w:t xml:space="preserve">Address overall retention and attainment of trainees vulnerable to </w:t>
            </w:r>
          </w:p>
          <w:p w:rsidR="007246F5" w:rsidRPr="007246F5" w:rsidRDefault="007246F5" w:rsidP="007246F5">
            <w:pPr>
              <w:rPr>
                <w:sz w:val="22"/>
                <w:szCs w:val="22"/>
              </w:rPr>
            </w:pPr>
            <w:r w:rsidRPr="007246F5">
              <w:rPr>
                <w:sz w:val="22"/>
                <w:szCs w:val="22"/>
              </w:rPr>
              <w:t>non-completion/</w:t>
            </w:r>
            <w:r w:rsidRPr="007246F5">
              <w:rPr>
                <w:sz w:val="22"/>
                <w:szCs w:val="22"/>
              </w:rPr>
              <w:t>non-attainment of the Standards (</w:t>
            </w:r>
            <w:r w:rsidRPr="007246F5">
              <w:rPr>
                <w:sz w:val="22"/>
                <w:szCs w:val="22"/>
              </w:rPr>
              <w:t>Strands A-E</w:t>
            </w:r>
            <w:r w:rsidRPr="007246F5">
              <w:rPr>
                <w:sz w:val="22"/>
                <w:szCs w:val="22"/>
              </w:rPr>
              <w:t>)</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numPr>
                <w:ilvl w:val="0"/>
                <w:numId w:val="1"/>
              </w:numPr>
              <w:rPr>
                <w:sz w:val="22"/>
                <w:szCs w:val="22"/>
              </w:rPr>
            </w:pPr>
            <w:r w:rsidRPr="007246F5">
              <w:rPr>
                <w:sz w:val="22"/>
                <w:szCs w:val="22"/>
              </w:rPr>
              <w:t>Employment</w:t>
            </w:r>
          </w:p>
        </w:tc>
        <w:tc>
          <w:tcPr>
            <w:tcW w:w="7122" w:type="dxa"/>
          </w:tcPr>
          <w:p w:rsidR="007246F5" w:rsidRPr="007246F5" w:rsidRDefault="007246F5" w:rsidP="007246F5">
            <w:pPr>
              <w:rPr>
                <w:sz w:val="22"/>
                <w:szCs w:val="22"/>
              </w:rPr>
            </w:pPr>
            <w:r w:rsidRPr="007246F5">
              <w:rPr>
                <w:sz w:val="22"/>
                <w:szCs w:val="22"/>
              </w:rPr>
              <w:t xml:space="preserve">Provide comprehensive training sessions for trainees to assist them with first appointments </w:t>
            </w:r>
          </w:p>
          <w:p w:rsidR="007246F5" w:rsidRPr="007246F5" w:rsidRDefault="007246F5" w:rsidP="007246F5">
            <w:pPr>
              <w:rPr>
                <w:sz w:val="22"/>
                <w:szCs w:val="22"/>
              </w:rPr>
            </w:pPr>
            <w:r w:rsidRPr="007246F5">
              <w:rPr>
                <w:sz w:val="22"/>
                <w:szCs w:val="22"/>
              </w:rPr>
              <w:t xml:space="preserve">Strand E </w:t>
            </w:r>
            <w:r w:rsidRPr="007246F5">
              <w:rPr>
                <w:sz w:val="22"/>
                <w:szCs w:val="22"/>
              </w:rPr>
              <w:t>(</w:t>
            </w:r>
            <w:r w:rsidRPr="007246F5">
              <w:rPr>
                <w:sz w:val="22"/>
                <w:szCs w:val="22"/>
              </w:rPr>
              <w:t xml:space="preserve">priority identified in </w:t>
            </w:r>
            <w:r w:rsidRPr="007246F5">
              <w:rPr>
                <w:sz w:val="22"/>
                <w:szCs w:val="22"/>
              </w:rPr>
              <w:t>response to EE recommendation</w:t>
            </w:r>
            <w:r w:rsidRPr="007246F5">
              <w:rPr>
                <w:sz w:val="22"/>
                <w:szCs w:val="22"/>
              </w:rPr>
              <w:t>s</w:t>
            </w:r>
            <w:r w:rsidRPr="007246F5">
              <w:rPr>
                <w:sz w:val="22"/>
                <w:szCs w:val="22"/>
              </w:rPr>
              <w:t xml:space="preserve"> and SED evaluation data).</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rPr>
                <w:sz w:val="22"/>
                <w:szCs w:val="22"/>
              </w:rPr>
            </w:pPr>
          </w:p>
        </w:tc>
        <w:tc>
          <w:tcPr>
            <w:tcW w:w="7122" w:type="dxa"/>
          </w:tcPr>
          <w:p w:rsidR="007246F5" w:rsidRPr="007246F5" w:rsidRDefault="007246F5" w:rsidP="007246F5">
            <w:pPr>
              <w:rPr>
                <w:sz w:val="22"/>
                <w:szCs w:val="22"/>
              </w:rPr>
            </w:pPr>
            <w:r>
              <w:rPr>
                <w:sz w:val="22"/>
                <w:szCs w:val="22"/>
              </w:rPr>
              <w:t>P</w:t>
            </w:r>
            <w:r w:rsidRPr="007246F5">
              <w:rPr>
                <w:sz w:val="22"/>
                <w:szCs w:val="22"/>
              </w:rPr>
              <w:t>rovide employment schools with relevant information abou</w:t>
            </w:r>
            <w:r w:rsidRPr="007246F5">
              <w:rPr>
                <w:sz w:val="22"/>
                <w:szCs w:val="22"/>
              </w:rPr>
              <w:t xml:space="preserve">t their UoM PGCE ECT </w:t>
            </w:r>
            <w:proofErr w:type="gramStart"/>
            <w:r w:rsidRPr="007246F5">
              <w:rPr>
                <w:sz w:val="22"/>
                <w:szCs w:val="22"/>
              </w:rPr>
              <w:t>employees  (</w:t>
            </w:r>
            <w:proofErr w:type="gramEnd"/>
            <w:r w:rsidRPr="007246F5">
              <w:rPr>
                <w:sz w:val="22"/>
                <w:szCs w:val="22"/>
              </w:rPr>
              <w:t>Strands A-E, links to ECF</w:t>
            </w:r>
            <w:r w:rsidRPr="007246F5">
              <w:rPr>
                <w:sz w:val="22"/>
                <w:szCs w:val="22"/>
              </w:rPr>
              <w:t xml:space="preserve">, </w:t>
            </w:r>
            <w:r w:rsidRPr="007246F5">
              <w:rPr>
                <w:sz w:val="22"/>
                <w:szCs w:val="22"/>
              </w:rPr>
              <w:t>Ofsted target 2018)</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numPr>
                <w:ilvl w:val="0"/>
                <w:numId w:val="1"/>
              </w:numPr>
              <w:rPr>
                <w:sz w:val="22"/>
                <w:szCs w:val="22"/>
              </w:rPr>
            </w:pPr>
            <w:r w:rsidRPr="007246F5">
              <w:rPr>
                <w:sz w:val="22"/>
                <w:szCs w:val="22"/>
              </w:rPr>
              <w:t>Leadership and management</w:t>
            </w:r>
          </w:p>
        </w:tc>
        <w:tc>
          <w:tcPr>
            <w:tcW w:w="7122" w:type="dxa"/>
          </w:tcPr>
          <w:p w:rsidR="007246F5" w:rsidRPr="007246F5" w:rsidRDefault="007246F5" w:rsidP="007246F5">
            <w:pPr>
              <w:rPr>
                <w:sz w:val="22"/>
                <w:szCs w:val="22"/>
              </w:rPr>
            </w:pPr>
            <w:r w:rsidRPr="007246F5">
              <w:rPr>
                <w:sz w:val="22"/>
                <w:szCs w:val="22"/>
              </w:rPr>
              <w:t xml:space="preserve">Respond to and lead developments in relation to </w:t>
            </w:r>
            <w:proofErr w:type="spellStart"/>
            <w:r w:rsidRPr="007246F5">
              <w:rPr>
                <w:sz w:val="22"/>
                <w:szCs w:val="22"/>
              </w:rPr>
              <w:t>DfE</w:t>
            </w:r>
            <w:proofErr w:type="spellEnd"/>
            <w:r w:rsidRPr="007246F5">
              <w:rPr>
                <w:sz w:val="22"/>
                <w:szCs w:val="22"/>
              </w:rPr>
              <w:t>/Ofsted directives.</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rPr>
                <w:sz w:val="22"/>
                <w:szCs w:val="22"/>
              </w:rPr>
            </w:pPr>
          </w:p>
        </w:tc>
        <w:tc>
          <w:tcPr>
            <w:tcW w:w="7122" w:type="dxa"/>
          </w:tcPr>
          <w:p w:rsidR="007246F5" w:rsidRPr="007246F5" w:rsidRDefault="007246F5" w:rsidP="007246F5">
            <w:pPr>
              <w:rPr>
                <w:sz w:val="22"/>
                <w:szCs w:val="22"/>
              </w:rPr>
            </w:pPr>
            <w:r w:rsidRPr="007246F5">
              <w:rPr>
                <w:sz w:val="22"/>
                <w:szCs w:val="22"/>
              </w:rPr>
              <w:t>Ensure all systems for QA are robust, purposeful and link to programme priorities</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rPr>
                <w:sz w:val="22"/>
                <w:szCs w:val="22"/>
              </w:rPr>
            </w:pPr>
          </w:p>
        </w:tc>
        <w:tc>
          <w:tcPr>
            <w:tcW w:w="7122" w:type="dxa"/>
          </w:tcPr>
          <w:p w:rsidR="007246F5" w:rsidRPr="007246F5" w:rsidRDefault="007246F5" w:rsidP="007246F5">
            <w:pPr>
              <w:rPr>
                <w:sz w:val="22"/>
                <w:szCs w:val="22"/>
              </w:rPr>
            </w:pPr>
            <w:r w:rsidRPr="007246F5">
              <w:rPr>
                <w:sz w:val="22"/>
                <w:szCs w:val="22"/>
              </w:rPr>
              <w:t>Ensure that the needs of the most vulnerable trainees are met (trainees under DASS and OH).</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rPr>
                <w:sz w:val="22"/>
                <w:szCs w:val="22"/>
              </w:rPr>
            </w:pPr>
          </w:p>
        </w:tc>
        <w:tc>
          <w:tcPr>
            <w:tcW w:w="7122" w:type="dxa"/>
          </w:tcPr>
          <w:p w:rsidR="007246F5" w:rsidRPr="007246F5" w:rsidRDefault="007246F5" w:rsidP="007246F5">
            <w:pPr>
              <w:rPr>
                <w:sz w:val="22"/>
                <w:szCs w:val="22"/>
              </w:rPr>
            </w:pPr>
            <w:r w:rsidRPr="007246F5">
              <w:rPr>
                <w:sz w:val="22"/>
                <w:szCs w:val="22"/>
              </w:rPr>
              <w:t>Prepare hybrid programme to start in Sept 2021</w:t>
            </w:r>
          </w:p>
        </w:tc>
        <w:tc>
          <w:tcPr>
            <w:tcW w:w="957" w:type="dxa"/>
          </w:tcPr>
          <w:p w:rsidR="007246F5" w:rsidRPr="007246F5" w:rsidRDefault="007246F5">
            <w:pPr>
              <w:rPr>
                <w:sz w:val="22"/>
                <w:szCs w:val="22"/>
              </w:rPr>
            </w:pPr>
          </w:p>
        </w:tc>
      </w:tr>
      <w:tr w:rsidR="007246F5" w:rsidRPr="007246F5" w:rsidTr="007246F5">
        <w:tc>
          <w:tcPr>
            <w:tcW w:w="2376" w:type="dxa"/>
          </w:tcPr>
          <w:p w:rsidR="007246F5" w:rsidRPr="007246F5" w:rsidRDefault="007246F5" w:rsidP="007246F5">
            <w:pPr>
              <w:pStyle w:val="ListParagraph"/>
              <w:rPr>
                <w:sz w:val="22"/>
                <w:szCs w:val="22"/>
              </w:rPr>
            </w:pPr>
          </w:p>
        </w:tc>
        <w:tc>
          <w:tcPr>
            <w:tcW w:w="7122" w:type="dxa"/>
          </w:tcPr>
          <w:p w:rsidR="007246F5" w:rsidRPr="007246F5" w:rsidRDefault="007246F5" w:rsidP="007246F5">
            <w:pPr>
              <w:rPr>
                <w:sz w:val="22"/>
                <w:szCs w:val="22"/>
              </w:rPr>
            </w:pPr>
            <w:r w:rsidRPr="007246F5">
              <w:rPr>
                <w:sz w:val="22"/>
                <w:szCs w:val="22"/>
              </w:rPr>
              <w:t>School Direct - manage and support SD alliances to ensure that recruitment, alliance training and placements are compliant and continue to maintain high standards</w:t>
            </w:r>
            <w:r w:rsidR="009F0E6A">
              <w:rPr>
                <w:sz w:val="22"/>
                <w:szCs w:val="22"/>
              </w:rPr>
              <w:t xml:space="preserve"> of </w:t>
            </w:r>
            <w:bookmarkStart w:id="0" w:name="_GoBack"/>
            <w:bookmarkEnd w:id="0"/>
            <w:r w:rsidR="009F0E6A">
              <w:rPr>
                <w:sz w:val="22"/>
                <w:szCs w:val="22"/>
              </w:rPr>
              <w:t>delivery.</w:t>
            </w:r>
          </w:p>
        </w:tc>
        <w:tc>
          <w:tcPr>
            <w:tcW w:w="957" w:type="dxa"/>
          </w:tcPr>
          <w:p w:rsidR="007246F5" w:rsidRPr="007246F5" w:rsidRDefault="007246F5">
            <w:pPr>
              <w:rPr>
                <w:sz w:val="22"/>
                <w:szCs w:val="22"/>
              </w:rPr>
            </w:pPr>
          </w:p>
        </w:tc>
      </w:tr>
    </w:tbl>
    <w:p w:rsidR="007246F5" w:rsidRPr="007246F5" w:rsidRDefault="007246F5">
      <w:pPr>
        <w:rPr>
          <w:sz w:val="22"/>
          <w:szCs w:val="22"/>
        </w:rPr>
      </w:pPr>
    </w:p>
    <w:sectPr w:rsidR="007246F5" w:rsidRPr="007246F5" w:rsidSect="007246F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95641"/>
    <w:multiLevelType w:val="hybridMultilevel"/>
    <w:tmpl w:val="AA62F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F5"/>
    <w:rsid w:val="00481E7A"/>
    <w:rsid w:val="004D7C88"/>
    <w:rsid w:val="007246F5"/>
    <w:rsid w:val="00752871"/>
    <w:rsid w:val="009F0E6A"/>
    <w:rsid w:val="00AA72DE"/>
    <w:rsid w:val="00AE4907"/>
    <w:rsid w:val="00DC3AD0"/>
    <w:rsid w:val="00EB07F7"/>
    <w:rsid w:val="00FC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5E53"/>
  <w15:chartTrackingRefBased/>
  <w15:docId w15:val="{DF4595C0-85D0-3247-BEEE-05D11D3A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Phillips</dc:creator>
  <cp:keywords/>
  <dc:description/>
  <cp:lastModifiedBy>Rebecca Phillips</cp:lastModifiedBy>
  <cp:revision>2</cp:revision>
  <dcterms:created xsi:type="dcterms:W3CDTF">2022-02-25T11:16:00Z</dcterms:created>
  <dcterms:modified xsi:type="dcterms:W3CDTF">2022-02-28T12:56:00Z</dcterms:modified>
</cp:coreProperties>
</file>