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sdt>
      <w:sdtPr>
        <w:id w:val="-1096009921"/>
        <w:docPartObj>
          <w:docPartGallery w:val="Cover Pages"/>
          <w:docPartUnique/>
        </w:docPartObj>
      </w:sdtPr>
      <w:sdtContent>
        <w:p w14:paraId="1A4469AC" w14:textId="12E4FBDA" w:rsidR="002721AD" w:rsidRDefault="0065609A" w:rsidP="006E062C">
          <w:r>
            <w:rPr>
              <w:rFonts w:eastAsiaTheme="majorEastAsia"/>
              <w:b/>
              <w:bCs/>
              <w:noProof/>
              <w:color w:val="FFFFFF" w:themeColor="background1"/>
              <w:sz w:val="72"/>
              <w:szCs w:val="144"/>
            </w:rPr>
            <w:drawing>
              <wp:anchor distT="0" distB="0" distL="114300" distR="114300" simplePos="0" relativeHeight="251662336" behindDoc="0" locked="0" layoutInCell="1" allowOverlap="1" wp14:anchorId="25AF3423" wp14:editId="45A0979B">
                <wp:simplePos x="0" y="0"/>
                <wp:positionH relativeFrom="column">
                  <wp:posOffset>-18558</wp:posOffset>
                </wp:positionH>
                <wp:positionV relativeFrom="paragraph">
                  <wp:posOffset>-342900</wp:posOffset>
                </wp:positionV>
                <wp:extent cx="1843548" cy="77851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3548" cy="7785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7" behindDoc="0" locked="0" layoutInCell="1" allowOverlap="1" wp14:anchorId="118C6D9D" wp14:editId="3CE4EE40">
                    <wp:simplePos x="0" y="0"/>
                    <wp:positionH relativeFrom="column">
                      <wp:posOffset>-648929</wp:posOffset>
                    </wp:positionH>
                    <wp:positionV relativeFrom="paragraph">
                      <wp:posOffset>-914400</wp:posOffset>
                    </wp:positionV>
                    <wp:extent cx="7560310" cy="10692130"/>
                    <wp:effectExtent l="0" t="0" r="0" b="127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310" cy="10692130"/>
                            </a:xfrm>
                            <a:prstGeom prst="rect">
                              <a:avLst/>
                            </a:prstGeom>
                            <a:solidFill>
                              <a:srgbClr val="5C2A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74324" id="Rectangle 9" o:spid="_x0000_s1026" alt="&quot;&quot;" style="position:absolute;margin-left:-51.1pt;margin-top:-1in;width:595.3pt;height:841.9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" fillcolor="#5c2a7a" stroked="f" strokeweight="2pt"/>
                </w:pict>
              </mc:Fallback>
            </mc:AlternateContent>
          </w:r>
        </w:p>
        <w:p w14:paraId="6A5F6B1F" w14:textId="6D92DE14" w:rsidR="002721AD" w:rsidRDefault="002721AD" w:rsidP="006E062C">
          <w:r>
            <w:rPr>
              <w:noProof/>
            </w:rPr>
            <mc:AlternateContent>
              <mc:Choice Requires="wps">
                <w:drawing>
                  <wp:anchor distT="0" distB="0" distL="114300" distR="114300" simplePos="0" relativeHeight="251661312" behindDoc="0" locked="0" layoutInCell="1" allowOverlap="1" wp14:anchorId="3D33B854" wp14:editId="2BA9BE4B">
                    <wp:simplePos x="0" y="0"/>
                    <wp:positionH relativeFrom="page">
                      <wp:posOffset>574675</wp:posOffset>
                    </wp:positionH>
                    <wp:positionV relativeFrom="page">
                      <wp:posOffset>4497521</wp:posOffset>
                    </wp:positionV>
                    <wp:extent cx="5243584" cy="2475230"/>
                    <wp:effectExtent l="0" t="0" r="1905" b="3810"/>
                    <wp:wrapSquare wrapText="bothSides"/>
                    <wp:docPr id="470" name="Text Box 470"/>
                    <wp:cNvGraphicFramePr/>
                    <a:graphic xmlns:a="http://schemas.openxmlformats.org/drawingml/2006/main">
                      <a:graphicData uri="http://schemas.microsoft.com/office/word/2010/wordprocessingShape">
                        <wps:wsp>
                          <wps:cNvSpPr txBox="1"/>
                          <wps:spPr>
                            <a:xfrm>
                              <a:off x="0" y="0"/>
                              <a:ext cx="5243584" cy="2475230"/>
                            </a:xfrm>
                            <a:prstGeom prst="rect">
                              <a:avLst/>
                            </a:prstGeom>
                            <a:noFill/>
                            <a:ln w="6350">
                              <a:noFill/>
                            </a:ln>
                            <a:effectLst/>
                          </wps:spPr>
                          <wps:txbx>
                            <w:txbxContent>
                              <w:sdt>
                                <w:sdt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5A073779" w14:textId="3703FEA1" w:rsidR="002721AD" w:rsidRPr="006E062C" w:rsidRDefault="002721AD" w:rsidP="006E062C">
                                    <w:pPr>
                                      <w:pStyle w:val="Heading1"/>
                                    </w:pPr>
                                    <w:r w:rsidRPr="006E062C">
                                      <w:t xml:space="preserve">Modern Slavery </w:t>
                                    </w:r>
                                    <w:r w:rsidR="006E062C" w:rsidRPr="006E062C">
                                      <w:t xml:space="preserve">and </w:t>
                                    </w:r>
                                    <w:r w:rsidRPr="006E062C">
                                      <w:t>Human Trafficking Statement</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3D33B854" id="_x0000_t202" coordsize="21600,21600" o:spt="202" path="m,l,21600r21600,l21600,xe">
                    <v:stroke joinstyle="miter"/>
                    <v:path gradientshapeok="t" o:connecttype="rect"/>
                  </v:shapetype>
                  <v:shape id="Text Box 470" o:spid="_x0000_s1026" type="#_x0000_t202" style="position:absolute;margin-left:45.25pt;margin-top:354.15pt;width:412.9pt;height:194.9pt;z-index:251661312;visibility:visible;mso-wrap-style:square;mso-width-percent:0;mso-height-percent:280;mso-wrap-distance-left:9pt;mso-wrap-distance-top:0;mso-wrap-distance-right:9pt;mso-wrap-distance-bottom:0;mso-position-horizontal:absolute;mso-position-horizontal-relative:page;mso-position-vertical:absolute;mso-position-vertical-relative:page;mso-width-percent:0;mso-height-percent:28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" filled="f" stroked="f" strokeweight=".5pt">
                    <v:textbox style="mso-fit-shape-to-text:t" inset="0,0,0,0">
                      <w:txbxContent>
                        <w:sdt>
                          <w:sdt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5A073779" w14:textId="3703FEA1" w:rsidR="002721AD" w:rsidRPr="006E062C" w:rsidRDefault="002721AD" w:rsidP="006E062C">
                              <w:pPr>
                                <w:pStyle w:val="Heading1"/>
                              </w:pPr>
                              <w:r w:rsidRPr="006E062C">
                                <w:t xml:space="preserve">Modern Slavery </w:t>
                              </w:r>
                              <w:r w:rsidR="006E062C" w:rsidRPr="006E062C">
                                <w:t xml:space="preserve">and </w:t>
                              </w:r>
                              <w:r w:rsidRPr="006E062C">
                                <w:t>Human Trafficking Statement</w:t>
                              </w:r>
                            </w:p>
                          </w:sdtContent>
                        </w:sdt>
                      </w:txbxContent>
                    </v:textbox>
                    <w10:wrap type="square" anchorx="page" anchory="page"/>
                  </v:shape>
                </w:pict>
              </mc:Fallback>
            </mc:AlternateContent>
          </w:r>
          <w:r>
            <w:br w:type="page"/>
          </w:r>
        </w:p>
      </w:sdtContent>
    </w:sdt>
    <w:p w14:paraId="6225CFA5" w14:textId="2AC6CCAC" w:rsidR="001E3EB4" w:rsidRPr="0065609A" w:rsidRDefault="00866F06" w:rsidP="006E062C">
      <w:pPr>
        <w:rPr>
          <w:sz w:val="28"/>
          <w:szCs w:val="28"/>
        </w:rPr>
      </w:pPr>
      <w:r w:rsidRPr="0065609A">
        <w:rPr>
          <w:sz w:val="28"/>
          <w:szCs w:val="28"/>
        </w:rPr>
        <w:lastRenderedPageBreak/>
        <w:t>This statement is made in accordance with section 54(1) of the Modern Slavery Act 2015 and constitutes our slavery and human trafficking statement for the financial year ending 31</w:t>
      </w:r>
      <w:r w:rsidRPr="0065609A">
        <w:rPr>
          <w:sz w:val="28"/>
          <w:szCs w:val="28"/>
          <w:vertAlign w:val="superscript"/>
        </w:rPr>
        <w:t>st</w:t>
      </w:r>
      <w:r w:rsidR="000F0CF9" w:rsidRPr="0065609A">
        <w:rPr>
          <w:sz w:val="28"/>
          <w:szCs w:val="28"/>
        </w:rPr>
        <w:t xml:space="preserve"> July 2021</w:t>
      </w:r>
      <w:r w:rsidRPr="0065609A">
        <w:rPr>
          <w:sz w:val="28"/>
          <w:szCs w:val="28"/>
        </w:rPr>
        <w:t>.</w:t>
      </w:r>
      <w:r w:rsidR="004D26C3" w:rsidRPr="0065609A">
        <w:rPr>
          <w:sz w:val="28"/>
          <w:szCs w:val="28"/>
        </w:rPr>
        <w:t xml:space="preserve"> This is our sixth </w:t>
      </w:r>
      <w:r w:rsidR="00C669DE" w:rsidRPr="0065609A">
        <w:rPr>
          <w:sz w:val="28"/>
          <w:szCs w:val="28"/>
        </w:rPr>
        <w:t xml:space="preserve">statement under the Act and provides an overview of our </w:t>
      </w:r>
      <w:r w:rsidR="00A76D0A" w:rsidRPr="0065609A">
        <w:rPr>
          <w:sz w:val="28"/>
          <w:szCs w:val="28"/>
        </w:rPr>
        <w:t>risks and actions</w:t>
      </w:r>
      <w:r w:rsidR="00CD5C19" w:rsidRPr="0065609A">
        <w:rPr>
          <w:sz w:val="28"/>
          <w:szCs w:val="28"/>
        </w:rPr>
        <w:t xml:space="preserve"> </w:t>
      </w:r>
      <w:r w:rsidR="00C669DE" w:rsidRPr="0065609A">
        <w:rPr>
          <w:sz w:val="28"/>
          <w:szCs w:val="28"/>
        </w:rPr>
        <w:t>in this area.</w:t>
      </w:r>
      <w:r w:rsidR="006E062C" w:rsidRPr="0065609A">
        <w:rPr>
          <w:sz w:val="28"/>
          <w:szCs w:val="28"/>
        </w:rPr>
        <w:t xml:space="preserve"> </w:t>
      </w:r>
      <w:r w:rsidR="00DD2BC9" w:rsidRPr="0065609A">
        <w:rPr>
          <w:sz w:val="28"/>
          <w:szCs w:val="28"/>
        </w:rPr>
        <w:t xml:space="preserve">Our activities have been heavily affected during the year by </w:t>
      </w:r>
      <w:r w:rsidR="00D974D7" w:rsidRPr="0065609A">
        <w:rPr>
          <w:sz w:val="28"/>
          <w:szCs w:val="28"/>
        </w:rPr>
        <w:t xml:space="preserve">the Covid-19 pandemic with normal campus operations </w:t>
      </w:r>
      <w:r w:rsidR="00DD2BC9" w:rsidRPr="0065609A">
        <w:rPr>
          <w:sz w:val="28"/>
          <w:szCs w:val="28"/>
        </w:rPr>
        <w:t>suspended for the whole period</w:t>
      </w:r>
      <w:r w:rsidR="00D974D7" w:rsidRPr="0065609A">
        <w:rPr>
          <w:sz w:val="28"/>
          <w:szCs w:val="28"/>
        </w:rPr>
        <w:t xml:space="preserve">. In line with </w:t>
      </w:r>
      <w:r w:rsidR="0024411B" w:rsidRPr="0065609A">
        <w:rPr>
          <w:sz w:val="28"/>
          <w:szCs w:val="28"/>
        </w:rPr>
        <w:t>lockdown restrictions</w:t>
      </w:r>
      <w:r w:rsidR="00D974D7" w:rsidRPr="0065609A">
        <w:rPr>
          <w:sz w:val="28"/>
          <w:szCs w:val="28"/>
        </w:rPr>
        <w:t xml:space="preserve"> much of our teaching and research has been </w:t>
      </w:r>
      <w:r w:rsidR="00DD2BC9" w:rsidRPr="0065609A">
        <w:rPr>
          <w:sz w:val="28"/>
          <w:szCs w:val="28"/>
        </w:rPr>
        <w:t>u</w:t>
      </w:r>
      <w:r w:rsidR="001E3EB4" w:rsidRPr="0065609A">
        <w:rPr>
          <w:sz w:val="28"/>
          <w:szCs w:val="28"/>
        </w:rPr>
        <w:t>ndertaken remotely and on-line.</w:t>
      </w:r>
    </w:p>
    <w:p w14:paraId="683D2A76" w14:textId="6371B0AA" w:rsidR="00866F06" w:rsidRPr="0065609A" w:rsidRDefault="001E3EB4" w:rsidP="006E062C">
      <w:pPr>
        <w:rPr>
          <w:sz w:val="28"/>
          <w:szCs w:val="28"/>
        </w:rPr>
      </w:pPr>
      <w:r w:rsidRPr="0065609A">
        <w:rPr>
          <w:sz w:val="28"/>
          <w:szCs w:val="28"/>
        </w:rPr>
        <w:t>Changes resulting from this altered operational activity</w:t>
      </w:r>
      <w:r w:rsidR="00D974D7" w:rsidRPr="0065609A">
        <w:rPr>
          <w:sz w:val="28"/>
          <w:szCs w:val="28"/>
        </w:rPr>
        <w:t xml:space="preserve"> has </w:t>
      </w:r>
      <w:r w:rsidRPr="0065609A">
        <w:rPr>
          <w:sz w:val="28"/>
          <w:szCs w:val="28"/>
        </w:rPr>
        <w:t>impacted</w:t>
      </w:r>
      <w:r w:rsidR="00D974D7" w:rsidRPr="0065609A">
        <w:rPr>
          <w:sz w:val="28"/>
          <w:szCs w:val="28"/>
        </w:rPr>
        <w:t xml:space="preserve"> our </w:t>
      </w:r>
      <w:r w:rsidR="00DD2BC9" w:rsidRPr="0065609A">
        <w:rPr>
          <w:sz w:val="28"/>
          <w:szCs w:val="28"/>
        </w:rPr>
        <w:t>spending pattern</w:t>
      </w:r>
      <w:r w:rsidRPr="0065609A">
        <w:rPr>
          <w:sz w:val="28"/>
          <w:szCs w:val="28"/>
        </w:rPr>
        <w:t>s</w:t>
      </w:r>
      <w:r w:rsidR="00DD2BC9" w:rsidRPr="0065609A">
        <w:rPr>
          <w:sz w:val="28"/>
          <w:szCs w:val="28"/>
        </w:rPr>
        <w:t xml:space="preserve"> and </w:t>
      </w:r>
      <w:r w:rsidR="00D974D7" w:rsidRPr="0065609A">
        <w:rPr>
          <w:sz w:val="28"/>
          <w:szCs w:val="28"/>
        </w:rPr>
        <w:t xml:space="preserve">risk </w:t>
      </w:r>
      <w:r w:rsidR="00DD2BC9" w:rsidRPr="0065609A">
        <w:rPr>
          <w:sz w:val="28"/>
          <w:szCs w:val="28"/>
        </w:rPr>
        <w:t xml:space="preserve">profile, in respect of modern slavery, </w:t>
      </w:r>
      <w:r w:rsidR="00D974D7" w:rsidRPr="0065609A">
        <w:rPr>
          <w:sz w:val="28"/>
          <w:szCs w:val="28"/>
        </w:rPr>
        <w:t>over the year.</w:t>
      </w:r>
      <w:r w:rsidRPr="0065609A">
        <w:rPr>
          <w:sz w:val="28"/>
          <w:szCs w:val="28"/>
        </w:rPr>
        <w:t xml:space="preserve"> For example we have fewer building projects in progress, with resultant reductions in estates spend, </w:t>
      </w:r>
      <w:r w:rsidR="00695022" w:rsidRPr="0065609A">
        <w:rPr>
          <w:sz w:val="28"/>
          <w:szCs w:val="28"/>
        </w:rPr>
        <w:t xml:space="preserve">and little campus activity reducing spend on catering commodities, </w:t>
      </w:r>
      <w:r w:rsidRPr="0065609A">
        <w:rPr>
          <w:sz w:val="28"/>
          <w:szCs w:val="28"/>
        </w:rPr>
        <w:t>but have invested in IT and accessories, to support remote learning, so spending has increased under this category.</w:t>
      </w:r>
    </w:p>
    <w:p w14:paraId="6B112401" w14:textId="77777777" w:rsidR="0065609A" w:rsidRDefault="00CA5806" w:rsidP="006E062C">
      <w:pPr>
        <w:rPr>
          <w:sz w:val="28"/>
          <w:szCs w:val="28"/>
        </w:rPr>
      </w:pPr>
      <w:r w:rsidRPr="0065609A">
        <w:rPr>
          <w:sz w:val="28"/>
          <w:szCs w:val="28"/>
        </w:rPr>
        <w:t xml:space="preserve">Our report is structured in line with the requirements of </w:t>
      </w:r>
      <w:r w:rsidR="00A76D0A" w:rsidRPr="0065609A">
        <w:rPr>
          <w:sz w:val="28"/>
          <w:szCs w:val="28"/>
        </w:rPr>
        <w:t xml:space="preserve">the Modern Slavery Act 2015. </w:t>
      </w:r>
    </w:p>
    <w:p w14:paraId="765D2102" w14:textId="77777777" w:rsidR="0065609A" w:rsidRDefault="0065609A" w:rsidP="006E062C">
      <w:pPr>
        <w:rPr>
          <w:sz w:val="28"/>
          <w:szCs w:val="28"/>
        </w:rPr>
      </w:pPr>
    </w:p>
    <w:p w14:paraId="3F1E4FDB" w14:textId="0B9F3912" w:rsidR="0065609A" w:rsidRDefault="006E062C" w:rsidP="006E062C">
      <w:r>
        <w:br w:type="page"/>
      </w:r>
    </w:p>
    <w:p w14:paraId="58EF3471" w14:textId="77777777" w:rsidR="007834C9" w:rsidRPr="0065609A" w:rsidRDefault="00C16BC1" w:rsidP="0065609A">
      <w:pPr>
        <w:pStyle w:val="Heading2"/>
      </w:pPr>
      <w:r>
        <w:lastRenderedPageBreak/>
        <w:t>Our</w:t>
      </w:r>
      <w:r w:rsidR="00DA0211">
        <w:t xml:space="preserve"> Organisation S</w:t>
      </w:r>
      <w:r w:rsidR="007834C9" w:rsidRPr="00DA0211">
        <w:t>truct</w:t>
      </w:r>
      <w:r w:rsidR="00DA0211">
        <w:t>ure, Business and Supply C</w:t>
      </w:r>
      <w:r w:rsidR="00DA0211" w:rsidRPr="00DA0211">
        <w:t>hains</w:t>
      </w:r>
    </w:p>
    <w:p w14:paraId="6BBBC6BD" w14:textId="5A6E368F" w:rsidR="00397AC0" w:rsidRDefault="00397AC0" w:rsidP="006E062C">
      <w:r w:rsidRPr="00397AC0">
        <w:t>We are a UK Higher Education</w:t>
      </w:r>
      <w:r w:rsidR="00A106B8">
        <w:t xml:space="preserve"> (HE)</w:t>
      </w:r>
      <w:r w:rsidRPr="00397AC0">
        <w:t xml:space="preserve"> Institution which provides a wide range of teaching, research and related activities. </w:t>
      </w:r>
      <w:r w:rsidR="007A53AB">
        <w:t>Social responsibility is recognised equally</w:t>
      </w:r>
      <w:r w:rsidR="007C3F83">
        <w:t>, as one of core goals, alongside our academic aims. We are physically based</w:t>
      </w:r>
      <w:r w:rsidR="00607DC9">
        <w:t xml:space="preserve"> </w:t>
      </w:r>
      <w:r w:rsidR="00DA2EE6">
        <w:t>in Manchester</w:t>
      </w:r>
      <w:r w:rsidR="007C3F83">
        <w:t xml:space="preserve">, where our main campus is located, </w:t>
      </w:r>
      <w:r w:rsidR="00DA2EE6">
        <w:t>but our research and collabo</w:t>
      </w:r>
      <w:r w:rsidR="00607DC9">
        <w:t>rative activities take place across the world</w:t>
      </w:r>
      <w:r w:rsidRPr="00397AC0">
        <w:t>.</w:t>
      </w:r>
      <w:r w:rsidRPr="00397AC0">
        <w:rPr>
          <w:color w:val="1F497D"/>
        </w:rPr>
        <w:t xml:space="preserve"> </w:t>
      </w:r>
      <w:r w:rsidR="00CA5806">
        <w:t>In 2021 we had</w:t>
      </w:r>
      <w:r w:rsidR="00607DC9">
        <w:t xml:space="preserve"> 40,485</w:t>
      </w:r>
      <w:r w:rsidRPr="00397AC0">
        <w:t xml:space="preserve"> </w:t>
      </w:r>
      <w:r w:rsidR="00A95CDD">
        <w:t>undergraduate and post</w:t>
      </w:r>
      <w:r w:rsidR="00607DC9">
        <w:t xml:space="preserve">graduate </w:t>
      </w:r>
      <w:r w:rsidR="00A95CDD">
        <w:t xml:space="preserve">students mostly based on our campus, but with a number </w:t>
      </w:r>
      <w:r w:rsidR="00DA2EE6">
        <w:t>studying outside the UK</w:t>
      </w:r>
      <w:r w:rsidRPr="00397AC0">
        <w:t>. We are one of the largest employers i</w:t>
      </w:r>
      <w:r w:rsidR="00607DC9">
        <w:t>n Greater Manchester with 12,920</w:t>
      </w:r>
      <w:r w:rsidRPr="00397AC0">
        <w:t xml:space="preserve"> </w:t>
      </w:r>
      <w:r w:rsidR="00A95CDD">
        <w:t xml:space="preserve">academic and support </w:t>
      </w:r>
      <w:r w:rsidRPr="00397AC0">
        <w:t>staff a</w:t>
      </w:r>
      <w:r w:rsidR="00DA2EE6">
        <w:t>nd an annual income in excess of</w:t>
      </w:r>
      <w:r w:rsidRPr="00397AC0">
        <w:t xml:space="preserve"> £1 billion.</w:t>
      </w:r>
    </w:p>
    <w:p w14:paraId="1DC42BE3" w14:textId="77777777" w:rsidR="00D912EB" w:rsidRDefault="00D912EB" w:rsidP="006E062C">
      <w:r w:rsidRPr="002205A4">
        <w:t xml:space="preserve">More information about us and our activities is available here: </w:t>
      </w:r>
      <w:hyperlink r:id="rId9" w:history="1">
        <w:r w:rsidRPr="002205A4">
          <w:rPr>
            <w:rStyle w:val="Hyperlink"/>
          </w:rPr>
          <w:t>http://www.manchester.ac.uk/</w:t>
        </w:r>
      </w:hyperlink>
      <w:r w:rsidRPr="002205A4">
        <w:t xml:space="preserve"> </w:t>
      </w:r>
    </w:p>
    <w:p w14:paraId="09D4543F" w14:textId="33C4BFB6" w:rsidR="00D912EB" w:rsidRDefault="003C7BFF" w:rsidP="006E062C">
      <w:pPr>
        <w:rPr>
          <w:rStyle w:val="Hyperlink"/>
        </w:rPr>
      </w:pPr>
      <w:r>
        <w:t>We are structured around three academic faculties</w:t>
      </w:r>
      <w:r w:rsidR="004C57E3">
        <w:t xml:space="preserve"> comprised of individual schools</w:t>
      </w:r>
      <w:r>
        <w:t xml:space="preserve">: Biology, Medicine and </w:t>
      </w:r>
      <w:r w:rsidR="004C57E3">
        <w:t>Health (with 3 schools),</w:t>
      </w:r>
      <w:r>
        <w:t xml:space="preserve"> </w:t>
      </w:r>
      <w:r w:rsidR="00344800">
        <w:t xml:space="preserve">Humanities (with 4 schools) and </w:t>
      </w:r>
      <w:r>
        <w:t>Science an</w:t>
      </w:r>
      <w:r w:rsidR="004C57E3">
        <w:t xml:space="preserve">d Engineering (with </w:t>
      </w:r>
      <w:r>
        <w:t>2 schools</w:t>
      </w:r>
      <w:r w:rsidR="00344800">
        <w:t>)</w:t>
      </w:r>
      <w:r w:rsidR="00286CFB">
        <w:t xml:space="preserve">. In addition we have </w:t>
      </w:r>
      <w:r w:rsidR="00A114D0">
        <w:t>twenty four</w:t>
      </w:r>
      <w:r w:rsidR="004C57E3">
        <w:t xml:space="preserve"> cross-</w:t>
      </w:r>
      <w:r>
        <w:t xml:space="preserve">disciplinary institutes. </w:t>
      </w:r>
      <w:r w:rsidR="007C3F83">
        <w:t>The University encourages work across disciplines to drive innovation</w:t>
      </w:r>
      <w:r w:rsidR="00344800">
        <w:t xml:space="preserve"> and collaborative approaches in</w:t>
      </w:r>
      <w:r w:rsidR="007C3F83">
        <w:t xml:space="preserve"> research, teaching and s</w:t>
      </w:r>
      <w:r w:rsidR="00074FFF">
        <w:t>ocial responsibility activities</w:t>
      </w:r>
      <w:r w:rsidR="007C3F83">
        <w:t>.</w:t>
      </w:r>
      <w:r w:rsidR="006E062C">
        <w:t xml:space="preserve"> </w:t>
      </w:r>
      <w:r w:rsidR="007C3F83">
        <w:t>A</w:t>
      </w:r>
      <w:r>
        <w:t xml:space="preserve"> Professional Servi</w:t>
      </w:r>
      <w:r w:rsidR="007A53AB">
        <w:t>ces structure provides</w:t>
      </w:r>
      <w:r>
        <w:t xml:space="preserve"> administrative support.</w:t>
      </w:r>
      <w:r w:rsidR="00F91370">
        <w:t xml:space="preserve"> Our organisation</w:t>
      </w:r>
      <w:r w:rsidR="00D912EB">
        <w:t xml:space="preserve"> is explained on our web-pages: </w:t>
      </w:r>
      <w:hyperlink r:id="rId10" w:history="1">
        <w:r w:rsidR="00D912EB">
          <w:rPr>
            <w:rStyle w:val="Hyperlink"/>
          </w:rPr>
          <w:t>https://www.manchester.ac.uk/discover/structure/</w:t>
        </w:r>
      </w:hyperlink>
    </w:p>
    <w:p w14:paraId="31B0B1E1" w14:textId="77777777" w:rsidR="00BC233E" w:rsidRDefault="00465404" w:rsidP="006E062C">
      <w:pPr>
        <w:rPr>
          <w:lang w:val="en"/>
        </w:rPr>
      </w:pPr>
      <w:r>
        <w:rPr>
          <w:lang w:val="en"/>
        </w:rPr>
        <w:t>In respect</w:t>
      </w:r>
      <w:r w:rsidR="00BC233E">
        <w:rPr>
          <w:lang w:val="en"/>
        </w:rPr>
        <w:t xml:space="preserve"> of modern slavery we have two main risk areas; </w:t>
      </w:r>
    </w:p>
    <w:p w14:paraId="62A4D908" w14:textId="2F4877DB" w:rsidR="00BC233E" w:rsidRDefault="00BC233E" w:rsidP="006E062C">
      <w:pPr>
        <w:pStyle w:val="ListParagraph"/>
        <w:numPr>
          <w:ilvl w:val="0"/>
          <w:numId w:val="18"/>
        </w:numPr>
        <w:rPr>
          <w:lang w:val="en"/>
        </w:rPr>
      </w:pPr>
      <w:r>
        <w:rPr>
          <w:lang w:val="en"/>
        </w:rPr>
        <w:t xml:space="preserve">People: our </w:t>
      </w:r>
      <w:r w:rsidRPr="00BC233E">
        <w:rPr>
          <w:lang w:val="en"/>
        </w:rPr>
        <w:t>large population of staff and students</w:t>
      </w:r>
      <w:r>
        <w:rPr>
          <w:lang w:val="en"/>
        </w:rPr>
        <w:t xml:space="preserve">. </w:t>
      </w:r>
      <w:r w:rsidR="007A53AB">
        <w:rPr>
          <w:lang w:val="en"/>
        </w:rPr>
        <w:t xml:space="preserve">Our demographic is very diverse but naturally encompasses </w:t>
      </w:r>
      <w:proofErr w:type="gramStart"/>
      <w:r w:rsidR="007A53AB">
        <w:rPr>
          <w:lang w:val="en"/>
        </w:rPr>
        <w:t>a large number of</w:t>
      </w:r>
      <w:proofErr w:type="gramEnd"/>
      <w:r w:rsidR="007A53AB">
        <w:rPr>
          <w:lang w:val="en"/>
        </w:rPr>
        <w:t xml:space="preserve"> young adults. </w:t>
      </w:r>
      <w:r w:rsidR="00127D62">
        <w:rPr>
          <w:lang w:val="en"/>
        </w:rPr>
        <w:t xml:space="preserve">Whilst most of our undergraduate students come from the </w:t>
      </w:r>
      <w:proofErr w:type="gramStart"/>
      <w:r w:rsidR="00127D62">
        <w:rPr>
          <w:lang w:val="en"/>
        </w:rPr>
        <w:t>UK</w:t>
      </w:r>
      <w:proofErr w:type="gramEnd"/>
      <w:r w:rsidR="00127D62">
        <w:rPr>
          <w:lang w:val="en"/>
        </w:rPr>
        <w:t xml:space="preserve"> we also have a large international student population. </w:t>
      </w:r>
      <w:r w:rsidR="007C3F83">
        <w:t>T</w:t>
      </w:r>
      <w:r>
        <w:t xml:space="preserve">he welfare of </w:t>
      </w:r>
      <w:r w:rsidR="007C3F83">
        <w:t xml:space="preserve">our </w:t>
      </w:r>
      <w:r>
        <w:t xml:space="preserve">staff, students and visitors </w:t>
      </w:r>
      <w:r w:rsidR="007C3F83">
        <w:t xml:space="preserve">is our </w:t>
      </w:r>
      <w:r>
        <w:t>highest priority.</w:t>
      </w:r>
    </w:p>
    <w:p w14:paraId="0136057D" w14:textId="68133336" w:rsidR="009879A3" w:rsidRPr="004274FE" w:rsidRDefault="00BC233E" w:rsidP="0065609A">
      <w:pPr>
        <w:pStyle w:val="ListParagraph"/>
        <w:numPr>
          <w:ilvl w:val="0"/>
          <w:numId w:val="18"/>
        </w:numPr>
        <w:spacing w:after="480"/>
        <w:ind w:left="357" w:hanging="357"/>
        <w:rPr>
          <w:lang w:val="en"/>
        </w:rPr>
      </w:pPr>
      <w:r>
        <w:rPr>
          <w:lang w:val="en"/>
        </w:rPr>
        <w:t xml:space="preserve">Supply chains: </w:t>
      </w:r>
      <w:r w:rsidR="00127D62">
        <w:rPr>
          <w:lang w:val="en"/>
        </w:rPr>
        <w:t>we have over 300 buildings on our main campus used for a wide range of teaching, research and support activities. To</w:t>
      </w:r>
      <w:r w:rsidR="007A53AB">
        <w:rPr>
          <w:lang w:val="en"/>
        </w:rPr>
        <w:t xml:space="preserve"> facilitate</w:t>
      </w:r>
      <w:r w:rsidR="00127D62">
        <w:rPr>
          <w:lang w:val="en"/>
        </w:rPr>
        <w:t xml:space="preserve"> </w:t>
      </w:r>
      <w:proofErr w:type="gramStart"/>
      <w:r w:rsidR="00127D62">
        <w:rPr>
          <w:lang w:val="en"/>
        </w:rPr>
        <w:t>this</w:t>
      </w:r>
      <w:proofErr w:type="gramEnd"/>
      <w:r w:rsidR="00127D62">
        <w:rPr>
          <w:lang w:val="en"/>
        </w:rPr>
        <w:t xml:space="preserve"> we have </w:t>
      </w:r>
      <w:r w:rsidR="004C57E3" w:rsidRPr="002205A4">
        <w:t>a large and complex supply chain</w:t>
      </w:r>
      <w:r w:rsidR="00127D62">
        <w:t xml:space="preserve"> from which we purchase </w:t>
      </w:r>
      <w:r w:rsidR="00F91370">
        <w:t xml:space="preserve">a </w:t>
      </w:r>
      <w:r w:rsidR="004C57E3" w:rsidRPr="002205A4">
        <w:t>diverse range of works, goods and services</w:t>
      </w:r>
      <w:r w:rsidR="00127D62">
        <w:t>.</w:t>
      </w:r>
      <w:r w:rsidR="006E062C">
        <w:t xml:space="preserve"> </w:t>
      </w:r>
      <w:r w:rsidR="008B3514">
        <w:t>Over the year we transacted with over 6,000</w:t>
      </w:r>
      <w:r w:rsidR="00127D62">
        <w:t xml:space="preserve"> suppliers </w:t>
      </w:r>
      <w:r w:rsidR="008B3514">
        <w:t>and had an invoiced spend of</w:t>
      </w:r>
      <w:r w:rsidR="00127D62">
        <w:t xml:space="preserve"> approximately </w:t>
      </w:r>
      <w:r w:rsidR="008B3514">
        <w:t>£491 million</w:t>
      </w:r>
      <w:r w:rsidR="004C57E3" w:rsidRPr="002205A4">
        <w:t>.</w:t>
      </w:r>
      <w:r w:rsidR="006E062C">
        <w:t xml:space="preserve"> </w:t>
      </w:r>
      <w:r w:rsidR="002104DC">
        <w:t>As an organisation</w:t>
      </w:r>
      <w:r w:rsidR="00127D62">
        <w:t xml:space="preserve"> we are </w:t>
      </w:r>
      <w:r w:rsidR="007A53AB">
        <w:t xml:space="preserve">committed to </w:t>
      </w:r>
      <w:r w:rsidR="002104DC">
        <w:t>spend our money</w:t>
      </w:r>
      <w:r w:rsidR="007A53AB">
        <w:t xml:space="preserve"> in</w:t>
      </w:r>
      <w:r w:rsidR="004C57E3" w:rsidRPr="002205A4">
        <w:t xml:space="preserve"> a responsible manner.</w:t>
      </w:r>
    </w:p>
    <w:p w14:paraId="54DCE89F" w14:textId="77777777" w:rsidR="0065609A" w:rsidRDefault="0065609A" w:rsidP="0065609A">
      <w:pPr>
        <w:pStyle w:val="Heading2"/>
      </w:pPr>
      <w:r>
        <w:br w:type="page"/>
      </w:r>
    </w:p>
    <w:p w14:paraId="107D5039" w14:textId="7EE290E0" w:rsidR="007834C9" w:rsidRDefault="00397AC0" w:rsidP="0065609A">
      <w:pPr>
        <w:pStyle w:val="Heading2"/>
      </w:pPr>
      <w:r w:rsidRPr="002205A4">
        <w:lastRenderedPageBreak/>
        <w:t>Our Policies and Processes</w:t>
      </w:r>
      <w:r w:rsidR="00DA0211">
        <w:t xml:space="preserve"> relating to Slavery and Trafficking</w:t>
      </w:r>
    </w:p>
    <w:p w14:paraId="327B5CF2" w14:textId="5141E84A" w:rsidR="00DA0211" w:rsidRPr="002104DC" w:rsidRDefault="00DA0211" w:rsidP="006E062C">
      <w:r w:rsidRPr="002205A4">
        <w:t xml:space="preserve">Our </w:t>
      </w:r>
      <w:r w:rsidR="00286CFB">
        <w:t xml:space="preserve">modern slavery approach is consistent with our foundation as a civic organisation, </w:t>
      </w:r>
      <w:r w:rsidR="00B00103">
        <w:t>established</w:t>
      </w:r>
      <w:r w:rsidR="002104DC">
        <w:t xml:space="preserve"> for public benefit,</w:t>
      </w:r>
      <w:r w:rsidR="001029ED">
        <w:t xml:space="preserve"> and </w:t>
      </w:r>
      <w:r w:rsidR="002104DC">
        <w:t xml:space="preserve">with </w:t>
      </w:r>
      <w:r w:rsidR="001029ED">
        <w:t>our mission</w:t>
      </w:r>
      <w:r w:rsidR="002104DC">
        <w:t xml:space="preserve"> which is</w:t>
      </w:r>
      <w:r w:rsidR="001029ED">
        <w:t xml:space="preserve"> to</w:t>
      </w:r>
      <w:r w:rsidR="002104DC">
        <w:t>:</w:t>
      </w:r>
      <w:r w:rsidR="001029ED">
        <w:t xml:space="preserve"> enhance society through </w:t>
      </w:r>
      <w:r w:rsidR="002104DC">
        <w:t>our</w:t>
      </w:r>
      <w:r w:rsidR="001029ED">
        <w:t xml:space="preserve"> </w:t>
      </w:r>
      <w:r w:rsidR="002104DC">
        <w:t xml:space="preserve">established programmes for </w:t>
      </w:r>
      <w:r w:rsidR="001029ED">
        <w:t xml:space="preserve">teaching, research and social responsibility. </w:t>
      </w:r>
      <w:r w:rsidR="002104DC">
        <w:t xml:space="preserve">As an institution we are committed to equality and inclusion and have a </w:t>
      </w:r>
      <w:r w:rsidR="001029ED">
        <w:t xml:space="preserve">zero tolerance </w:t>
      </w:r>
      <w:r w:rsidR="002104DC">
        <w:t xml:space="preserve">approach to </w:t>
      </w:r>
      <w:r w:rsidRPr="002205A4">
        <w:t>slavery and human trafficking</w:t>
      </w:r>
      <w:r w:rsidR="002104DC">
        <w:t xml:space="preserve">. Our </w:t>
      </w:r>
      <w:r w:rsidRPr="002205A4">
        <w:t>internal policies and processes support this</w:t>
      </w:r>
      <w:r w:rsidR="001029ED">
        <w:t xml:space="preserve"> by</w:t>
      </w:r>
      <w:r w:rsidRPr="002205A4">
        <w:t xml:space="preserve">; </w:t>
      </w:r>
    </w:p>
    <w:p w14:paraId="41A984C5" w14:textId="55E6A749" w:rsidR="00DA0211" w:rsidRPr="002205A4" w:rsidRDefault="002104DC" w:rsidP="006E062C">
      <w:pPr>
        <w:pStyle w:val="ListParagraph"/>
        <w:numPr>
          <w:ilvl w:val="0"/>
          <w:numId w:val="6"/>
        </w:numPr>
        <w:rPr>
          <w:b/>
        </w:rPr>
      </w:pPr>
      <w:r>
        <w:t>Integrating modern slavery actions</w:t>
      </w:r>
      <w:r w:rsidR="00DA0211">
        <w:t xml:space="preserve"> with</w:t>
      </w:r>
      <w:r>
        <w:t>in</w:t>
      </w:r>
      <w:r w:rsidR="00DA0211">
        <w:t xml:space="preserve"> our </w:t>
      </w:r>
      <w:proofErr w:type="gramStart"/>
      <w:r w:rsidR="00DA0211">
        <w:t>well established</w:t>
      </w:r>
      <w:proofErr w:type="gramEnd"/>
      <w:r w:rsidR="00DA0211">
        <w:t xml:space="preserve"> risk ma</w:t>
      </w:r>
      <w:r>
        <w:t>nagement structures including</w:t>
      </w:r>
      <w:r w:rsidR="00DA0211">
        <w:t xml:space="preserve"> </w:t>
      </w:r>
      <w:r>
        <w:t xml:space="preserve">our </w:t>
      </w:r>
      <w:r w:rsidR="00DA0211">
        <w:t>welfare and safeguarding procedures;</w:t>
      </w:r>
    </w:p>
    <w:p w14:paraId="1F575B63" w14:textId="64FDD932" w:rsidR="00DA0211" w:rsidRPr="002205A4" w:rsidRDefault="002104DC" w:rsidP="006E062C">
      <w:pPr>
        <w:pStyle w:val="ListParagraph"/>
        <w:numPr>
          <w:ilvl w:val="0"/>
          <w:numId w:val="6"/>
        </w:numPr>
        <w:rPr>
          <w:b/>
        </w:rPr>
      </w:pPr>
      <w:r>
        <w:t xml:space="preserve">Constantly challenging, and extending our understanding of, </w:t>
      </w:r>
      <w:r w:rsidR="00DA0211" w:rsidRPr="002205A4">
        <w:t xml:space="preserve">our diverse supply base and the wider supply chain on which we rely through </w:t>
      </w:r>
      <w:r w:rsidR="00123E95">
        <w:t xml:space="preserve">a formal process of </w:t>
      </w:r>
      <w:r w:rsidR="00DA0211" w:rsidRPr="002205A4">
        <w:t xml:space="preserve">supplier </w:t>
      </w:r>
      <w:proofErr w:type="gramStart"/>
      <w:r w:rsidR="00DA0211" w:rsidRPr="002205A4">
        <w:t>engagement;</w:t>
      </w:r>
      <w:proofErr w:type="gramEnd"/>
    </w:p>
    <w:p w14:paraId="7559B0A4" w14:textId="051E5679" w:rsidR="00DA0211" w:rsidRPr="002205A4" w:rsidRDefault="00C87EF1" w:rsidP="006E062C">
      <w:pPr>
        <w:pStyle w:val="ListParagraph"/>
        <w:numPr>
          <w:ilvl w:val="0"/>
          <w:numId w:val="6"/>
        </w:numPr>
        <w:rPr>
          <w:b/>
        </w:rPr>
      </w:pPr>
      <w:r>
        <w:t xml:space="preserve">Making the most of our limited resources by using </w:t>
      </w:r>
      <w:r w:rsidR="00DA0211" w:rsidRPr="002205A4">
        <w:t xml:space="preserve">an informed </w:t>
      </w:r>
      <w:proofErr w:type="gramStart"/>
      <w:r w:rsidR="00DA0211" w:rsidRPr="002205A4">
        <w:t>risk based</w:t>
      </w:r>
      <w:proofErr w:type="gramEnd"/>
      <w:r w:rsidR="00DA0211" w:rsidRPr="002205A4">
        <w:t xml:space="preserve"> approach to prioritise what we do and target our actions;</w:t>
      </w:r>
    </w:p>
    <w:p w14:paraId="0CDA6EF4" w14:textId="040DCF0F" w:rsidR="00DA0211" w:rsidRPr="00DA0211" w:rsidRDefault="00C87EF1" w:rsidP="006E062C">
      <w:pPr>
        <w:pStyle w:val="ListParagraph"/>
        <w:numPr>
          <w:ilvl w:val="0"/>
          <w:numId w:val="6"/>
        </w:numPr>
        <w:rPr>
          <w:b/>
        </w:rPr>
      </w:pPr>
      <w:r>
        <w:t>Being open and honest about what we do: p</w:t>
      </w:r>
      <w:r w:rsidR="00DA0211" w:rsidRPr="002205A4">
        <w:t xml:space="preserve">romoting awareness and by sharing our experiences, collaborating within the HE </w:t>
      </w:r>
      <w:proofErr w:type="gramStart"/>
      <w:r w:rsidR="00DA0211" w:rsidRPr="002205A4">
        <w:t>sector</w:t>
      </w:r>
      <w:proofErr w:type="gramEnd"/>
      <w:r w:rsidR="00123E95">
        <w:t>, and beyond</w:t>
      </w:r>
      <w:r w:rsidR="00DA0211" w:rsidRPr="002205A4">
        <w:t xml:space="preserve">, and </w:t>
      </w:r>
      <w:r w:rsidR="00123E95">
        <w:t>through</w:t>
      </w:r>
      <w:r w:rsidR="00DA0211" w:rsidRPr="002205A4">
        <w:t xml:space="preserve"> train</w:t>
      </w:r>
      <w:r w:rsidR="00123E95">
        <w:t>ing</w:t>
      </w:r>
      <w:r w:rsidR="00DA0211" w:rsidRPr="002205A4">
        <w:t xml:space="preserve"> our colleagues, students, suppliers, and others.</w:t>
      </w:r>
      <w:r w:rsidR="006E062C">
        <w:t xml:space="preserve"> </w:t>
      </w:r>
    </w:p>
    <w:p w14:paraId="32DF455B" w14:textId="477FA983" w:rsidR="00973E79" w:rsidRDefault="00C87EF1" w:rsidP="006E062C">
      <w:r>
        <w:t xml:space="preserve">The University has in place </w:t>
      </w:r>
      <w:r w:rsidR="00397AC0" w:rsidRPr="002205A4">
        <w:t>a clear chain of accountability for modern</w:t>
      </w:r>
      <w:r w:rsidR="00074FFF">
        <w:t xml:space="preserve"> slavery; overall accountability</w:t>
      </w:r>
      <w:r w:rsidR="00397AC0" w:rsidRPr="002205A4">
        <w:t xml:space="preserve"> rests with our Board of Gov</w:t>
      </w:r>
      <w:r w:rsidR="00A70404">
        <w:t>ernors who have devolved day-to-</w:t>
      </w:r>
      <w:r w:rsidR="00397AC0" w:rsidRPr="002205A4">
        <w:t>day responsibility</w:t>
      </w:r>
      <w:r w:rsidR="00973E79">
        <w:t xml:space="preserve"> to the University’s Professional Services function. </w:t>
      </w:r>
    </w:p>
    <w:p w14:paraId="3A748F2C" w14:textId="7A90971E" w:rsidR="00397AC0" w:rsidRDefault="00C87EF1" w:rsidP="006E062C">
      <w:r>
        <w:t>R</w:t>
      </w:r>
      <w:r w:rsidR="00973E79">
        <w:t xml:space="preserve">eview </w:t>
      </w:r>
      <w:r>
        <w:t xml:space="preserve">and </w:t>
      </w:r>
      <w:r w:rsidR="00973E79">
        <w:t xml:space="preserve">oversight of this area </w:t>
      </w:r>
      <w:r>
        <w:t xml:space="preserve">is </w:t>
      </w:r>
      <w:r w:rsidR="00973E79">
        <w:t>integrated within the portfolio of the Di</w:t>
      </w:r>
      <w:r w:rsidR="00E07565">
        <w:t>rector of Risk and Compliance.</w:t>
      </w:r>
      <w:r>
        <w:t xml:space="preserve"> Actions, across the University</w:t>
      </w:r>
      <w:r w:rsidR="00B00103">
        <w:t>,</w:t>
      </w:r>
      <w:r w:rsidR="00973E79">
        <w:t xml:space="preserve"> </w:t>
      </w:r>
      <w:r>
        <w:t xml:space="preserve">are </w:t>
      </w:r>
      <w:r w:rsidR="00973E79">
        <w:t xml:space="preserve">co-ordinated by the Director of Risk and Compliance with </w:t>
      </w:r>
      <w:r>
        <w:t xml:space="preserve">support from </w:t>
      </w:r>
      <w:r w:rsidR="007A07AD">
        <w:t xml:space="preserve">senior </w:t>
      </w:r>
      <w:r>
        <w:t xml:space="preserve">colleagues within the </w:t>
      </w:r>
      <w:r w:rsidR="00973E79">
        <w:t xml:space="preserve">following </w:t>
      </w:r>
      <w:r>
        <w:t xml:space="preserve">Professional Services </w:t>
      </w:r>
      <w:r w:rsidR="00973E79">
        <w:t>Directorates: Finance</w:t>
      </w:r>
      <w:r w:rsidR="00A70404">
        <w:t xml:space="preserve"> (Central Procurement Office)</w:t>
      </w:r>
      <w:r w:rsidR="00973E79">
        <w:t xml:space="preserve">, Human Resources, </w:t>
      </w:r>
      <w:r w:rsidR="00A70404">
        <w:t>Legal Aff</w:t>
      </w:r>
      <w:r>
        <w:t>airs</w:t>
      </w:r>
      <w:r w:rsidR="001029ED">
        <w:t>, Student Experience</w:t>
      </w:r>
      <w:r>
        <w:t>, and Social Responsibility.</w:t>
      </w:r>
      <w:r w:rsidR="006E062C">
        <w:t xml:space="preserve"> </w:t>
      </w:r>
      <w:r>
        <w:t>This ensures full coverage of the University’s activities and risks in this area.</w:t>
      </w:r>
    </w:p>
    <w:p w14:paraId="24A56008" w14:textId="410A4F41" w:rsidR="00E07565" w:rsidRPr="002205A4" w:rsidRDefault="00C66094" w:rsidP="006E062C">
      <w:r>
        <w:t>The Uni</w:t>
      </w:r>
      <w:r w:rsidR="009879A3">
        <w:t>versity expects</w:t>
      </w:r>
      <w:r>
        <w:t xml:space="preserve"> </w:t>
      </w:r>
      <w:r w:rsidR="007A07AD">
        <w:t xml:space="preserve">staff to abide by the </w:t>
      </w:r>
      <w:r w:rsidR="007A07AD" w:rsidRPr="00B800B2">
        <w:t xml:space="preserve">seven principles of behaviour </w:t>
      </w:r>
      <w:r w:rsidR="007A07AD">
        <w:t xml:space="preserve">on Standards in Public Life (‘Nolan Principles’) and </w:t>
      </w:r>
      <w:r w:rsidR="00423CAF">
        <w:t xml:space="preserve">requires </w:t>
      </w:r>
      <w:r w:rsidR="007A07AD">
        <w:t xml:space="preserve">that these be upheld within day-to-day activities. </w:t>
      </w:r>
      <w:r w:rsidR="00423CAF">
        <w:t xml:space="preserve">This includes our </w:t>
      </w:r>
      <w:r>
        <w:t xml:space="preserve">clear commitment </w:t>
      </w:r>
      <w:r w:rsidR="00185D58">
        <w:t xml:space="preserve">to a </w:t>
      </w:r>
      <w:r w:rsidR="00397AC0" w:rsidRPr="002205A4">
        <w:t>zero-toleranc</w:t>
      </w:r>
      <w:r w:rsidR="009879A3">
        <w:t xml:space="preserve">e </w:t>
      </w:r>
      <w:r w:rsidR="00423CAF">
        <w:t xml:space="preserve">approach to modern slavery and our efforts to </w:t>
      </w:r>
      <w:r w:rsidR="00397AC0" w:rsidRPr="002205A4">
        <w:t xml:space="preserve">ensure that there is no modern slavery </w:t>
      </w:r>
      <w:r w:rsidR="001029ED">
        <w:t>within</w:t>
      </w:r>
      <w:r w:rsidR="00423CAF">
        <w:t xml:space="preserve"> any part of</w:t>
      </w:r>
      <w:r w:rsidR="00E07565" w:rsidRPr="002205A4">
        <w:t xml:space="preserve"> our business</w:t>
      </w:r>
      <w:r w:rsidR="00423CAF">
        <w:t xml:space="preserve">. </w:t>
      </w:r>
      <w:r w:rsidR="00123E95">
        <w:t xml:space="preserve">We continue to </w:t>
      </w:r>
      <w:r w:rsidR="00E07565">
        <w:t>work with our tier one suppliers to reduce the likelihood of modern slavery</w:t>
      </w:r>
      <w:r w:rsidR="00423CAF">
        <w:t>,</w:t>
      </w:r>
      <w:r w:rsidR="00E07565" w:rsidRPr="002205A4">
        <w:t xml:space="preserve"> </w:t>
      </w:r>
      <w:r w:rsidR="00397AC0" w:rsidRPr="002205A4">
        <w:t>or human tra</w:t>
      </w:r>
      <w:r w:rsidR="00E07565">
        <w:t>fficking</w:t>
      </w:r>
      <w:r w:rsidR="00423CAF">
        <w:t>,</w:t>
      </w:r>
      <w:r w:rsidR="00E07565">
        <w:t xml:space="preserve"> in </w:t>
      </w:r>
      <w:r w:rsidR="00423CAF">
        <w:t>the</w:t>
      </w:r>
      <w:r w:rsidR="00E07565">
        <w:t xml:space="preserve"> supply chains</w:t>
      </w:r>
      <w:r w:rsidR="00423CAF">
        <w:t xml:space="preserve"> on which we rely to deliver our business objectives</w:t>
      </w:r>
      <w:r w:rsidR="00E07565">
        <w:t>.</w:t>
      </w:r>
    </w:p>
    <w:p w14:paraId="7761CC99" w14:textId="310C7FE1" w:rsidR="00397AC0" w:rsidRPr="002205A4" w:rsidRDefault="00123E95" w:rsidP="006E062C">
      <w:r>
        <w:t>Our policies and pr</w:t>
      </w:r>
      <w:r w:rsidR="006C3B83">
        <w:t>ocedures underpin this</w:t>
      </w:r>
      <w:r w:rsidR="00397AC0" w:rsidRPr="002205A4">
        <w:t xml:space="preserve">: </w:t>
      </w:r>
    </w:p>
    <w:p w14:paraId="7DF30489" w14:textId="77777777" w:rsidR="00397AC0" w:rsidRDefault="009879A3" w:rsidP="006E062C">
      <w:pPr>
        <w:pStyle w:val="ListParagraph"/>
        <w:numPr>
          <w:ilvl w:val="0"/>
          <w:numId w:val="7"/>
        </w:numPr>
      </w:pPr>
      <w:r>
        <w:t>W</w:t>
      </w:r>
      <w:r w:rsidR="00397AC0" w:rsidRPr="002205A4">
        <w:t xml:space="preserve">e have had an Anti-Slavery and Human Trafficking Policy in place since 2016: </w:t>
      </w:r>
      <w:hyperlink r:id="rId11" w:history="1">
        <w:r w:rsidR="00397AC0" w:rsidRPr="002205A4">
          <w:rPr>
            <w:rStyle w:val="Hyperlink"/>
          </w:rPr>
          <w:t>http://documents.manchester.ac.uk/list.aspx</w:t>
        </w:r>
      </w:hyperlink>
      <w:r w:rsidR="00397AC0" w:rsidRPr="002205A4">
        <w:t xml:space="preserve"> </w:t>
      </w:r>
    </w:p>
    <w:p w14:paraId="6F01FED1" w14:textId="44D238E3" w:rsidR="00C7156F" w:rsidRPr="002205A4" w:rsidRDefault="009879A3" w:rsidP="006E062C">
      <w:pPr>
        <w:pStyle w:val="ListParagraph"/>
        <w:numPr>
          <w:ilvl w:val="0"/>
          <w:numId w:val="7"/>
        </w:numPr>
      </w:pPr>
      <w:r>
        <w:t xml:space="preserve">We </w:t>
      </w:r>
      <w:r w:rsidR="00423CAF">
        <w:t xml:space="preserve">have a well-developed approach to all aspects of </w:t>
      </w:r>
      <w:r w:rsidR="00C401AF">
        <w:t>safeguarding</w:t>
      </w:r>
      <w:r w:rsidR="00423CAF">
        <w:t xml:space="preserve"> that recognises the risk of </w:t>
      </w:r>
      <w:proofErr w:type="gramStart"/>
      <w:r w:rsidR="00423CAF">
        <w:t>slavery</w:t>
      </w:r>
      <w:proofErr w:type="gramEnd"/>
      <w:r w:rsidR="00423CAF">
        <w:t xml:space="preserve"> and we are planning to bolster this with a formal Adult Safeguarding Policy;</w:t>
      </w:r>
    </w:p>
    <w:p w14:paraId="3A998C4A" w14:textId="35D92EC1" w:rsidR="00397AC0" w:rsidRPr="002205A4" w:rsidRDefault="00423CAF" w:rsidP="006E062C">
      <w:pPr>
        <w:pStyle w:val="ListParagraph"/>
        <w:numPr>
          <w:ilvl w:val="0"/>
          <w:numId w:val="7"/>
        </w:numPr>
      </w:pPr>
      <w:r>
        <w:lastRenderedPageBreak/>
        <w:t xml:space="preserve">We review </w:t>
      </w:r>
      <w:r w:rsidR="00397AC0" w:rsidRPr="002205A4">
        <w:t>our standard terms and conditions of business</w:t>
      </w:r>
      <w:r w:rsidR="00123E95">
        <w:t xml:space="preserve"> annually. These</w:t>
      </w:r>
      <w:r w:rsidR="00397AC0" w:rsidRPr="002205A4">
        <w:t xml:space="preserve"> require legal compliance with the Modern Slavery Act 2015 and also </w:t>
      </w:r>
      <w:r w:rsidR="007A15E8">
        <w:t>that our suppliers</w:t>
      </w:r>
      <w:r w:rsidR="00123E95">
        <w:t xml:space="preserve"> </w:t>
      </w:r>
      <w:r w:rsidR="00397AC0" w:rsidRPr="002205A4">
        <w:t>work with us in tackling modern slavery thro</w:t>
      </w:r>
      <w:r w:rsidR="007A15E8">
        <w:t xml:space="preserve">ughout our shared supply </w:t>
      </w:r>
      <w:proofErr w:type="gramStart"/>
      <w:r w:rsidR="007A15E8">
        <w:t>chains;</w:t>
      </w:r>
      <w:proofErr w:type="gramEnd"/>
    </w:p>
    <w:p w14:paraId="2FA7D02B" w14:textId="6D22E7C4" w:rsidR="00397AC0" w:rsidRDefault="009879A3" w:rsidP="006E062C">
      <w:pPr>
        <w:pStyle w:val="ListParagraph"/>
        <w:numPr>
          <w:ilvl w:val="0"/>
          <w:numId w:val="7"/>
        </w:numPr>
      </w:pPr>
      <w:r>
        <w:t>We continually review</w:t>
      </w:r>
      <w:r w:rsidR="00397AC0" w:rsidRPr="002205A4">
        <w:t xml:space="preserve"> our procurement document</w:t>
      </w:r>
      <w:r>
        <w:t xml:space="preserve">ation and processes </w:t>
      </w:r>
      <w:r w:rsidR="00397AC0" w:rsidRPr="002205A4">
        <w:t xml:space="preserve">to ensure that they reflect best practice and support our objectives in this area. </w:t>
      </w:r>
      <w:r w:rsidR="00B675E5">
        <w:t xml:space="preserve">Our expectations are set out clearly in </w:t>
      </w:r>
      <w:proofErr w:type="gramStart"/>
      <w:r w:rsidR="00B675E5">
        <w:t>all of</w:t>
      </w:r>
      <w:proofErr w:type="gramEnd"/>
      <w:r w:rsidR="00B675E5">
        <w:t xml:space="preserve"> ou</w:t>
      </w:r>
      <w:r w:rsidR="007A15E8">
        <w:t>r documentation including</w:t>
      </w:r>
      <w:r w:rsidR="00C401AF">
        <w:t>:</w:t>
      </w:r>
    </w:p>
    <w:p w14:paraId="53E9E0EE" w14:textId="402F62A0" w:rsidR="00867A53" w:rsidRPr="00867A53" w:rsidRDefault="00B675E5" w:rsidP="006E062C">
      <w:pPr>
        <w:pStyle w:val="ListParagraph"/>
        <w:numPr>
          <w:ilvl w:val="1"/>
          <w:numId w:val="7"/>
        </w:numPr>
      </w:pPr>
      <w:r>
        <w:t>O</w:t>
      </w:r>
      <w:r w:rsidR="00C401AF">
        <w:t xml:space="preserve">ur </w:t>
      </w:r>
      <w:r w:rsidR="00867A53">
        <w:t xml:space="preserve">Procurement Policy </w:t>
      </w:r>
      <w:r w:rsidR="007A15E8">
        <w:t xml:space="preserve">which </w:t>
      </w:r>
      <w:r>
        <w:t xml:space="preserve">outlines our commitment to responsible procurement. </w:t>
      </w:r>
      <w:r w:rsidR="007A15E8">
        <w:t>This sets</w:t>
      </w:r>
      <w:r w:rsidR="00867A53">
        <w:t xml:space="preserve"> expectations around legal compliance including</w:t>
      </w:r>
      <w:r w:rsidR="00C401AF">
        <w:t xml:space="preserve"> modern slavery</w:t>
      </w:r>
      <w:r w:rsidR="007A15E8">
        <w:t>. I</w:t>
      </w:r>
      <w:r>
        <w:t>t</w:t>
      </w:r>
      <w:r w:rsidR="007A15E8">
        <w:t xml:space="preserve"> also</w:t>
      </w:r>
      <w:r>
        <w:t xml:space="preserve"> makes</w:t>
      </w:r>
      <w:r w:rsidR="00867A53">
        <w:t xml:space="preserve"> specific reference to the UN Sustainable Development Goals (SDG</w:t>
      </w:r>
      <w:r w:rsidR="00183D04">
        <w:t>s</w:t>
      </w:r>
      <w:r w:rsidR="00867A53">
        <w:t>)</w:t>
      </w:r>
      <w:r>
        <w:t xml:space="preserve">. </w:t>
      </w:r>
      <w:r w:rsidR="00F60D5E">
        <w:t xml:space="preserve">For </w:t>
      </w:r>
      <w:proofErr w:type="gramStart"/>
      <w:r w:rsidR="00F60D5E">
        <w:t>example</w:t>
      </w:r>
      <w:proofErr w:type="gramEnd"/>
      <w:r w:rsidR="00F60D5E">
        <w:t xml:space="preserve"> </w:t>
      </w:r>
      <w:r w:rsidR="00867A53" w:rsidRPr="00867A53">
        <w:rPr>
          <w:i/>
        </w:rPr>
        <w:t>SDG 8</w:t>
      </w:r>
      <w:r w:rsidR="00867A53" w:rsidRPr="002205A4">
        <w:rPr>
          <w:i/>
        </w:rPr>
        <w:t>: Decent Work and Economic Growth</w:t>
      </w:r>
      <w:r w:rsidR="00867A53" w:rsidRPr="002205A4">
        <w:t xml:space="preserve">, </w:t>
      </w:r>
      <w:r>
        <w:t>highlight</w:t>
      </w:r>
      <w:r w:rsidR="007A15E8">
        <w:t>s</w:t>
      </w:r>
      <w:r>
        <w:t xml:space="preserve"> </w:t>
      </w:r>
      <w:r w:rsidR="007A15E8">
        <w:t>a</w:t>
      </w:r>
      <w:r w:rsidR="00F60D5E">
        <w:t xml:space="preserve"> </w:t>
      </w:r>
      <w:r w:rsidR="00867A53" w:rsidRPr="002205A4">
        <w:t>zero tolerance of forced labour, modern slavery and human t</w:t>
      </w:r>
      <w:r w:rsidR="007A15E8">
        <w:t>rafficking by</w:t>
      </w:r>
      <w:r w:rsidR="009879A3">
        <w:t xml:space="preserve"> encouraging the protection of</w:t>
      </w:r>
      <w:r w:rsidR="00867A53" w:rsidRPr="002205A4">
        <w:t xml:space="preserve"> labour rights and </w:t>
      </w:r>
      <w:r w:rsidR="009879A3">
        <w:t xml:space="preserve">working practices across </w:t>
      </w:r>
      <w:r w:rsidR="00867A53" w:rsidRPr="002205A4">
        <w:t>supply chains</w:t>
      </w:r>
      <w:r w:rsidR="00867A53">
        <w:t>.</w:t>
      </w:r>
    </w:p>
    <w:p w14:paraId="4E66E619" w14:textId="2749E103" w:rsidR="00867A53" w:rsidRDefault="00B675E5" w:rsidP="006E062C">
      <w:pPr>
        <w:pStyle w:val="ListParagraph"/>
        <w:numPr>
          <w:ilvl w:val="1"/>
          <w:numId w:val="7"/>
        </w:numPr>
      </w:pPr>
      <w:r>
        <w:t>Our</w:t>
      </w:r>
      <w:r w:rsidR="002F2344">
        <w:t xml:space="preserve"> Supply Chain Code of Conduct</w:t>
      </w:r>
      <w:r w:rsidR="00867A53">
        <w:t xml:space="preserve">, </w:t>
      </w:r>
      <w:r w:rsidR="00A80F3B">
        <w:t>a common doc</w:t>
      </w:r>
      <w:r w:rsidR="00BD1969">
        <w:t xml:space="preserve">ument </w:t>
      </w:r>
      <w:r w:rsidR="00183D04">
        <w:t>in use</w:t>
      </w:r>
      <w:r w:rsidR="00BD1969">
        <w:t xml:space="preserve"> across the HE </w:t>
      </w:r>
      <w:proofErr w:type="gramStart"/>
      <w:r w:rsidR="00BD1969">
        <w:t>sector</w:t>
      </w:r>
      <w:proofErr w:type="gramEnd"/>
      <w:r w:rsidR="00BD1969">
        <w:t>,</w:t>
      </w:r>
      <w:r w:rsidR="002F2344">
        <w:t xml:space="preserve"> also ma</w:t>
      </w:r>
      <w:r w:rsidR="00183D04">
        <w:t>kes clear reference to the SDGs. Collaborating through a</w:t>
      </w:r>
      <w:r w:rsidR="00BD1969">
        <w:t xml:space="preserve"> sector wide </w:t>
      </w:r>
      <w:r w:rsidR="002F2344">
        <w:t>approach reinforc</w:t>
      </w:r>
      <w:r w:rsidR="00E07565">
        <w:t xml:space="preserve">es the </w:t>
      </w:r>
      <w:r w:rsidR="00183D04">
        <w:t xml:space="preserve">expectation of positive </w:t>
      </w:r>
      <w:r w:rsidR="00E07565">
        <w:t xml:space="preserve">behaviours </w:t>
      </w:r>
      <w:proofErr w:type="gramStart"/>
      <w:r w:rsidR="002F2344">
        <w:t xml:space="preserve">with regard </w:t>
      </w:r>
      <w:r w:rsidR="00E07565">
        <w:t>to</w:t>
      </w:r>
      <w:proofErr w:type="gramEnd"/>
      <w:r w:rsidR="00E07565">
        <w:t xml:space="preserve"> </w:t>
      </w:r>
      <w:r w:rsidR="002F2344">
        <w:t>social, ethica</w:t>
      </w:r>
      <w:r w:rsidR="005F3956">
        <w:t>l,</w:t>
      </w:r>
      <w:r w:rsidR="002F2344">
        <w:t xml:space="preserve"> economic and</w:t>
      </w:r>
      <w:r w:rsidR="00E07565">
        <w:t xml:space="preserve"> environmental practices </w:t>
      </w:r>
      <w:r w:rsidR="00183D04">
        <w:t xml:space="preserve">to be demonstrated by </w:t>
      </w:r>
      <w:r w:rsidR="009879A3">
        <w:t>our suppliers and their associated</w:t>
      </w:r>
      <w:r w:rsidR="002F2344">
        <w:t xml:space="preserve"> supply chains.</w:t>
      </w:r>
    </w:p>
    <w:p w14:paraId="5C962C8A" w14:textId="4FD83EC5" w:rsidR="00397AC0" w:rsidRDefault="00397AC0" w:rsidP="006E062C">
      <w:r w:rsidRPr="002205A4">
        <w:t xml:space="preserve">We </w:t>
      </w:r>
      <w:r w:rsidR="00123E95">
        <w:t>maintain a commitment</w:t>
      </w:r>
      <w:r w:rsidR="00C16BC1">
        <w:t xml:space="preserve"> to transparency as a means of</w:t>
      </w:r>
      <w:r w:rsidRPr="002205A4">
        <w:t xml:space="preserve"> driving up stan</w:t>
      </w:r>
      <w:r w:rsidR="005D24FD">
        <w:t xml:space="preserve">dards and highlighting </w:t>
      </w:r>
      <w:r w:rsidRPr="002205A4">
        <w:t>human rights i</w:t>
      </w:r>
      <w:r w:rsidR="00123E95">
        <w:t>ssues within supply chains. W</w:t>
      </w:r>
      <w:r w:rsidRPr="002205A4">
        <w:t>e expect our contractors, suppliers, and their supp</w:t>
      </w:r>
      <w:r w:rsidR="00123E95">
        <w:t>ly chains to be similarly open about their operations.</w:t>
      </w:r>
      <w:r w:rsidR="006E062C">
        <w:t xml:space="preserve"> </w:t>
      </w:r>
      <w:r w:rsidR="00B35A85">
        <w:t xml:space="preserve">We signed up to </w:t>
      </w:r>
      <w:r w:rsidRPr="002205A4">
        <w:t>T</w:t>
      </w:r>
      <w:r w:rsidR="00C16BC1">
        <w:t xml:space="preserve">ransparency </w:t>
      </w:r>
      <w:r w:rsidR="00E07565">
        <w:t>i</w:t>
      </w:r>
      <w:r w:rsidR="00C16BC1">
        <w:t xml:space="preserve">n the </w:t>
      </w:r>
      <w:r w:rsidRPr="002205A4">
        <w:t>S</w:t>
      </w:r>
      <w:r w:rsidR="00C16BC1">
        <w:t xml:space="preserve">upply </w:t>
      </w:r>
      <w:r w:rsidRPr="002205A4">
        <w:t>C</w:t>
      </w:r>
      <w:r w:rsidR="00C16BC1">
        <w:t>hain (TISC)</w:t>
      </w:r>
      <w:r w:rsidR="006E062C">
        <w:t xml:space="preserve"> – </w:t>
      </w:r>
      <w:r w:rsidR="00C16BC1" w:rsidRPr="002205A4">
        <w:t>the world’s largest open data repository of Modern Slavery and Human T</w:t>
      </w:r>
      <w:r w:rsidR="00C16BC1">
        <w:t>rafficking Statements</w:t>
      </w:r>
      <w:r w:rsidR="006E062C">
        <w:t xml:space="preserve"> – </w:t>
      </w:r>
      <w:r w:rsidR="00C16BC1">
        <w:t xml:space="preserve">in 2017 and became </w:t>
      </w:r>
      <w:r w:rsidR="009879A3">
        <w:t xml:space="preserve">a Public Partner in 2018 </w:t>
      </w:r>
      <w:r w:rsidR="00C16BC1">
        <w:t xml:space="preserve">and our annual reports are available through their portal: </w:t>
      </w:r>
      <w:hyperlink r:id="rId12" w:history="1">
        <w:r w:rsidRPr="002205A4">
          <w:rPr>
            <w:rStyle w:val="Hyperlink"/>
          </w:rPr>
          <w:t>https://tiscreport.org/</w:t>
        </w:r>
      </w:hyperlink>
      <w:r w:rsidR="00C16BC1">
        <w:t xml:space="preserve">. </w:t>
      </w:r>
      <w:r w:rsidR="00123E95">
        <w:t xml:space="preserve">In 2021 we also signed up to the new UK Home Office Modern Slavery Statement Registry and our annual statements can now also be found there: </w:t>
      </w:r>
      <w:hyperlink r:id="rId13" w:history="1">
        <w:r w:rsidR="00123E95" w:rsidRPr="00661BBB">
          <w:rPr>
            <w:rStyle w:val="Hyperlink"/>
          </w:rPr>
          <w:t>https://modern-slavery-statement-registry.service.gov.uk/</w:t>
        </w:r>
      </w:hyperlink>
      <w:r w:rsidR="00123E95">
        <w:t xml:space="preserve"> </w:t>
      </w:r>
    </w:p>
    <w:p w14:paraId="4E5AB330" w14:textId="6C1A90E0" w:rsidR="00DE1D1E" w:rsidRDefault="00DE1D1E" w:rsidP="006E062C">
      <w:pPr>
        <w:rPr>
          <w:color w:val="FF0000"/>
        </w:rPr>
      </w:pPr>
      <w:r>
        <w:t>Our i</w:t>
      </w:r>
      <w:r w:rsidRPr="00DE1D1E">
        <w:t>nstitutional</w:t>
      </w:r>
      <w:r>
        <w:t xml:space="preserve"> commitment to combating modern slavery is demonstrated by our membership of Slave Free Alliance (SFA). We joined SFA in 2019 </w:t>
      </w:r>
      <w:r w:rsidR="000D0232">
        <w:t>as the first</w:t>
      </w:r>
      <w:r>
        <w:t xml:space="preserve"> HE member. Our involvement with this charity provides an independent view of our progress in thi</w:t>
      </w:r>
      <w:r w:rsidR="00A106B8">
        <w:t>s sphere, access to information</w:t>
      </w:r>
      <w:r>
        <w:t xml:space="preserve"> </w:t>
      </w:r>
      <w:r w:rsidR="00A106B8">
        <w:t xml:space="preserve">and shared experience, as well as helping to </w:t>
      </w:r>
      <w:r>
        <w:t>support victims of slavery and trafficking.</w:t>
      </w:r>
      <w:r w:rsidR="006E062C">
        <w:t xml:space="preserve"> </w:t>
      </w:r>
    </w:p>
    <w:p w14:paraId="10012072" w14:textId="77777777" w:rsidR="0065609A" w:rsidRDefault="0065609A" w:rsidP="0065609A">
      <w:pPr>
        <w:pStyle w:val="Heading2"/>
      </w:pPr>
      <w:r>
        <w:br w:type="page"/>
      </w:r>
    </w:p>
    <w:p w14:paraId="083793B6" w14:textId="3915AFAC" w:rsidR="00D6518F" w:rsidRPr="002205A4" w:rsidRDefault="00D6518F" w:rsidP="0065609A">
      <w:pPr>
        <w:pStyle w:val="Heading2"/>
      </w:pPr>
      <w:r>
        <w:lastRenderedPageBreak/>
        <w:t xml:space="preserve">Our </w:t>
      </w:r>
      <w:r w:rsidRPr="002205A4">
        <w:t>Approach</w:t>
      </w:r>
      <w:r>
        <w:t xml:space="preserve"> to Understanding and Managing Risk</w:t>
      </w:r>
      <w:r w:rsidR="00A80667">
        <w:t xml:space="preserve"> of Modern Slavery</w:t>
      </w:r>
    </w:p>
    <w:p w14:paraId="572A5DF8" w14:textId="77777777" w:rsidR="005F3956" w:rsidRDefault="000E72D7" w:rsidP="006E062C">
      <w:r>
        <w:t>As outlined above the two main risks areas for the University, in terms of slavery and trafficking, relate to people and supply chains.</w:t>
      </w:r>
    </w:p>
    <w:p w14:paraId="65ECB8D4" w14:textId="54ACCD84" w:rsidR="006243B5" w:rsidRDefault="00B35A85" w:rsidP="006E062C">
      <w:r w:rsidRPr="006243B5">
        <w:t>The people</w:t>
      </w:r>
      <w:r w:rsidR="000E72D7" w:rsidRPr="006243B5">
        <w:t xml:space="preserve"> issue </w:t>
      </w:r>
      <w:r w:rsidR="00183D04" w:rsidRPr="006243B5">
        <w:t xml:space="preserve">is addressed </w:t>
      </w:r>
      <w:r w:rsidR="000E72D7" w:rsidRPr="006243B5">
        <w:t xml:space="preserve">by integrating modern </w:t>
      </w:r>
      <w:r w:rsidR="00183D04" w:rsidRPr="006243B5">
        <w:t>slavery activities within our</w:t>
      </w:r>
      <w:r w:rsidR="005D24FD" w:rsidRPr="006243B5">
        <w:t xml:space="preserve"> wider risk management framework </w:t>
      </w:r>
      <w:r w:rsidR="000E72D7" w:rsidRPr="006243B5">
        <w:t xml:space="preserve">and </w:t>
      </w:r>
      <w:r w:rsidR="00882335">
        <w:t>covering</w:t>
      </w:r>
      <w:r w:rsidR="005D24FD" w:rsidRPr="006243B5">
        <w:t xml:space="preserve"> specific risks through existing safeguarding structures</w:t>
      </w:r>
      <w:r w:rsidR="000E72D7" w:rsidRPr="006243B5">
        <w:t xml:space="preserve">. </w:t>
      </w:r>
      <w:r w:rsidR="006243B5">
        <w:t>This is an evolving area with m</w:t>
      </w:r>
      <w:r w:rsidR="00B00103">
        <w:t>aterial in development</w:t>
      </w:r>
      <w:r w:rsidR="006243B5">
        <w:t xml:space="preserve">: </w:t>
      </w:r>
    </w:p>
    <w:p w14:paraId="0532220C" w14:textId="76CA0A13" w:rsidR="00B35A85" w:rsidRPr="006243B5" w:rsidRDefault="006243B5" w:rsidP="006E062C">
      <w:pPr>
        <w:pStyle w:val="ListParagraph"/>
        <w:numPr>
          <w:ilvl w:val="0"/>
          <w:numId w:val="21"/>
        </w:numPr>
      </w:pPr>
      <w:r>
        <w:t xml:space="preserve">Senior staff are appraised of modern slavery issues as part of the annual programme of risk and compliance </w:t>
      </w:r>
      <w:proofErr w:type="gramStart"/>
      <w:r>
        <w:t>training;</w:t>
      </w:r>
      <w:proofErr w:type="gramEnd"/>
    </w:p>
    <w:p w14:paraId="6F50E778" w14:textId="1B6AF0EE" w:rsidR="00B35A85" w:rsidRPr="00882335" w:rsidRDefault="00882335" w:rsidP="006E062C">
      <w:pPr>
        <w:pStyle w:val="ListParagraph"/>
        <w:numPr>
          <w:ilvl w:val="0"/>
          <w:numId w:val="21"/>
        </w:numPr>
      </w:pPr>
      <w:r>
        <w:t xml:space="preserve">Building on our existing Prevent Programme network and processes to </w:t>
      </w:r>
      <w:r w:rsidR="000E72D7" w:rsidRPr="00882335">
        <w:t>help to ensure that appropriate action is taken should any trafficking or s</w:t>
      </w:r>
      <w:r w:rsidR="0085099E" w:rsidRPr="00882335">
        <w:t xml:space="preserve">lavery incidents be </w:t>
      </w:r>
      <w:proofErr w:type="gramStart"/>
      <w:r w:rsidR="0085099E" w:rsidRPr="00882335">
        <w:t>discovered;</w:t>
      </w:r>
      <w:proofErr w:type="gramEnd"/>
    </w:p>
    <w:p w14:paraId="0DCCE0E1" w14:textId="5D31F9F9" w:rsidR="000E72D7" w:rsidRPr="00882335" w:rsidRDefault="00882335" w:rsidP="006E062C">
      <w:pPr>
        <w:pStyle w:val="ListParagraph"/>
        <w:numPr>
          <w:ilvl w:val="0"/>
          <w:numId w:val="21"/>
        </w:numPr>
      </w:pPr>
      <w:r>
        <w:t xml:space="preserve">Adequate publicity and information </w:t>
      </w:r>
      <w:proofErr w:type="gramStart"/>
      <w:r>
        <w:t>is</w:t>
      </w:r>
      <w:proofErr w:type="gramEnd"/>
      <w:r>
        <w:t xml:space="preserve"> available across our various communication platforms to </w:t>
      </w:r>
      <w:r w:rsidR="005D24FD" w:rsidRPr="00882335">
        <w:t>highl</w:t>
      </w:r>
      <w:r>
        <w:t xml:space="preserve">ight modern slavery risks. </w:t>
      </w:r>
    </w:p>
    <w:p w14:paraId="1893B1B0" w14:textId="5EF3284B" w:rsidR="00074365" w:rsidRPr="006C3B83" w:rsidRDefault="000E72D7" w:rsidP="006E062C">
      <w:r w:rsidRPr="006243B5">
        <w:t xml:space="preserve">In </w:t>
      </w:r>
      <w:proofErr w:type="gramStart"/>
      <w:r w:rsidRPr="006243B5">
        <w:t>addition</w:t>
      </w:r>
      <w:proofErr w:type="gramEnd"/>
      <w:r w:rsidR="006243B5">
        <w:t xml:space="preserve"> the University will work with</w:t>
      </w:r>
      <w:r w:rsidRPr="006243B5">
        <w:t xml:space="preserve"> its Student Union </w:t>
      </w:r>
      <w:r w:rsidR="006243B5">
        <w:t xml:space="preserve">to explore ways </w:t>
      </w:r>
      <w:r w:rsidR="006243B5" w:rsidRPr="006243B5">
        <w:t xml:space="preserve">to raise the profile of the issue within the student body </w:t>
      </w:r>
      <w:r w:rsidR="006243B5">
        <w:t xml:space="preserve">and work together to </w:t>
      </w:r>
      <w:r w:rsidR="00882335">
        <w:t>make our campus a hostile space for modern slavery and trafficking.</w:t>
      </w:r>
    </w:p>
    <w:p w14:paraId="75145D90" w14:textId="4CA2E5AB" w:rsidR="008F2A31" w:rsidRDefault="00183D04" w:rsidP="006E062C">
      <w:r>
        <w:t xml:space="preserve">We have been working for a number of years to understand our supplier and supply chain risks. This is a difficult and constantly evolving area. </w:t>
      </w:r>
      <w:r w:rsidR="007E31BE">
        <w:t>We recognise that</w:t>
      </w:r>
      <w:r>
        <w:t xml:space="preserve"> there is a likelihood that embedded somewhere within parts of our </w:t>
      </w:r>
      <w:r w:rsidR="00973B15">
        <w:t>extended supply chains that some form of human exploitation is present.</w:t>
      </w:r>
      <w:r w:rsidR="006E062C">
        <w:t xml:space="preserve"> </w:t>
      </w:r>
      <w:r>
        <w:t xml:space="preserve">This knowledge </w:t>
      </w:r>
      <w:r w:rsidR="007E31BE">
        <w:t>strengthens</w:t>
      </w:r>
      <w:r w:rsidR="00FF1584">
        <w:t xml:space="preserve"> our </w:t>
      </w:r>
      <w:r w:rsidR="007E31BE">
        <w:t>commitment</w:t>
      </w:r>
      <w:r w:rsidR="00831703">
        <w:t xml:space="preserve"> to oppose</w:t>
      </w:r>
      <w:r w:rsidR="00FF1584">
        <w:t xml:space="preserve"> this behaviour and to work with our supply base to </w:t>
      </w:r>
      <w:r w:rsidR="007E31BE">
        <w:t xml:space="preserve">take </w:t>
      </w:r>
      <w:r w:rsidR="00542B71">
        <w:t xml:space="preserve">steps to </w:t>
      </w:r>
      <w:r w:rsidR="00FF1584">
        <w:t xml:space="preserve">prevent such abuses </w:t>
      </w:r>
      <w:r w:rsidR="00542B71">
        <w:t>from happening.</w:t>
      </w:r>
    </w:p>
    <w:p w14:paraId="70A4CA41" w14:textId="1646696B" w:rsidR="008F2A31" w:rsidRDefault="00FF1584" w:rsidP="006E062C">
      <w:r>
        <w:t xml:space="preserve">We rely on a number of due diligence processes to vet and manage our suppliers and their products. First is </w:t>
      </w:r>
      <w:r w:rsidR="008F2A31">
        <w:t xml:space="preserve">to ensure that we </w:t>
      </w:r>
      <w:r>
        <w:t xml:space="preserve">contract </w:t>
      </w:r>
      <w:r w:rsidR="008F2A31">
        <w:t>with suitable and responsible suppliers.</w:t>
      </w:r>
      <w:r w:rsidR="006E062C">
        <w:t xml:space="preserve"> </w:t>
      </w:r>
      <w:r w:rsidR="008F2A31" w:rsidRPr="008F2A31">
        <w:t xml:space="preserve">As a complex business we have a large and diverse supply base to enable us to carry out our wide range of </w:t>
      </w:r>
      <w:r w:rsidR="00CA5806">
        <w:t>academic and</w:t>
      </w:r>
      <w:r w:rsidR="008F2A31" w:rsidRPr="008F2A31">
        <w:t xml:space="preserve"> campus</w:t>
      </w:r>
      <w:r w:rsidR="003B7EB7">
        <w:t xml:space="preserve"> support</w:t>
      </w:r>
      <w:r w:rsidR="008F2A31" w:rsidRPr="008F2A31">
        <w:t xml:space="preserve"> operations. </w:t>
      </w:r>
      <w:r>
        <w:t>During 2020-21</w:t>
      </w:r>
      <w:r w:rsidR="008F2A31">
        <w:t xml:space="preserve"> we had </w:t>
      </w:r>
      <w:r w:rsidR="008B3514">
        <w:t xml:space="preserve">6,228 </w:t>
      </w:r>
      <w:r w:rsidR="008F2A31">
        <w:t>active suppliers</w:t>
      </w:r>
      <w:r>
        <w:t xml:space="preserve"> on our Finance System.</w:t>
      </w:r>
      <w:r w:rsidR="006E062C">
        <w:t xml:space="preserve"> </w:t>
      </w:r>
      <w:r w:rsidR="00CA5806">
        <w:t>This supplier list is not static and i</w:t>
      </w:r>
      <w:r>
        <w:t>n a typical year around 1,200 suppl</w:t>
      </w:r>
      <w:r w:rsidR="00CA5806">
        <w:t>iers will be on-</w:t>
      </w:r>
      <w:proofErr w:type="gramStart"/>
      <w:r w:rsidR="00CA5806">
        <w:t>boarded</w:t>
      </w:r>
      <w:proofErr w:type="gramEnd"/>
      <w:r w:rsidR="00CA5806">
        <w:t xml:space="preserve"> and a similar number retired. </w:t>
      </w:r>
    </w:p>
    <w:p w14:paraId="7CF005F6" w14:textId="6D616C2E" w:rsidR="008F2A31" w:rsidRPr="00DE1D1E" w:rsidRDefault="00F97832" w:rsidP="006E062C">
      <w:pPr>
        <w:rPr>
          <w:color w:val="FF0000"/>
        </w:rPr>
      </w:pPr>
      <w:r>
        <w:t xml:space="preserve">Most of our spending is with a cohort of around </w:t>
      </w:r>
      <w:r w:rsidR="008B3514" w:rsidRPr="008B3514">
        <w:t>900</w:t>
      </w:r>
      <w:r>
        <w:t xml:space="preserve"> formally contracted suppliers. Each of these is appointed either directly by the University or through an eligible public sector framework agreement. In either case suppliers are subject to a formal selection process to ensure that they are suitable to meet our needs. The evaluation considers the capability and capacity of organisations to supply what we require and includes assessment of, amongst other things, their supply chain practices and adherence to modern slavery legislation. </w:t>
      </w:r>
    </w:p>
    <w:p w14:paraId="1F21B35E" w14:textId="77777777" w:rsidR="004A6696" w:rsidRPr="00DE1D1E" w:rsidRDefault="004A6696" w:rsidP="006E062C"/>
    <w:p w14:paraId="6AEAE082" w14:textId="27E794B4" w:rsidR="006C039C" w:rsidRPr="0097731A" w:rsidRDefault="0097731A" w:rsidP="006E062C">
      <w:r>
        <w:lastRenderedPageBreak/>
        <w:t>W</w:t>
      </w:r>
      <w:r w:rsidR="006C039C" w:rsidRPr="0097731A">
        <w:t xml:space="preserve">e make use of a number of external standards and agencies to provide assurance on labour practices for applicable products and processes. Of </w:t>
      </w:r>
      <w:r w:rsidR="000A5E4B" w:rsidRPr="0097731A">
        <w:t xml:space="preserve">relevance to </w:t>
      </w:r>
      <w:r w:rsidR="00F06D62">
        <w:t xml:space="preserve">high risk </w:t>
      </w:r>
      <w:r w:rsidR="00AE4746">
        <w:t>purchasing categories</w:t>
      </w:r>
      <w:r w:rsidR="00F06D62">
        <w:t xml:space="preserve"> and</w:t>
      </w:r>
      <w:r w:rsidR="000A5E4B" w:rsidRPr="0097731A">
        <w:t xml:space="preserve"> </w:t>
      </w:r>
      <w:r w:rsidR="00F06D62">
        <w:t xml:space="preserve">concerns around </w:t>
      </w:r>
      <w:r w:rsidR="006C039C" w:rsidRPr="0097731A">
        <w:t>slavery and trafficking are the following:</w:t>
      </w:r>
    </w:p>
    <w:p w14:paraId="4FB3C061" w14:textId="77777777" w:rsidR="006C039C" w:rsidRPr="00BB4917" w:rsidRDefault="006C039C" w:rsidP="006E062C">
      <w:pPr>
        <w:pStyle w:val="ListParagraph"/>
        <w:numPr>
          <w:ilvl w:val="0"/>
          <w:numId w:val="20"/>
        </w:numPr>
      </w:pPr>
      <w:r w:rsidRPr="00BB4917">
        <w:t>We have maintained Fairtrade status since 2005.</w:t>
      </w:r>
    </w:p>
    <w:p w14:paraId="0ED87975" w14:textId="4E972057" w:rsidR="006C039C" w:rsidRPr="00BB4917" w:rsidRDefault="00420C2D" w:rsidP="006E062C">
      <w:pPr>
        <w:pStyle w:val="ListParagraph"/>
        <w:numPr>
          <w:ilvl w:val="0"/>
          <w:numId w:val="20"/>
        </w:numPr>
      </w:pPr>
      <w:r w:rsidRPr="00BB4917">
        <w:t xml:space="preserve">We </w:t>
      </w:r>
      <w:r w:rsidR="00BB4917">
        <w:t xml:space="preserve">have maintained accreditation </w:t>
      </w:r>
      <w:r w:rsidR="006C039C" w:rsidRPr="00BB4917">
        <w:t>with the </w:t>
      </w:r>
      <w:hyperlink r:id="rId14" w:tgtFrame="_blank" w:history="1">
        <w:r w:rsidR="006C039C" w:rsidRPr="00BB4917">
          <w:t>Living Wage Foundation (LWF)</w:t>
        </w:r>
      </w:hyperlink>
      <w:r w:rsidR="00BB4917">
        <w:t xml:space="preserve"> since </w:t>
      </w:r>
      <w:r w:rsidRPr="00BB4917">
        <w:t>2019.</w:t>
      </w:r>
      <w:r w:rsidR="006E062C">
        <w:t xml:space="preserve"> </w:t>
      </w:r>
    </w:p>
    <w:p w14:paraId="21B82F55" w14:textId="51B60A9F" w:rsidR="00420C2D" w:rsidRPr="00BB4917" w:rsidRDefault="00420C2D" w:rsidP="006E062C">
      <w:pPr>
        <w:pStyle w:val="ListParagraph"/>
        <w:numPr>
          <w:ilvl w:val="0"/>
          <w:numId w:val="20"/>
        </w:numPr>
      </w:pPr>
      <w:r w:rsidRPr="00BB4917">
        <w:t>We affiliated with </w:t>
      </w:r>
      <w:hyperlink r:id="rId15" w:tgtFrame="_blank" w:history="1">
        <w:r w:rsidRPr="00BB4917">
          <w:t>Electronics Watch (EW)</w:t>
        </w:r>
      </w:hyperlink>
      <w:r w:rsidRPr="00BB4917">
        <w:t xml:space="preserve"> as a member of our regional purchasing consortium (NWUPC) in 2019. </w:t>
      </w:r>
    </w:p>
    <w:p w14:paraId="31FCA1B4" w14:textId="54853427" w:rsidR="000A5E4B" w:rsidRPr="00BB4917" w:rsidRDefault="000A5E4B" w:rsidP="006E062C">
      <w:pPr>
        <w:pStyle w:val="ListParagraph"/>
        <w:numPr>
          <w:ilvl w:val="0"/>
          <w:numId w:val="20"/>
        </w:numPr>
      </w:pPr>
      <w:r w:rsidRPr="00BB4917">
        <w:t>We sign</w:t>
      </w:r>
      <w:r w:rsidR="00BB4917">
        <w:t>ed</w:t>
      </w:r>
      <w:r w:rsidRPr="00BB4917">
        <w:t xml:space="preserve">-up to the </w:t>
      </w:r>
      <w:hyperlink r:id="rId16" w:tgtFrame="_blank" w:history="1">
        <w:r w:rsidRPr="00BB4917">
          <w:t>Gangmasters and Labour Abuse Authority (GLAA)</w:t>
        </w:r>
      </w:hyperlink>
      <w:r w:rsidR="00D938C0">
        <w:t> construction protocol i</w:t>
      </w:r>
      <w:r w:rsidRPr="00BB4917">
        <w:t xml:space="preserve">n 2019. </w:t>
      </w:r>
    </w:p>
    <w:p w14:paraId="589FB159" w14:textId="2FC356FB" w:rsidR="005255C3" w:rsidRPr="00BB4917" w:rsidRDefault="000A5E4B" w:rsidP="006E062C">
      <w:r w:rsidRPr="00BB4917">
        <w:t>Working with</w:t>
      </w:r>
      <w:r w:rsidR="00420C2D" w:rsidRPr="00BB4917">
        <w:t xml:space="preserve"> these organisations helps us to demonstrate good practice in our own business and encourage</w:t>
      </w:r>
      <w:r w:rsidR="00BB4917" w:rsidRPr="00BB4917">
        <w:t>s</w:t>
      </w:r>
      <w:r w:rsidR="00420C2D" w:rsidRPr="00BB4917">
        <w:t xml:space="preserve"> it amongst our contracted suppliers and their wider supply chains</w:t>
      </w:r>
      <w:r w:rsidR="003D04A9">
        <w:t>.</w:t>
      </w:r>
    </w:p>
    <w:p w14:paraId="43D4375B" w14:textId="29E0C068" w:rsidR="008F2A31" w:rsidRPr="00BB4917" w:rsidRDefault="00BB4917" w:rsidP="006E062C">
      <w:r>
        <w:t xml:space="preserve">Membership also </w:t>
      </w:r>
      <w:r w:rsidR="00753236">
        <w:t xml:space="preserve">provides </w:t>
      </w:r>
      <w:r w:rsidR="00D938C0">
        <w:t>access to monitoring and reporting</w:t>
      </w:r>
      <w:r>
        <w:t xml:space="preserve"> </w:t>
      </w:r>
      <w:r w:rsidR="00D938C0">
        <w:t>including specific examinations of workforce practice</w:t>
      </w:r>
      <w:r>
        <w:t xml:space="preserve"> in factories and production facilities. During the year EW have reported on conditions in factories producing IT components</w:t>
      </w:r>
      <w:r w:rsidR="00B54C1A">
        <w:t xml:space="preserve"> information that has been helpful given our increased spend on these items. We have also had access to information from</w:t>
      </w:r>
      <w:r>
        <w:t xml:space="preserve"> Slave Free All</w:t>
      </w:r>
      <w:r w:rsidR="005255C3">
        <w:t>iance</w:t>
      </w:r>
      <w:r w:rsidR="00B54C1A">
        <w:t xml:space="preserve"> </w:t>
      </w:r>
      <w:r w:rsidR="005255C3">
        <w:t xml:space="preserve">on the use of forced labour </w:t>
      </w:r>
      <w:r w:rsidR="00B54C1A">
        <w:t xml:space="preserve">in the production of certain commodities </w:t>
      </w:r>
      <w:r w:rsidR="005255C3">
        <w:t xml:space="preserve">which affects a number product ranges. </w:t>
      </w:r>
    </w:p>
    <w:p w14:paraId="5676C67F" w14:textId="2646E399" w:rsidR="00074365" w:rsidRPr="0065609A" w:rsidRDefault="00243836" w:rsidP="006E062C">
      <w:pPr>
        <w:rPr>
          <w:color w:val="FF0000"/>
        </w:rPr>
      </w:pPr>
      <w:r>
        <w:t xml:space="preserve">Oversight of </w:t>
      </w:r>
      <w:r w:rsidR="007F3A78">
        <w:t xml:space="preserve">potential issues with suppliers and supply chains </w:t>
      </w:r>
      <w:r>
        <w:t xml:space="preserve">is maintained </w:t>
      </w:r>
      <w:r w:rsidR="007F3A78">
        <w:t xml:space="preserve">through two </w:t>
      </w:r>
      <w:r w:rsidR="00371AC9">
        <w:t>mec</w:t>
      </w:r>
      <w:r w:rsidR="00B54C1A">
        <w:t>h</w:t>
      </w:r>
      <w:r w:rsidR="00371AC9">
        <w:t>a</w:t>
      </w:r>
      <w:r w:rsidR="00B54C1A">
        <w:t>nisms</w:t>
      </w:r>
      <w:r w:rsidR="007F3A78">
        <w:t xml:space="preserve">: (1) ongoing contract management processes, and (2) ongoing supplier management practices. </w:t>
      </w:r>
    </w:p>
    <w:p w14:paraId="013A3D5D" w14:textId="08962121" w:rsidR="00074365" w:rsidRPr="0065609A" w:rsidRDefault="007F3A78" w:rsidP="006E062C">
      <w:pPr>
        <w:rPr>
          <w:color w:val="FF0000"/>
        </w:rPr>
      </w:pPr>
      <w:r>
        <w:t xml:space="preserve">We manage all contracts to ensure compliance and continued delivery. </w:t>
      </w:r>
      <w:r w:rsidR="00B00103">
        <w:t xml:space="preserve">In making </w:t>
      </w:r>
      <w:r w:rsidR="00FB54A0">
        <w:t xml:space="preserve">use of a number of collaborative public sector framework </w:t>
      </w:r>
      <w:r>
        <w:t>a</w:t>
      </w:r>
      <w:r w:rsidR="00FB54A0">
        <w:t>greements</w:t>
      </w:r>
      <w:r>
        <w:t>,</w:t>
      </w:r>
      <w:r w:rsidR="00FB54A0">
        <w:t xml:space="preserve"> let by ext</w:t>
      </w:r>
      <w:r w:rsidR="00B00103">
        <w:t xml:space="preserve">ernal contracting bodies, </w:t>
      </w:r>
      <w:r w:rsidR="00FB54A0">
        <w:t xml:space="preserve">we are able to rely on </w:t>
      </w:r>
      <w:r>
        <w:t>high level contract management arrangements</w:t>
      </w:r>
      <w:r w:rsidR="00FB54A0">
        <w:t xml:space="preserve"> carried out by each letting organisation. This includes</w:t>
      </w:r>
      <w:r>
        <w:t xml:space="preserve"> </w:t>
      </w:r>
      <w:r w:rsidR="00FB54A0">
        <w:t>continued evaluations of company capability and capacity as well as reviews of business practices which provide continued assu</w:t>
      </w:r>
      <w:r w:rsidR="00C5183A">
        <w:t>rance</w:t>
      </w:r>
      <w:r w:rsidR="00FB54A0">
        <w:t xml:space="preserve"> for users of these contracts. </w:t>
      </w:r>
    </w:p>
    <w:p w14:paraId="607C9ABA" w14:textId="0281997A" w:rsidR="00155B12" w:rsidRPr="00DE1D1E" w:rsidRDefault="00E34BB4" w:rsidP="006E062C">
      <w:r>
        <w:t>Our Central Procurement Office (CPO)</w:t>
      </w:r>
      <w:r w:rsidR="00C5183A" w:rsidRPr="00C5183A">
        <w:t xml:space="preserve"> continue</w:t>
      </w:r>
      <w:r>
        <w:t>s</w:t>
      </w:r>
      <w:r w:rsidR="00C5183A" w:rsidRPr="00C5183A">
        <w:t xml:space="preserve"> to work closely with </w:t>
      </w:r>
      <w:r w:rsidR="000A5E4B" w:rsidRPr="00C5183A">
        <w:t>two p</w:t>
      </w:r>
      <w:r>
        <w:t xml:space="preserve">urchasing </w:t>
      </w:r>
      <w:r w:rsidR="000A5E4B" w:rsidRPr="00C5183A">
        <w:t>consortia</w:t>
      </w:r>
      <w:r w:rsidR="00543872">
        <w:t xml:space="preserve"> based in Manchester</w:t>
      </w:r>
      <w:r w:rsidR="000A5E4B" w:rsidRPr="00C5183A">
        <w:t xml:space="preserve">: the </w:t>
      </w:r>
      <w:proofErr w:type="gramStart"/>
      <w:r w:rsidR="000A5E4B" w:rsidRPr="00C5183A">
        <w:t>North West</w:t>
      </w:r>
      <w:proofErr w:type="gramEnd"/>
      <w:r w:rsidR="000A5E4B" w:rsidRPr="00C5183A">
        <w:t xml:space="preserve"> Universities Purchasing Consortium (NWUPC) and </w:t>
      </w:r>
      <w:r w:rsidR="00074365" w:rsidRPr="00C5183A">
        <w:t>The University Caterers Organisation (TUCO)</w:t>
      </w:r>
      <w:r w:rsidR="000A5E4B" w:rsidRPr="00C5183A">
        <w:t xml:space="preserve">, to manage risks through </w:t>
      </w:r>
      <w:r w:rsidR="003B7EB7" w:rsidRPr="00C5183A">
        <w:t xml:space="preserve">their </w:t>
      </w:r>
      <w:r w:rsidR="000A5E4B" w:rsidRPr="00C5183A">
        <w:t xml:space="preserve">contract management processes. </w:t>
      </w:r>
      <w:r w:rsidR="00C5183A" w:rsidRPr="00C5183A">
        <w:t xml:space="preserve">These include physical site visits for companies based in the UK. These site inspections include </w:t>
      </w:r>
      <w:r>
        <w:t xml:space="preserve">a </w:t>
      </w:r>
      <w:r w:rsidR="00C5183A" w:rsidRPr="00C5183A">
        <w:t xml:space="preserve">visual </w:t>
      </w:r>
      <w:r>
        <w:t>review</w:t>
      </w:r>
      <w:r w:rsidR="00C5183A" w:rsidRPr="00C5183A">
        <w:t xml:space="preserve"> of premises and observed working practice by staff alert for</w:t>
      </w:r>
      <w:r w:rsidR="00155B12" w:rsidRPr="00C5183A">
        <w:t xml:space="preserve"> </w:t>
      </w:r>
      <w:r w:rsidR="00C5183A">
        <w:t>possible</w:t>
      </w:r>
      <w:r w:rsidR="00155B12" w:rsidRPr="00C5183A">
        <w:t xml:space="preserve"> signs of slavery</w:t>
      </w:r>
      <w:r w:rsidR="000A5E4B" w:rsidRPr="00C5183A">
        <w:t>.</w:t>
      </w:r>
      <w:r w:rsidR="006E062C">
        <w:t xml:space="preserve"> </w:t>
      </w:r>
      <w:r w:rsidR="00C5183A">
        <w:t xml:space="preserve">To date no concerns have been raised as a result of these inspections which </w:t>
      </w:r>
      <w:r w:rsidR="00543872">
        <w:t>provide</w:t>
      </w:r>
      <w:r w:rsidR="00155B12" w:rsidRPr="00C5183A">
        <w:t xml:space="preserve"> </w:t>
      </w:r>
      <w:r w:rsidR="00C5183A" w:rsidRPr="00C5183A">
        <w:t>reliable</w:t>
      </w:r>
      <w:r w:rsidR="00155B12" w:rsidRPr="00C5183A">
        <w:t xml:space="preserve"> physical reassurance that actual working practice</w:t>
      </w:r>
      <w:r w:rsidR="00C5183A">
        <w:t>s</w:t>
      </w:r>
      <w:r w:rsidR="00155B12" w:rsidRPr="00C5183A">
        <w:t xml:space="preserve"> co</w:t>
      </w:r>
      <w:r w:rsidR="00C5183A">
        <w:t>ntinue</w:t>
      </w:r>
      <w:r w:rsidR="00155B12" w:rsidRPr="00C5183A">
        <w:t xml:space="preserve"> to meet our expectations. </w:t>
      </w:r>
    </w:p>
    <w:p w14:paraId="2D0538C3" w14:textId="551260D5" w:rsidR="007115B8" w:rsidRPr="0065609A" w:rsidRDefault="00543872" w:rsidP="006E062C">
      <w:pPr>
        <w:rPr>
          <w:color w:val="FF0000"/>
        </w:rPr>
      </w:pPr>
      <w:r>
        <w:t xml:space="preserve">Our local supplier management processes supplement these where necessary. We actively managed our contracted suppliers in three main ways, through: </w:t>
      </w:r>
      <w:r w:rsidRPr="00543872">
        <w:t xml:space="preserve">(1) </w:t>
      </w:r>
      <w:r>
        <w:t xml:space="preserve">a formal </w:t>
      </w:r>
      <w:r w:rsidRPr="00543872">
        <w:t>category management approach, (2) local contrac</w:t>
      </w:r>
      <w:r>
        <w:t>t management and (3) an</w:t>
      </w:r>
      <w:r w:rsidRPr="00543872">
        <w:t xml:space="preserve"> active supplier engagement process. </w:t>
      </w:r>
    </w:p>
    <w:p w14:paraId="336FA82D" w14:textId="3D19B1A8" w:rsidR="00155B12" w:rsidRPr="0065609A" w:rsidRDefault="00543872" w:rsidP="006E062C">
      <w:pPr>
        <w:rPr>
          <w:color w:val="FF0000"/>
        </w:rPr>
      </w:pPr>
      <w:r>
        <w:lastRenderedPageBreak/>
        <w:t xml:space="preserve">Suppliers are </w:t>
      </w:r>
      <w:r w:rsidR="005C55BB">
        <w:t>classified</w:t>
      </w:r>
      <w:r>
        <w:t xml:space="preserve"> using a category management approach. </w:t>
      </w:r>
      <w:r w:rsidR="005C55BB">
        <w:t>This means we are able to understand and review risks within specific categories of spend. High level supply chain risk is assessed using the UN Marrakech risk methodology which provides a sound means of focussing resource and effort. Priority is given to categories that score highly in this, and further detail on what this loo</w:t>
      </w:r>
      <w:r w:rsidR="008B3514">
        <w:t>ks like for our supply base can be seen on our CPO web-pages</w:t>
      </w:r>
      <w:r w:rsidR="005C55BB">
        <w:t xml:space="preserve">. Working in this way means we can target our limited resources with our tier one suppliers focussing on understanding and promoting best practice. We can cascade this further down supply chains as required. For </w:t>
      </w:r>
      <w:proofErr w:type="gramStart"/>
      <w:r w:rsidR="005C55BB">
        <w:t>example</w:t>
      </w:r>
      <w:proofErr w:type="gramEnd"/>
      <w:r w:rsidR="005C55BB">
        <w:t xml:space="preserve"> we have imposed obligations around the appointment of sub-contractors with our construction </w:t>
      </w:r>
      <w:r w:rsidR="0024411B">
        <w:t xml:space="preserve">partners appointed to deliver large construction projects. </w:t>
      </w:r>
    </w:p>
    <w:p w14:paraId="03D11EFA" w14:textId="1DC1518D" w:rsidR="007115B8" w:rsidRPr="0065609A" w:rsidRDefault="0024411B" w:rsidP="006E062C">
      <w:pPr>
        <w:rPr>
          <w:color w:val="FF0000"/>
        </w:rPr>
      </w:pPr>
      <w:r>
        <w:t xml:space="preserve">Formal contract management is carried out for all of our contracts. </w:t>
      </w:r>
      <w:r w:rsidR="006C3B83">
        <w:t xml:space="preserve">This includes meetings with suppliers </w:t>
      </w:r>
      <w:r w:rsidR="00E34BB4">
        <w:t>to discuss contract delivery as well as</w:t>
      </w:r>
      <w:r w:rsidR="006C3B83">
        <w:t xml:space="preserve"> other aspects of their business that </w:t>
      </w:r>
      <w:r w:rsidR="00E34BB4">
        <w:t>affect us</w:t>
      </w:r>
      <w:r w:rsidR="006C3B83">
        <w:t xml:space="preserve">. </w:t>
      </w:r>
      <w:r>
        <w:t>Supply chain practice is a standing item o</w:t>
      </w:r>
      <w:r w:rsidR="006C3B83">
        <w:t>n our supplier meeting template including a review of information provided via our on-line supplier engagement portal</w:t>
      </w:r>
      <w:r>
        <w:t xml:space="preserve">. </w:t>
      </w:r>
    </w:p>
    <w:p w14:paraId="089DFF11" w14:textId="36A3524D" w:rsidR="007115B8" w:rsidRPr="00DE1D1E" w:rsidRDefault="00EE480D" w:rsidP="006E062C">
      <w:pPr>
        <w:rPr>
          <w:color w:val="FF0000"/>
        </w:rPr>
      </w:pPr>
      <w:r>
        <w:t xml:space="preserve">It is important for us to understand our suppliers and their supply chains. Central to this is our continued use of our on-line assessment tool to engage with our suppliers to assess their approach across a range of economic, social and environmental issues. </w:t>
      </w:r>
      <w:r w:rsidR="00F57AD3">
        <w:t xml:space="preserve">During the year this system has been refreshed with additional questions added around supply chain practice. </w:t>
      </w:r>
      <w:proofErr w:type="gramStart"/>
      <w:r>
        <w:t>Each and every</w:t>
      </w:r>
      <w:proofErr w:type="gramEnd"/>
      <w:r>
        <w:t xml:space="preserve"> supplier is encouraged to share with us details of the impacts resulting from their business activities including slavery and human trafficking wit</w:t>
      </w:r>
      <w:r w:rsidR="003A2DBB">
        <w:t>hin their</w:t>
      </w:r>
      <w:r w:rsidR="00E34BB4">
        <w:t xml:space="preserve"> direct</w:t>
      </w:r>
      <w:r w:rsidR="003A2DBB">
        <w:t xml:space="preserve"> business and</w:t>
      </w:r>
      <w:r>
        <w:t xml:space="preserve"> associated supply chains.</w:t>
      </w:r>
      <w:r w:rsidR="006E062C">
        <w:t xml:space="preserve"> </w:t>
      </w:r>
      <w:r w:rsidR="007115B8" w:rsidRPr="00EE480D">
        <w:t xml:space="preserve">This provides an opportunity for them to tell us </w:t>
      </w:r>
      <w:r w:rsidR="003A259D">
        <w:t>what actions they are taking to address</w:t>
      </w:r>
      <w:r w:rsidR="007115B8" w:rsidRPr="00EE480D">
        <w:t xml:space="preserve"> these issues. To date over </w:t>
      </w:r>
      <w:r w:rsidR="009156AD" w:rsidRPr="008B3514">
        <w:t>2,1</w:t>
      </w:r>
      <w:r w:rsidR="007115B8" w:rsidRPr="008B3514">
        <w:t>00</w:t>
      </w:r>
      <w:r w:rsidR="007115B8" w:rsidRPr="00EE480D">
        <w:t xml:space="preserve"> suppliers have completed this information. A snapshot of this data is </w:t>
      </w:r>
      <w:r w:rsidR="008B3514">
        <w:t>available on our CPO web-pages</w:t>
      </w:r>
      <w:r>
        <w:t>.</w:t>
      </w:r>
    </w:p>
    <w:p w14:paraId="304EE307" w14:textId="377B0D9A" w:rsidR="007115B8" w:rsidRPr="00DE1D1E" w:rsidRDefault="003D04A9" w:rsidP="006E062C">
      <w:pPr>
        <w:rPr>
          <w:color w:val="FF0000"/>
        </w:rPr>
      </w:pPr>
      <w:r>
        <w:t xml:space="preserve">Support is also available for our suppliers through our </w:t>
      </w:r>
      <w:r w:rsidR="004A1A17" w:rsidRPr="003D04A9">
        <w:t>C</w:t>
      </w:r>
      <w:r w:rsidR="00E34BB4">
        <w:t>PO</w:t>
      </w:r>
      <w:r>
        <w:t xml:space="preserve"> web-pages. The content is reviewed regularly and includes a clear explanation </w:t>
      </w:r>
      <w:r w:rsidR="00E34BB4">
        <w:t>of why</w:t>
      </w:r>
      <w:r>
        <w:t xml:space="preserve"> this is important to us and why we expect our suppliers to show a similar commitment to improving working conditions within our mutual supply chains. Usage metrics show that external visits to our </w:t>
      </w:r>
      <w:r w:rsidR="003A259D">
        <w:t xml:space="preserve">supplier and </w:t>
      </w:r>
      <w:r>
        <w:t xml:space="preserve">modern slavery pages remain relatively high. </w:t>
      </w:r>
    </w:p>
    <w:p w14:paraId="5D6851B1" w14:textId="77777777" w:rsidR="007115B8" w:rsidRPr="00DE1D1E" w:rsidRDefault="007115B8" w:rsidP="006E062C"/>
    <w:p w14:paraId="0612DE74" w14:textId="5FC1A820" w:rsidR="00397AC0" w:rsidRDefault="006C3B83" w:rsidP="006E062C">
      <w:r>
        <w:t>Supply chain mapping is an ongoing</w:t>
      </w:r>
      <w:r w:rsidR="00621A73">
        <w:t xml:space="preserve"> activity</w:t>
      </w:r>
      <w:r>
        <w:t xml:space="preserve"> particularly in high risk areas. T</w:t>
      </w:r>
      <w:r w:rsidR="00621A73">
        <w:t xml:space="preserve">his is a difficult process and we continue to collaborate with procurement colleagues in the sector on this. Progress has been difficult during the pandemic but we were </w:t>
      </w:r>
      <w:r w:rsidR="00DD7F43">
        <w:t xml:space="preserve">able to </w:t>
      </w:r>
      <w:r w:rsidR="00621A73">
        <w:t xml:space="preserve">successfully </w:t>
      </w:r>
      <w:r w:rsidR="00DD7F43">
        <w:t>run a project, as part of an apprenticeship</w:t>
      </w:r>
      <w:r w:rsidR="00E34BB4">
        <w:t xml:space="preserve"> training programme</w:t>
      </w:r>
      <w:r w:rsidR="00DD7F43">
        <w:t>, to</w:t>
      </w:r>
      <w:r w:rsidR="008B27A0">
        <w:t xml:space="preserve"> map the supply chains of some of our catering suppliers. </w:t>
      </w:r>
    </w:p>
    <w:p w14:paraId="2DD32A3C" w14:textId="0165375B" w:rsidR="0065609A" w:rsidRDefault="00E34BB4" w:rsidP="006E062C">
      <w:r>
        <w:t xml:space="preserve">The ongoing development of </w:t>
      </w:r>
      <w:r w:rsidR="00753236">
        <w:t xml:space="preserve">our </w:t>
      </w:r>
      <w:r>
        <w:t xml:space="preserve">procurement approach </w:t>
      </w:r>
      <w:r w:rsidR="0043126F">
        <w:t>is demonstrated by the University being ranked number one in the world in The Times Higher Education Impact Rankings 2021 which assess progress against the SDGs. Within the evaluation we scored first out of 503 submissions within</w:t>
      </w:r>
      <w:r w:rsidR="0043126F" w:rsidRPr="0043126F">
        <w:t xml:space="preserve"> </w:t>
      </w:r>
      <w:r w:rsidR="0043126F" w:rsidRPr="00753236">
        <w:rPr>
          <w:i/>
        </w:rPr>
        <w:t>SDG</w:t>
      </w:r>
      <w:r w:rsidR="0043126F">
        <w:t xml:space="preserve"> </w:t>
      </w:r>
      <w:r w:rsidR="0043126F" w:rsidRPr="00753236">
        <w:rPr>
          <w:i/>
        </w:rPr>
        <w:t>12: Responsible Consumption and Production.</w:t>
      </w:r>
      <w:r w:rsidR="0043126F">
        <w:t xml:space="preserve"> This reflects</w:t>
      </w:r>
      <w:r w:rsidR="00753236">
        <w:t>, in part,</w:t>
      </w:r>
      <w:r w:rsidR="0043126F">
        <w:t xml:space="preserve"> our commitment to responsible procurement including supply chain transparency.</w:t>
      </w:r>
      <w:r w:rsidR="0065609A">
        <w:br w:type="page"/>
      </w:r>
    </w:p>
    <w:p w14:paraId="1CECB1E1" w14:textId="77777777" w:rsidR="007834C9" w:rsidRPr="006E062C" w:rsidRDefault="00FD1927" w:rsidP="0065609A">
      <w:pPr>
        <w:pStyle w:val="Heading2"/>
      </w:pPr>
      <w:r w:rsidRPr="006E062C">
        <w:lastRenderedPageBreak/>
        <w:t xml:space="preserve">Staff Training and </w:t>
      </w:r>
      <w:r w:rsidR="007834C9" w:rsidRPr="006E062C">
        <w:t>Pr</w:t>
      </w:r>
      <w:r w:rsidR="004B1B99" w:rsidRPr="006E062C">
        <w:t>omoting Awareness of the Slavery and Human Trafficking</w:t>
      </w:r>
    </w:p>
    <w:p w14:paraId="3F70BEE2" w14:textId="0CD6FD22" w:rsidR="00C40FFF" w:rsidRPr="006E062C" w:rsidRDefault="003A2DBB" w:rsidP="006E062C">
      <w:r w:rsidRPr="006E062C">
        <w:t xml:space="preserve">Raising awareness of modern slavery amongst staff is important and is an ongoing exercise given continual staff turnover in an organisation of our size and diversity. This includes </w:t>
      </w:r>
      <w:r w:rsidR="006D5436" w:rsidRPr="006E062C">
        <w:t xml:space="preserve">a </w:t>
      </w:r>
      <w:r w:rsidRPr="006E062C">
        <w:t xml:space="preserve">regular refresh of material such as that incorporated into our annual risk and compliance training programme. More general training is available through our staff </w:t>
      </w:r>
      <w:r w:rsidR="00FD1927" w:rsidRPr="006E062C">
        <w:t xml:space="preserve">sustainability engagement programme: 10,000 Actions. </w:t>
      </w:r>
      <w:r w:rsidRPr="006E062C">
        <w:t xml:space="preserve">This includes a module on Responsible Procurement </w:t>
      </w:r>
      <w:r w:rsidR="00617DE0" w:rsidRPr="006E062C">
        <w:t>with</w:t>
      </w:r>
      <w:r w:rsidR="002D6476" w:rsidRPr="006E062C">
        <w:t xml:space="preserve"> material on modern slavery. It also links to the</w:t>
      </w:r>
      <w:r w:rsidR="003B7EB7" w:rsidRPr="006E062C">
        <w:t xml:space="preserve"> CPO</w:t>
      </w:r>
      <w:r w:rsidR="00FD1927" w:rsidRPr="006E062C">
        <w:t xml:space="preserve"> </w:t>
      </w:r>
      <w:proofErr w:type="gramStart"/>
      <w:r w:rsidR="00FD1927" w:rsidRPr="006E062C">
        <w:t>web-</w:t>
      </w:r>
      <w:r w:rsidR="00C40FFF" w:rsidRPr="006E062C">
        <w:t>pages</w:t>
      </w:r>
      <w:proofErr w:type="gramEnd"/>
      <w:r w:rsidR="00C40FFF" w:rsidRPr="006E062C">
        <w:t xml:space="preserve"> </w:t>
      </w:r>
      <w:r w:rsidR="002D6476" w:rsidRPr="006E062C">
        <w:t xml:space="preserve">which contain information and external links </w:t>
      </w:r>
      <w:r w:rsidR="00617DE0" w:rsidRPr="006E062C">
        <w:t>that allow</w:t>
      </w:r>
      <w:r w:rsidR="002D6476" w:rsidRPr="006E062C">
        <w:t xml:space="preserve"> colleagues to explore the subject in more detail. Analysis of internal hits on these </w:t>
      </w:r>
      <w:proofErr w:type="gramStart"/>
      <w:r w:rsidR="002D6476" w:rsidRPr="006E062C">
        <w:t>web-pages</w:t>
      </w:r>
      <w:proofErr w:type="gramEnd"/>
      <w:r w:rsidR="002D6476" w:rsidRPr="006E062C">
        <w:t xml:space="preserve"> confirm they are amongst the most visited on the CPO website. </w:t>
      </w:r>
    </w:p>
    <w:p w14:paraId="37D99B54" w14:textId="5C18593A" w:rsidR="00CA161B" w:rsidRPr="006E062C" w:rsidRDefault="006D5436" w:rsidP="006E062C">
      <w:r w:rsidRPr="006E062C">
        <w:t xml:space="preserve">Specialist training is undertaken by certain staff. For </w:t>
      </w:r>
      <w:proofErr w:type="gramStart"/>
      <w:r w:rsidRPr="006E062C">
        <w:t>example</w:t>
      </w:r>
      <w:proofErr w:type="gramEnd"/>
      <w:r w:rsidRPr="006E062C">
        <w:t xml:space="preserve"> o</w:t>
      </w:r>
      <w:r w:rsidR="00617DE0" w:rsidRPr="006E062C">
        <w:t>u</w:t>
      </w:r>
      <w:r w:rsidRPr="006E062C">
        <w:t xml:space="preserve">r </w:t>
      </w:r>
      <w:r w:rsidR="00617DE0" w:rsidRPr="006E062C">
        <w:t>CPO</w:t>
      </w:r>
      <w:r w:rsidRPr="006E062C">
        <w:t xml:space="preserve"> team are </w:t>
      </w:r>
      <w:r w:rsidR="00CA161B" w:rsidRPr="006E062C">
        <w:t>all</w:t>
      </w:r>
      <w:r w:rsidR="00FD1927" w:rsidRPr="006E062C">
        <w:t xml:space="preserve"> professionally qualified and </w:t>
      </w:r>
      <w:r w:rsidR="00CA161B" w:rsidRPr="006E062C">
        <w:t>maintain their certification by completing</w:t>
      </w:r>
      <w:r w:rsidR="00FD1927" w:rsidRPr="006E062C">
        <w:t xml:space="preserve"> The Chartered Institute of Purchasing and Supply</w:t>
      </w:r>
      <w:r w:rsidR="006E062C">
        <w:t xml:space="preserve"> – </w:t>
      </w:r>
      <w:r w:rsidR="00FD1927" w:rsidRPr="006E062C">
        <w:t>Ethical Procurement and Supply course</w:t>
      </w:r>
      <w:r w:rsidR="00CA161B" w:rsidRPr="006E062C">
        <w:t xml:space="preserve"> annually</w:t>
      </w:r>
      <w:r w:rsidR="00FD1927" w:rsidRPr="006E062C">
        <w:t xml:space="preserve">. </w:t>
      </w:r>
      <w:r w:rsidRPr="006E062C">
        <w:t>Additional training is available for these staff to widen skills and keep their knowledge current. We are keen to provide relevant training for other professional staff, for example within estates, when the campus re-opens fully over the coming year.</w:t>
      </w:r>
      <w:r w:rsidR="006E062C">
        <w:t xml:space="preserve"> </w:t>
      </w:r>
    </w:p>
    <w:p w14:paraId="3228AEB9" w14:textId="634E2B6E" w:rsidR="00FD1927" w:rsidRPr="006E062C" w:rsidRDefault="006D5436" w:rsidP="006E062C">
      <w:r w:rsidRPr="006E062C">
        <w:t>Suppl</w:t>
      </w:r>
      <w:r w:rsidR="00753236" w:rsidRPr="006E062C">
        <w:t>i</w:t>
      </w:r>
      <w:r w:rsidRPr="006E062C">
        <w:t xml:space="preserve">er training events have </w:t>
      </w:r>
      <w:r w:rsidR="00617DE0" w:rsidRPr="006E062C">
        <w:t xml:space="preserve">been paused </w:t>
      </w:r>
      <w:r w:rsidRPr="006E062C">
        <w:t xml:space="preserve">during the pandemic. We have </w:t>
      </w:r>
      <w:r w:rsidR="003437D1" w:rsidRPr="006E062C">
        <w:t xml:space="preserve">previously held events for our </w:t>
      </w:r>
      <w:proofErr w:type="gramStart"/>
      <w:r w:rsidR="003437D1" w:rsidRPr="006E062C">
        <w:t>estates</w:t>
      </w:r>
      <w:proofErr w:type="gramEnd"/>
      <w:r w:rsidR="003437D1" w:rsidRPr="006E062C">
        <w:t xml:space="preserve"> suppliers in 2018 and a joint event with TUCO for our nationally </w:t>
      </w:r>
      <w:r w:rsidR="001E3EB4" w:rsidRPr="006E062C">
        <w:t xml:space="preserve">contracted catering suppliers in 2019. These sessions raise awareness of </w:t>
      </w:r>
      <w:r w:rsidR="00FD1927" w:rsidRPr="006E062C">
        <w:t>slavery and t</w:t>
      </w:r>
      <w:r w:rsidR="00F97522" w:rsidRPr="006E062C">
        <w:t xml:space="preserve">rafficking within supply </w:t>
      </w:r>
      <w:proofErr w:type="gramStart"/>
      <w:r w:rsidR="00F97522" w:rsidRPr="006E062C">
        <w:t>chains,</w:t>
      </w:r>
      <w:r w:rsidR="001E3EB4" w:rsidRPr="006E062C">
        <w:t xml:space="preserve"> and</w:t>
      </w:r>
      <w:proofErr w:type="gramEnd"/>
      <w:r w:rsidR="001E3EB4" w:rsidRPr="006E062C">
        <w:t xml:space="preserve"> encourage buyers and suppliers to</w:t>
      </w:r>
      <w:r w:rsidR="00F97522" w:rsidRPr="006E062C">
        <w:t xml:space="preserve"> </w:t>
      </w:r>
      <w:r w:rsidR="001E3EB4" w:rsidRPr="006E062C">
        <w:t>work</w:t>
      </w:r>
      <w:r w:rsidR="00F97522" w:rsidRPr="006E062C">
        <w:t xml:space="preserve"> together to encourage transparency and</w:t>
      </w:r>
      <w:r w:rsidR="00617DE0" w:rsidRPr="006E062C">
        <w:t xml:space="preserve"> to</w:t>
      </w:r>
      <w:r w:rsidR="00F97522" w:rsidRPr="006E062C">
        <w:t xml:space="preserve"> end unacceptable practices</w:t>
      </w:r>
      <w:r w:rsidR="003B7EB7" w:rsidRPr="006E062C">
        <w:t xml:space="preserve">. </w:t>
      </w:r>
      <w:r w:rsidR="001E3EB4" w:rsidRPr="006E062C">
        <w:t xml:space="preserve">Previous sessions have been well attended and we are keen to restart them, in </w:t>
      </w:r>
      <w:proofErr w:type="gramStart"/>
      <w:r w:rsidR="001E3EB4" w:rsidRPr="006E062C">
        <w:t>high risk</w:t>
      </w:r>
      <w:proofErr w:type="gramEnd"/>
      <w:r w:rsidR="001E3EB4" w:rsidRPr="006E062C">
        <w:t xml:space="preserve"> </w:t>
      </w:r>
      <w:r w:rsidR="00617DE0" w:rsidRPr="006E062C">
        <w:t xml:space="preserve">category </w:t>
      </w:r>
      <w:r w:rsidR="001E3EB4" w:rsidRPr="006E062C">
        <w:t xml:space="preserve">areas, as soon as is practicable. </w:t>
      </w:r>
    </w:p>
    <w:p w14:paraId="685FDC85" w14:textId="05F260AF" w:rsidR="00A106B8" w:rsidRPr="006E062C" w:rsidRDefault="00A106B8" w:rsidP="006E062C">
      <w:r w:rsidRPr="006E062C">
        <w:t xml:space="preserve">We continue to engage widely to share best practice and remain </w:t>
      </w:r>
      <w:proofErr w:type="gramStart"/>
      <w:r w:rsidR="00617DE0" w:rsidRPr="006E062C">
        <w:t>up-to-date</w:t>
      </w:r>
      <w:proofErr w:type="gramEnd"/>
      <w:r w:rsidRPr="006E062C">
        <w:t xml:space="preserve"> </w:t>
      </w:r>
      <w:r w:rsidR="00617DE0" w:rsidRPr="006E062C">
        <w:t>with</w:t>
      </w:r>
      <w:r w:rsidRPr="006E062C">
        <w:t xml:space="preserve"> slavery and human trafficking within supply chains. </w:t>
      </w:r>
      <w:r w:rsidR="00F429EF" w:rsidRPr="006E062C">
        <w:t xml:space="preserve">Contact has been maintained virtually with </w:t>
      </w:r>
      <w:proofErr w:type="gramStart"/>
      <w:r w:rsidR="00F429EF" w:rsidRPr="006E062C">
        <w:t>all of</w:t>
      </w:r>
      <w:proofErr w:type="gramEnd"/>
      <w:r w:rsidR="00F429EF" w:rsidRPr="006E062C">
        <w:t xml:space="preserve"> our networks</w:t>
      </w:r>
      <w:r w:rsidRPr="006E062C">
        <w:t xml:space="preserve"> and our Head of Procurement has remained in post as the chair of the HE Sector Responsible Procurement Group whose remit includes modern slavery.</w:t>
      </w:r>
      <w:r w:rsidR="006E062C">
        <w:t xml:space="preserve"> </w:t>
      </w:r>
    </w:p>
    <w:p w14:paraId="5DC3B470" w14:textId="7DC1A40B" w:rsidR="00286687" w:rsidRPr="006E062C" w:rsidRDefault="00A106B8" w:rsidP="006E062C">
      <w:r w:rsidRPr="006E062C">
        <w:t xml:space="preserve">Also during the </w:t>
      </w:r>
      <w:proofErr w:type="gramStart"/>
      <w:r w:rsidRPr="006E062C">
        <w:t>year</w:t>
      </w:r>
      <w:proofErr w:type="gramEnd"/>
      <w:r w:rsidRPr="006E062C">
        <w:t xml:space="preserve"> we have </w:t>
      </w:r>
      <w:r w:rsidR="00617DE0" w:rsidRPr="006E062C">
        <w:t>remained a member of</w:t>
      </w:r>
      <w:r w:rsidRPr="006E062C">
        <w:t xml:space="preserve"> </w:t>
      </w:r>
      <w:r w:rsidR="00617DE0" w:rsidRPr="006E062C">
        <w:t xml:space="preserve">several </w:t>
      </w:r>
      <w:r w:rsidRPr="006E062C">
        <w:t xml:space="preserve">networks outside the sector. Importantly we belong to two Manchester based groups: SFA and </w:t>
      </w:r>
      <w:r w:rsidR="00F429EF" w:rsidRPr="006E062C">
        <w:t>the Greater Manchester Modern Slavery Business Network. Through these groups we have access to current business intelligence as well as resources to help manage supply chains more effectively. Meeting</w:t>
      </w:r>
      <w:r w:rsidR="000D0232" w:rsidRPr="006E062C">
        <w:t>s of the GM network allow us to share ideas and provide opportunities to explore issues and experiences to tackle trafficking and its impacts within our city.</w:t>
      </w:r>
      <w:r w:rsidR="006E062C">
        <w:t xml:space="preserve"> </w:t>
      </w:r>
    </w:p>
    <w:p w14:paraId="1F8974D8" w14:textId="057820BE" w:rsidR="00B54C1A" w:rsidRPr="006E062C" w:rsidRDefault="00B54C1A" w:rsidP="006E062C">
      <w:r w:rsidRPr="006E062C">
        <w:t xml:space="preserve">Over the coming year we will continue to develop our practices </w:t>
      </w:r>
      <w:r w:rsidR="00485109" w:rsidRPr="006E062C">
        <w:t xml:space="preserve">and procedures </w:t>
      </w:r>
      <w:proofErr w:type="gramStart"/>
      <w:r w:rsidR="00485109" w:rsidRPr="006E062C">
        <w:t>with regard to</w:t>
      </w:r>
      <w:proofErr w:type="gramEnd"/>
      <w:r w:rsidR="00485109" w:rsidRPr="006E062C">
        <w:t xml:space="preserve"> slavery and trafficking to mak</w:t>
      </w:r>
      <w:r w:rsidR="00831703" w:rsidRPr="006E062C">
        <w:t>e sure that they meet our</w:t>
      </w:r>
      <w:r w:rsidR="00485109" w:rsidRPr="006E062C">
        <w:t xml:space="preserve"> needs and evolve appropriately to changes in the business environment.</w:t>
      </w:r>
    </w:p>
    <w:p w14:paraId="1BC7EB06" w14:textId="0AFFD8BD" w:rsidR="00D912EB" w:rsidRPr="0065609A" w:rsidRDefault="00900765" w:rsidP="006E062C">
      <w:pPr>
        <w:rPr>
          <w:b/>
          <w:bCs/>
        </w:rPr>
      </w:pPr>
      <w:r w:rsidRPr="0065609A">
        <w:rPr>
          <w:b/>
          <w:bCs/>
        </w:rPr>
        <w:t>Chair of the Board of Governors</w:t>
      </w:r>
    </w:p>
    <w:sectPr w:rsidR="00D912EB" w:rsidRPr="0065609A" w:rsidSect="0065609A">
      <w:headerReference w:type="even" r:id="rId17"/>
      <w:headerReference w:type="default" r:id="rId18"/>
      <w:footerReference w:type="even" r:id="rId19"/>
      <w:footerReference w:type="default" r:id="rId20"/>
      <w:headerReference w:type="first" r:id="rId21"/>
      <w:footerReference w:type="first" r:id="rId22"/>
      <w:pgSz w:w="11906" w:h="16838"/>
      <w:pgMar w:top="1440" w:right="1111" w:bottom="1017" w:left="101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9D79E" w14:textId="77777777" w:rsidR="00897B4D" w:rsidRDefault="00897B4D" w:rsidP="006E062C">
      <w:r>
        <w:separator/>
      </w:r>
    </w:p>
  </w:endnote>
  <w:endnote w:type="continuationSeparator" w:id="0">
    <w:p w14:paraId="06CCDB37" w14:textId="77777777" w:rsidR="00897B4D" w:rsidRDefault="00897B4D" w:rsidP="006E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74C5" w14:textId="77777777" w:rsidR="002721AD" w:rsidRDefault="002721AD" w:rsidP="006E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6A1B" w14:textId="77777777" w:rsidR="002721AD" w:rsidRDefault="002721AD" w:rsidP="006E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B1805" w14:textId="77777777" w:rsidR="002721AD" w:rsidRDefault="002721AD" w:rsidP="006E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B0DD" w14:textId="77777777" w:rsidR="00897B4D" w:rsidRDefault="00897B4D" w:rsidP="006E062C">
      <w:r>
        <w:separator/>
      </w:r>
    </w:p>
  </w:footnote>
  <w:footnote w:type="continuationSeparator" w:id="0">
    <w:p w14:paraId="1C6181C0" w14:textId="77777777" w:rsidR="00897B4D" w:rsidRDefault="00897B4D" w:rsidP="006E0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7314" w14:textId="77777777" w:rsidR="002721AD" w:rsidRDefault="002721AD" w:rsidP="006E0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1AA4" w14:textId="77777777" w:rsidR="002721AD" w:rsidRDefault="002721AD" w:rsidP="006E0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C604" w14:textId="77777777" w:rsidR="002721AD" w:rsidRDefault="002721AD" w:rsidP="006E0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914"/>
    <w:multiLevelType w:val="hybridMultilevel"/>
    <w:tmpl w:val="90A21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E0065D"/>
    <w:multiLevelType w:val="multilevel"/>
    <w:tmpl w:val="8F30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C69E2"/>
    <w:multiLevelType w:val="hybridMultilevel"/>
    <w:tmpl w:val="979A58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4D235F"/>
    <w:multiLevelType w:val="multilevel"/>
    <w:tmpl w:val="4BE29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036B5"/>
    <w:multiLevelType w:val="multilevel"/>
    <w:tmpl w:val="1BA4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0133D"/>
    <w:multiLevelType w:val="multilevel"/>
    <w:tmpl w:val="598E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9251E"/>
    <w:multiLevelType w:val="hybridMultilevel"/>
    <w:tmpl w:val="21842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2D01B5"/>
    <w:multiLevelType w:val="hybridMultilevel"/>
    <w:tmpl w:val="730C0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E07D16"/>
    <w:multiLevelType w:val="hybridMultilevel"/>
    <w:tmpl w:val="FAB22B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C22162"/>
    <w:multiLevelType w:val="hybridMultilevel"/>
    <w:tmpl w:val="EDA22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7A2F5C"/>
    <w:multiLevelType w:val="hybridMultilevel"/>
    <w:tmpl w:val="3BE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D3297"/>
    <w:multiLevelType w:val="hybridMultilevel"/>
    <w:tmpl w:val="1A00B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207423"/>
    <w:multiLevelType w:val="hybridMultilevel"/>
    <w:tmpl w:val="E1785F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4C440E6B"/>
    <w:multiLevelType w:val="hybridMultilevel"/>
    <w:tmpl w:val="B776C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6F1495"/>
    <w:multiLevelType w:val="multilevel"/>
    <w:tmpl w:val="787CB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4D640D"/>
    <w:multiLevelType w:val="hybridMultilevel"/>
    <w:tmpl w:val="3BA0E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F92FDE"/>
    <w:multiLevelType w:val="multilevel"/>
    <w:tmpl w:val="0EE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69425978"/>
    <w:multiLevelType w:val="hybridMultilevel"/>
    <w:tmpl w:val="B5D42BF0"/>
    <w:lvl w:ilvl="0" w:tplc="596E42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7D61255"/>
    <w:multiLevelType w:val="multilevel"/>
    <w:tmpl w:val="F7E478D6"/>
    <w:name w:val="main_list"/>
    <w:lvl w:ilvl="0">
      <w:start w:val="1"/>
      <w:numFmt w:val="decimal"/>
      <w:lvlText w:val="%1."/>
      <w:lvlJc w:val="left"/>
      <w:pPr>
        <w:tabs>
          <w:tab w:val="num" w:pos="720"/>
        </w:tabs>
        <w:ind w:left="720" w:hanging="720"/>
      </w:pPr>
      <w:rPr>
        <w:rFonts w:ascii="Calibri" w:hAnsi="Calibri" w:hint="default"/>
        <w:b/>
        <w:i w:val="0"/>
        <w:caps/>
        <w:sz w:val="22"/>
        <w:szCs w:val="22"/>
      </w:rPr>
    </w:lvl>
    <w:lvl w:ilvl="1">
      <w:start w:val="1"/>
      <w:numFmt w:val="decimal"/>
      <w:lvlText w:val="%1.%2"/>
      <w:lvlJc w:val="left"/>
      <w:pPr>
        <w:tabs>
          <w:tab w:val="num" w:pos="720"/>
        </w:tabs>
        <w:ind w:left="720" w:hanging="720"/>
      </w:pPr>
      <w:rPr>
        <w:rFonts w:ascii="Calibri" w:hAnsi="Calibri" w:hint="default"/>
        <w:b w:val="0"/>
        <w:i w:val="0"/>
        <w:caps w:val="0"/>
        <w:sz w:val="22"/>
        <w:szCs w:val="22"/>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7"/>
  </w:num>
  <w:num w:numId="2">
    <w:abstractNumId w:val="6"/>
  </w:num>
  <w:num w:numId="3">
    <w:abstractNumId w:val="1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num>
  <w:num w:numId="7">
    <w:abstractNumId w:val="8"/>
  </w:num>
  <w:num w:numId="8">
    <w:abstractNumId w:val="18"/>
  </w:num>
  <w:num w:numId="9">
    <w:abstractNumId w:val="9"/>
  </w:num>
  <w:num w:numId="10">
    <w:abstractNumId w:val="11"/>
  </w:num>
  <w:num w:numId="11">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4"/>
  </w:num>
  <w:num w:numId="1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
  </w:num>
  <w:num w:numId="19">
    <w:abstractNumId w:val="15"/>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3F9"/>
    <w:rsid w:val="0005596D"/>
    <w:rsid w:val="00057125"/>
    <w:rsid w:val="0006436A"/>
    <w:rsid w:val="00074365"/>
    <w:rsid w:val="00074FFF"/>
    <w:rsid w:val="00081036"/>
    <w:rsid w:val="000862CD"/>
    <w:rsid w:val="000A2699"/>
    <w:rsid w:val="000A5E4B"/>
    <w:rsid w:val="000A6BA3"/>
    <w:rsid w:val="000B2500"/>
    <w:rsid w:val="000C443D"/>
    <w:rsid w:val="000D0232"/>
    <w:rsid w:val="000D4577"/>
    <w:rsid w:val="000E35CA"/>
    <w:rsid w:val="000E72D7"/>
    <w:rsid w:val="000F0CF9"/>
    <w:rsid w:val="000F356C"/>
    <w:rsid w:val="001029ED"/>
    <w:rsid w:val="001125A0"/>
    <w:rsid w:val="00123E95"/>
    <w:rsid w:val="00127D62"/>
    <w:rsid w:val="0013301E"/>
    <w:rsid w:val="0014003F"/>
    <w:rsid w:val="00155B12"/>
    <w:rsid w:val="0015631A"/>
    <w:rsid w:val="0016730E"/>
    <w:rsid w:val="001810A3"/>
    <w:rsid w:val="00183D04"/>
    <w:rsid w:val="00185D58"/>
    <w:rsid w:val="0019066C"/>
    <w:rsid w:val="001917B5"/>
    <w:rsid w:val="001A0380"/>
    <w:rsid w:val="001A201E"/>
    <w:rsid w:val="001C2C1D"/>
    <w:rsid w:val="001E3EB4"/>
    <w:rsid w:val="001F7101"/>
    <w:rsid w:val="00200636"/>
    <w:rsid w:val="002048C0"/>
    <w:rsid w:val="002104DC"/>
    <w:rsid w:val="002205A4"/>
    <w:rsid w:val="00226E5E"/>
    <w:rsid w:val="00242A26"/>
    <w:rsid w:val="00243836"/>
    <w:rsid w:val="0024411B"/>
    <w:rsid w:val="002618C0"/>
    <w:rsid w:val="002721AD"/>
    <w:rsid w:val="00274D23"/>
    <w:rsid w:val="00282614"/>
    <w:rsid w:val="00286687"/>
    <w:rsid w:val="00286CFB"/>
    <w:rsid w:val="002C01C9"/>
    <w:rsid w:val="002D6476"/>
    <w:rsid w:val="002F2344"/>
    <w:rsid w:val="002F2B48"/>
    <w:rsid w:val="003113DB"/>
    <w:rsid w:val="003437D1"/>
    <w:rsid w:val="00344800"/>
    <w:rsid w:val="00344952"/>
    <w:rsid w:val="00345823"/>
    <w:rsid w:val="00350505"/>
    <w:rsid w:val="00363DFE"/>
    <w:rsid w:val="00371AC9"/>
    <w:rsid w:val="00397AC0"/>
    <w:rsid w:val="003A259D"/>
    <w:rsid w:val="003A2DBB"/>
    <w:rsid w:val="003A3565"/>
    <w:rsid w:val="003B1CE4"/>
    <w:rsid w:val="003B7EB7"/>
    <w:rsid w:val="003C1798"/>
    <w:rsid w:val="003C7BFF"/>
    <w:rsid w:val="003D04A9"/>
    <w:rsid w:val="003E1150"/>
    <w:rsid w:val="00411BC4"/>
    <w:rsid w:val="004166E8"/>
    <w:rsid w:val="00420C2D"/>
    <w:rsid w:val="00423728"/>
    <w:rsid w:val="00423CAF"/>
    <w:rsid w:val="004274FE"/>
    <w:rsid w:val="0043126F"/>
    <w:rsid w:val="00455DD4"/>
    <w:rsid w:val="00463870"/>
    <w:rsid w:val="00465404"/>
    <w:rsid w:val="00485109"/>
    <w:rsid w:val="004A1A17"/>
    <w:rsid w:val="004A6696"/>
    <w:rsid w:val="004B1B99"/>
    <w:rsid w:val="004B588A"/>
    <w:rsid w:val="004C2927"/>
    <w:rsid w:val="004C57E3"/>
    <w:rsid w:val="004C781E"/>
    <w:rsid w:val="004D13CF"/>
    <w:rsid w:val="004D26C3"/>
    <w:rsid w:val="004E57F7"/>
    <w:rsid w:val="005016A7"/>
    <w:rsid w:val="00520171"/>
    <w:rsid w:val="005255C3"/>
    <w:rsid w:val="005321C8"/>
    <w:rsid w:val="00537F9F"/>
    <w:rsid w:val="005412FE"/>
    <w:rsid w:val="00542B71"/>
    <w:rsid w:val="00543872"/>
    <w:rsid w:val="00545C10"/>
    <w:rsid w:val="0055233E"/>
    <w:rsid w:val="005572D2"/>
    <w:rsid w:val="0056251C"/>
    <w:rsid w:val="00585DE5"/>
    <w:rsid w:val="00595AEB"/>
    <w:rsid w:val="005A2731"/>
    <w:rsid w:val="005B54A6"/>
    <w:rsid w:val="005C2378"/>
    <w:rsid w:val="005C55BB"/>
    <w:rsid w:val="005D24FD"/>
    <w:rsid w:val="005E0FC4"/>
    <w:rsid w:val="005F3956"/>
    <w:rsid w:val="00607DC9"/>
    <w:rsid w:val="00617DE0"/>
    <w:rsid w:val="006213F9"/>
    <w:rsid w:val="00621A73"/>
    <w:rsid w:val="006243B5"/>
    <w:rsid w:val="006436A1"/>
    <w:rsid w:val="006457E2"/>
    <w:rsid w:val="0064609C"/>
    <w:rsid w:val="00646CA9"/>
    <w:rsid w:val="0065609A"/>
    <w:rsid w:val="006645EC"/>
    <w:rsid w:val="006862B8"/>
    <w:rsid w:val="00695022"/>
    <w:rsid w:val="006A33D6"/>
    <w:rsid w:val="006C039C"/>
    <w:rsid w:val="006C3B83"/>
    <w:rsid w:val="006D457C"/>
    <w:rsid w:val="006D5436"/>
    <w:rsid w:val="006E062C"/>
    <w:rsid w:val="006F5913"/>
    <w:rsid w:val="007023E5"/>
    <w:rsid w:val="007115B8"/>
    <w:rsid w:val="007237DE"/>
    <w:rsid w:val="00753236"/>
    <w:rsid w:val="007769E1"/>
    <w:rsid w:val="00782EAF"/>
    <w:rsid w:val="007834C9"/>
    <w:rsid w:val="0079263A"/>
    <w:rsid w:val="00793CF1"/>
    <w:rsid w:val="007A07AD"/>
    <w:rsid w:val="007A15E8"/>
    <w:rsid w:val="007A53AB"/>
    <w:rsid w:val="007B0DE3"/>
    <w:rsid w:val="007B1363"/>
    <w:rsid w:val="007B4EFD"/>
    <w:rsid w:val="007C3F83"/>
    <w:rsid w:val="007D10E4"/>
    <w:rsid w:val="007E04B6"/>
    <w:rsid w:val="007E31BE"/>
    <w:rsid w:val="007E3C29"/>
    <w:rsid w:val="007F2C91"/>
    <w:rsid w:val="007F3A78"/>
    <w:rsid w:val="00822EAA"/>
    <w:rsid w:val="0082388E"/>
    <w:rsid w:val="00831703"/>
    <w:rsid w:val="00840FD4"/>
    <w:rsid w:val="0085099E"/>
    <w:rsid w:val="008540D9"/>
    <w:rsid w:val="00866F06"/>
    <w:rsid w:val="00867A53"/>
    <w:rsid w:val="00882335"/>
    <w:rsid w:val="00891E60"/>
    <w:rsid w:val="00896578"/>
    <w:rsid w:val="00897B4D"/>
    <w:rsid w:val="008B2422"/>
    <w:rsid w:val="008B27A0"/>
    <w:rsid w:val="008B3514"/>
    <w:rsid w:val="008B78EB"/>
    <w:rsid w:val="008C459B"/>
    <w:rsid w:val="008D50EE"/>
    <w:rsid w:val="008F2A31"/>
    <w:rsid w:val="00900765"/>
    <w:rsid w:val="00914884"/>
    <w:rsid w:val="009156AD"/>
    <w:rsid w:val="00924467"/>
    <w:rsid w:val="00925254"/>
    <w:rsid w:val="00932D32"/>
    <w:rsid w:val="00933463"/>
    <w:rsid w:val="00964E13"/>
    <w:rsid w:val="00972B2B"/>
    <w:rsid w:val="00973B15"/>
    <w:rsid w:val="00973E79"/>
    <w:rsid w:val="00974832"/>
    <w:rsid w:val="0097731A"/>
    <w:rsid w:val="00981B64"/>
    <w:rsid w:val="00982BD2"/>
    <w:rsid w:val="009879A3"/>
    <w:rsid w:val="00995CE1"/>
    <w:rsid w:val="009B1D16"/>
    <w:rsid w:val="009C1789"/>
    <w:rsid w:val="009C53B0"/>
    <w:rsid w:val="009F1DE2"/>
    <w:rsid w:val="009F45EA"/>
    <w:rsid w:val="00A046A3"/>
    <w:rsid w:val="00A106B8"/>
    <w:rsid w:val="00A114D0"/>
    <w:rsid w:val="00A35B38"/>
    <w:rsid w:val="00A463BE"/>
    <w:rsid w:val="00A70404"/>
    <w:rsid w:val="00A7392B"/>
    <w:rsid w:val="00A76D0A"/>
    <w:rsid w:val="00A80667"/>
    <w:rsid w:val="00A80F3B"/>
    <w:rsid w:val="00A8197F"/>
    <w:rsid w:val="00A9257E"/>
    <w:rsid w:val="00A94D86"/>
    <w:rsid w:val="00A95CDD"/>
    <w:rsid w:val="00AC6E0D"/>
    <w:rsid w:val="00AD63AA"/>
    <w:rsid w:val="00AE4746"/>
    <w:rsid w:val="00AE71AD"/>
    <w:rsid w:val="00AF4233"/>
    <w:rsid w:val="00B00103"/>
    <w:rsid w:val="00B002B4"/>
    <w:rsid w:val="00B35A85"/>
    <w:rsid w:val="00B41AE2"/>
    <w:rsid w:val="00B51A1B"/>
    <w:rsid w:val="00B54C1A"/>
    <w:rsid w:val="00B61497"/>
    <w:rsid w:val="00B655D6"/>
    <w:rsid w:val="00B675E5"/>
    <w:rsid w:val="00BB21F5"/>
    <w:rsid w:val="00BB38E6"/>
    <w:rsid w:val="00BB4917"/>
    <w:rsid w:val="00BC233E"/>
    <w:rsid w:val="00BD1969"/>
    <w:rsid w:val="00C16BC1"/>
    <w:rsid w:val="00C30408"/>
    <w:rsid w:val="00C401AF"/>
    <w:rsid w:val="00C40FFF"/>
    <w:rsid w:val="00C5183A"/>
    <w:rsid w:val="00C61D17"/>
    <w:rsid w:val="00C66094"/>
    <w:rsid w:val="00C669DE"/>
    <w:rsid w:val="00C67F36"/>
    <w:rsid w:val="00C7156F"/>
    <w:rsid w:val="00C7176D"/>
    <w:rsid w:val="00C71DF5"/>
    <w:rsid w:val="00C75E51"/>
    <w:rsid w:val="00C856D0"/>
    <w:rsid w:val="00C87404"/>
    <w:rsid w:val="00C87EF1"/>
    <w:rsid w:val="00CA161B"/>
    <w:rsid w:val="00CA5806"/>
    <w:rsid w:val="00CD5C19"/>
    <w:rsid w:val="00CF5166"/>
    <w:rsid w:val="00CF55F0"/>
    <w:rsid w:val="00D02105"/>
    <w:rsid w:val="00D31D6D"/>
    <w:rsid w:val="00D503F1"/>
    <w:rsid w:val="00D6518F"/>
    <w:rsid w:val="00D84904"/>
    <w:rsid w:val="00D912EB"/>
    <w:rsid w:val="00D938C0"/>
    <w:rsid w:val="00D96453"/>
    <w:rsid w:val="00D974D7"/>
    <w:rsid w:val="00DA0211"/>
    <w:rsid w:val="00DA2EE6"/>
    <w:rsid w:val="00DB277F"/>
    <w:rsid w:val="00DD2BC9"/>
    <w:rsid w:val="00DD41E5"/>
    <w:rsid w:val="00DD7F43"/>
    <w:rsid w:val="00DE1D1E"/>
    <w:rsid w:val="00DE5FCD"/>
    <w:rsid w:val="00DF1B0A"/>
    <w:rsid w:val="00E0103D"/>
    <w:rsid w:val="00E07565"/>
    <w:rsid w:val="00E34BB4"/>
    <w:rsid w:val="00E55C71"/>
    <w:rsid w:val="00E70BD0"/>
    <w:rsid w:val="00E90B08"/>
    <w:rsid w:val="00EA696A"/>
    <w:rsid w:val="00EB5F41"/>
    <w:rsid w:val="00EC0588"/>
    <w:rsid w:val="00EC2BA4"/>
    <w:rsid w:val="00EE1DC3"/>
    <w:rsid w:val="00EE480D"/>
    <w:rsid w:val="00EF4647"/>
    <w:rsid w:val="00F06D62"/>
    <w:rsid w:val="00F21A35"/>
    <w:rsid w:val="00F36DF0"/>
    <w:rsid w:val="00F40097"/>
    <w:rsid w:val="00F429EF"/>
    <w:rsid w:val="00F5794B"/>
    <w:rsid w:val="00F57AD3"/>
    <w:rsid w:val="00F60D5E"/>
    <w:rsid w:val="00F73DC4"/>
    <w:rsid w:val="00F74733"/>
    <w:rsid w:val="00F760F0"/>
    <w:rsid w:val="00F91370"/>
    <w:rsid w:val="00F97522"/>
    <w:rsid w:val="00F97832"/>
    <w:rsid w:val="00FB54A0"/>
    <w:rsid w:val="00FD1927"/>
    <w:rsid w:val="00FE46B6"/>
    <w:rsid w:val="00FF1584"/>
    <w:rsid w:val="00FF175A"/>
    <w:rsid w:val="00FF6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83BB9"/>
  <w15:docId w15:val="{2BCC04AE-120D-4379-B7B7-0D774009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62C"/>
    <w:pPr>
      <w:spacing w:line="288" w:lineRule="auto"/>
    </w:pPr>
    <w:rPr>
      <w:rFonts w:ascii="Arial" w:eastAsiaTheme="minorEastAsia" w:hAnsi="Arial" w:cs="Arial"/>
      <w:sz w:val="24"/>
      <w:szCs w:val="24"/>
    </w:rPr>
  </w:style>
  <w:style w:type="paragraph" w:styleId="Heading1">
    <w:name w:val="heading 1"/>
    <w:basedOn w:val="Normal"/>
    <w:link w:val="Heading1Char"/>
    <w:qFormat/>
    <w:rsid w:val="006E062C"/>
    <w:pPr>
      <w:spacing w:line="240" w:lineRule="auto"/>
      <w:outlineLvl w:val="0"/>
    </w:pPr>
    <w:rPr>
      <w:rFonts w:eastAsiaTheme="majorEastAsia"/>
      <w:b/>
      <w:bCs/>
      <w:noProof/>
      <w:color w:val="FFFFFF" w:themeColor="background1"/>
      <w:sz w:val="72"/>
      <w:szCs w:val="72"/>
    </w:rPr>
  </w:style>
  <w:style w:type="paragraph" w:styleId="Heading2">
    <w:name w:val="heading 2"/>
    <w:basedOn w:val="Heading1"/>
    <w:link w:val="Heading2Char"/>
    <w:qFormat/>
    <w:rsid w:val="0065609A"/>
    <w:pPr>
      <w:spacing w:after="360"/>
      <w:outlineLvl w:val="1"/>
    </w:pPr>
    <w:rPr>
      <w:color w:val="000000" w:themeColor="text1"/>
      <w:sz w:val="28"/>
      <w:szCs w:val="28"/>
    </w:rPr>
  </w:style>
  <w:style w:type="paragraph" w:styleId="Heading3">
    <w:name w:val="heading 3"/>
    <w:basedOn w:val="Normal"/>
    <w:link w:val="Heading3Char"/>
    <w:qFormat/>
    <w:rsid w:val="000C443D"/>
    <w:pPr>
      <w:numPr>
        <w:ilvl w:val="2"/>
        <w:numId w:val="3"/>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qFormat/>
    <w:rsid w:val="000C443D"/>
    <w:pPr>
      <w:numPr>
        <w:ilvl w:val="3"/>
        <w:numId w:val="3"/>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0C443D"/>
    <w:pPr>
      <w:numPr>
        <w:ilvl w:val="4"/>
        <w:numId w:val="3"/>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06"/>
  </w:style>
  <w:style w:type="paragraph" w:styleId="Footer">
    <w:name w:val="footer"/>
    <w:basedOn w:val="Normal"/>
    <w:link w:val="FooterChar"/>
    <w:uiPriority w:val="99"/>
    <w:unhideWhenUsed/>
    <w:rsid w:val="00866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06"/>
  </w:style>
  <w:style w:type="paragraph" w:styleId="BalloonText">
    <w:name w:val="Balloon Text"/>
    <w:basedOn w:val="Normal"/>
    <w:link w:val="BalloonTextChar"/>
    <w:uiPriority w:val="99"/>
    <w:semiHidden/>
    <w:unhideWhenUsed/>
    <w:rsid w:val="00866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F06"/>
    <w:rPr>
      <w:rFonts w:ascii="Tahoma" w:hAnsi="Tahoma" w:cs="Tahoma"/>
      <w:sz w:val="16"/>
      <w:szCs w:val="16"/>
    </w:rPr>
  </w:style>
  <w:style w:type="character" w:styleId="Hyperlink">
    <w:name w:val="Hyperlink"/>
    <w:basedOn w:val="DefaultParagraphFont"/>
    <w:uiPriority w:val="99"/>
    <w:unhideWhenUsed/>
    <w:rsid w:val="00896578"/>
    <w:rPr>
      <w:color w:val="0000FF" w:themeColor="hyperlink"/>
      <w:u w:val="single"/>
    </w:rPr>
  </w:style>
  <w:style w:type="paragraph" w:styleId="ListParagraph">
    <w:name w:val="List Paragraph"/>
    <w:basedOn w:val="Normal"/>
    <w:uiPriority w:val="34"/>
    <w:qFormat/>
    <w:rsid w:val="009B1D16"/>
    <w:pPr>
      <w:ind w:left="720"/>
      <w:contextualSpacing/>
    </w:pPr>
  </w:style>
  <w:style w:type="character" w:customStyle="1" w:styleId="Heading1Char">
    <w:name w:val="Heading 1 Char"/>
    <w:basedOn w:val="DefaultParagraphFont"/>
    <w:link w:val="Heading1"/>
    <w:rsid w:val="006E062C"/>
    <w:rPr>
      <w:rFonts w:ascii="Arial" w:eastAsiaTheme="majorEastAsia" w:hAnsi="Arial" w:cs="Arial"/>
      <w:b/>
      <w:bCs/>
      <w:noProof/>
      <w:color w:val="FFFFFF" w:themeColor="background1"/>
      <w:sz w:val="72"/>
      <w:szCs w:val="72"/>
    </w:rPr>
  </w:style>
  <w:style w:type="character" w:customStyle="1" w:styleId="Heading2Char">
    <w:name w:val="Heading 2 Char"/>
    <w:basedOn w:val="DefaultParagraphFont"/>
    <w:link w:val="Heading2"/>
    <w:rsid w:val="0065609A"/>
    <w:rPr>
      <w:rFonts w:ascii="Arial" w:eastAsiaTheme="majorEastAsia" w:hAnsi="Arial" w:cs="Arial"/>
      <w:b/>
      <w:bCs/>
      <w:noProof/>
      <w:color w:val="000000" w:themeColor="text1"/>
      <w:sz w:val="28"/>
      <w:szCs w:val="28"/>
    </w:rPr>
  </w:style>
  <w:style w:type="character" w:customStyle="1" w:styleId="Heading3Char">
    <w:name w:val="Heading 3 Char"/>
    <w:basedOn w:val="DefaultParagraphFont"/>
    <w:link w:val="Heading3"/>
    <w:rsid w:val="000C443D"/>
    <w:rPr>
      <w:rFonts w:ascii="Times New Roman" w:eastAsia="Times New Roman" w:hAnsi="Times New Roman" w:cs="Times New Roman"/>
      <w:szCs w:val="20"/>
    </w:rPr>
  </w:style>
  <w:style w:type="character" w:customStyle="1" w:styleId="Heading4Char">
    <w:name w:val="Heading 4 Char"/>
    <w:basedOn w:val="DefaultParagraphFont"/>
    <w:link w:val="Heading4"/>
    <w:rsid w:val="000C443D"/>
    <w:rPr>
      <w:rFonts w:ascii="Times New Roman" w:eastAsia="Times New Roman" w:hAnsi="Times New Roman" w:cs="Times New Roman"/>
      <w:szCs w:val="20"/>
    </w:rPr>
  </w:style>
  <w:style w:type="character" w:customStyle="1" w:styleId="Heading5Char">
    <w:name w:val="Heading 5 Char"/>
    <w:basedOn w:val="DefaultParagraphFont"/>
    <w:link w:val="Heading5"/>
    <w:rsid w:val="000C443D"/>
    <w:rPr>
      <w:rFonts w:ascii="Times New Roman" w:eastAsia="Times New Roman" w:hAnsi="Times New Roman" w:cs="Times New Roman"/>
      <w:szCs w:val="20"/>
    </w:rPr>
  </w:style>
  <w:style w:type="paragraph" w:customStyle="1" w:styleId="ABackground">
    <w:name w:val="(A) Background"/>
    <w:basedOn w:val="Normal"/>
    <w:rsid w:val="00FF63EB"/>
    <w:pPr>
      <w:numPr>
        <w:numId w:val="5"/>
      </w:numPr>
      <w:spacing w:before="120" w:after="120" w:line="300" w:lineRule="atLeast"/>
      <w:jc w:val="both"/>
    </w:pPr>
    <w:rPr>
      <w:rFonts w:ascii="Times New Roman" w:eastAsia="Times New Roman" w:hAnsi="Times New Roman" w:cs="Times New Roman"/>
      <w:szCs w:val="20"/>
    </w:rPr>
  </w:style>
  <w:style w:type="paragraph" w:customStyle="1" w:styleId="BackSubClause">
    <w:name w:val="BackSubClause"/>
    <w:basedOn w:val="Normal"/>
    <w:rsid w:val="00FF63EB"/>
    <w:pPr>
      <w:numPr>
        <w:ilvl w:val="1"/>
        <w:numId w:val="5"/>
      </w:numPr>
      <w:spacing w:after="0" w:line="300" w:lineRule="atLeast"/>
      <w:jc w:val="both"/>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EC2BA4"/>
    <w:rPr>
      <w:color w:val="800080" w:themeColor="followedHyperlink"/>
      <w:u w:val="single"/>
    </w:rPr>
  </w:style>
  <w:style w:type="paragraph" w:styleId="FootnoteText">
    <w:name w:val="footnote text"/>
    <w:basedOn w:val="Normal"/>
    <w:link w:val="FootnoteTextChar"/>
    <w:uiPriority w:val="99"/>
    <w:semiHidden/>
    <w:unhideWhenUsed/>
    <w:rsid w:val="006645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5EC"/>
    <w:rPr>
      <w:sz w:val="20"/>
      <w:szCs w:val="20"/>
    </w:rPr>
  </w:style>
  <w:style w:type="character" w:styleId="FootnoteReference">
    <w:name w:val="footnote reference"/>
    <w:basedOn w:val="DefaultParagraphFont"/>
    <w:uiPriority w:val="99"/>
    <w:semiHidden/>
    <w:unhideWhenUsed/>
    <w:rsid w:val="006645EC"/>
    <w:rPr>
      <w:vertAlign w:val="superscript"/>
    </w:rPr>
  </w:style>
  <w:style w:type="character" w:styleId="CommentReference">
    <w:name w:val="annotation reference"/>
    <w:basedOn w:val="DefaultParagraphFont"/>
    <w:uiPriority w:val="99"/>
    <w:semiHidden/>
    <w:unhideWhenUsed/>
    <w:rsid w:val="00F760F0"/>
    <w:rPr>
      <w:sz w:val="16"/>
      <w:szCs w:val="16"/>
    </w:rPr>
  </w:style>
  <w:style w:type="paragraph" w:styleId="CommentText">
    <w:name w:val="annotation text"/>
    <w:basedOn w:val="Normal"/>
    <w:link w:val="CommentTextChar"/>
    <w:uiPriority w:val="99"/>
    <w:semiHidden/>
    <w:unhideWhenUsed/>
    <w:rsid w:val="00F760F0"/>
    <w:pPr>
      <w:spacing w:line="240" w:lineRule="auto"/>
    </w:pPr>
    <w:rPr>
      <w:sz w:val="20"/>
      <w:szCs w:val="20"/>
    </w:rPr>
  </w:style>
  <w:style w:type="character" w:customStyle="1" w:styleId="CommentTextChar">
    <w:name w:val="Comment Text Char"/>
    <w:basedOn w:val="DefaultParagraphFont"/>
    <w:link w:val="CommentText"/>
    <w:uiPriority w:val="99"/>
    <w:semiHidden/>
    <w:rsid w:val="00F760F0"/>
    <w:rPr>
      <w:sz w:val="20"/>
      <w:szCs w:val="20"/>
    </w:rPr>
  </w:style>
  <w:style w:type="paragraph" w:styleId="CommentSubject">
    <w:name w:val="annotation subject"/>
    <w:basedOn w:val="CommentText"/>
    <w:next w:val="CommentText"/>
    <w:link w:val="CommentSubjectChar"/>
    <w:uiPriority w:val="99"/>
    <w:semiHidden/>
    <w:unhideWhenUsed/>
    <w:rsid w:val="00F760F0"/>
    <w:rPr>
      <w:b/>
      <w:bCs/>
    </w:rPr>
  </w:style>
  <w:style w:type="character" w:customStyle="1" w:styleId="CommentSubjectChar">
    <w:name w:val="Comment Subject Char"/>
    <w:basedOn w:val="CommentTextChar"/>
    <w:link w:val="CommentSubject"/>
    <w:uiPriority w:val="99"/>
    <w:semiHidden/>
    <w:rsid w:val="00F760F0"/>
    <w:rPr>
      <w:b/>
      <w:bCs/>
      <w:sz w:val="20"/>
      <w:szCs w:val="20"/>
    </w:rPr>
  </w:style>
  <w:style w:type="paragraph" w:styleId="NormalWeb">
    <w:name w:val="Normal (Web)"/>
    <w:basedOn w:val="Normal"/>
    <w:uiPriority w:val="99"/>
    <w:semiHidden/>
    <w:unhideWhenUsed/>
    <w:rsid w:val="00D912EB"/>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D912EB"/>
    <w:rPr>
      <w:b/>
      <w:bCs/>
    </w:rPr>
  </w:style>
  <w:style w:type="table" w:styleId="TableGrid">
    <w:name w:val="Table Grid"/>
    <w:basedOn w:val="TableNormal"/>
    <w:uiPriority w:val="39"/>
    <w:rsid w:val="000E72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721AD"/>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2721AD"/>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7599">
      <w:bodyDiv w:val="1"/>
      <w:marLeft w:val="0"/>
      <w:marRight w:val="0"/>
      <w:marTop w:val="0"/>
      <w:marBottom w:val="0"/>
      <w:divBdr>
        <w:top w:val="none" w:sz="0" w:space="0" w:color="auto"/>
        <w:left w:val="none" w:sz="0" w:space="0" w:color="auto"/>
        <w:bottom w:val="none" w:sz="0" w:space="0" w:color="auto"/>
        <w:right w:val="none" w:sz="0" w:space="0" w:color="auto"/>
      </w:divBdr>
    </w:div>
    <w:div w:id="650911677">
      <w:bodyDiv w:val="1"/>
      <w:marLeft w:val="0"/>
      <w:marRight w:val="0"/>
      <w:marTop w:val="0"/>
      <w:marBottom w:val="0"/>
      <w:divBdr>
        <w:top w:val="none" w:sz="0" w:space="0" w:color="auto"/>
        <w:left w:val="none" w:sz="0" w:space="0" w:color="auto"/>
        <w:bottom w:val="none" w:sz="0" w:space="0" w:color="auto"/>
        <w:right w:val="none" w:sz="0" w:space="0" w:color="auto"/>
      </w:divBdr>
    </w:div>
    <w:div w:id="931939117">
      <w:bodyDiv w:val="1"/>
      <w:marLeft w:val="0"/>
      <w:marRight w:val="0"/>
      <w:marTop w:val="0"/>
      <w:marBottom w:val="0"/>
      <w:divBdr>
        <w:top w:val="none" w:sz="0" w:space="0" w:color="auto"/>
        <w:left w:val="none" w:sz="0" w:space="0" w:color="auto"/>
        <w:bottom w:val="none" w:sz="0" w:space="0" w:color="auto"/>
        <w:right w:val="none" w:sz="0" w:space="0" w:color="auto"/>
      </w:divBdr>
    </w:div>
    <w:div w:id="1041709782">
      <w:bodyDiv w:val="1"/>
      <w:marLeft w:val="0"/>
      <w:marRight w:val="0"/>
      <w:marTop w:val="0"/>
      <w:marBottom w:val="0"/>
      <w:divBdr>
        <w:top w:val="none" w:sz="0" w:space="0" w:color="auto"/>
        <w:left w:val="none" w:sz="0" w:space="0" w:color="auto"/>
        <w:bottom w:val="none" w:sz="0" w:space="0" w:color="auto"/>
        <w:right w:val="none" w:sz="0" w:space="0" w:color="auto"/>
      </w:divBdr>
    </w:div>
    <w:div w:id="1159537296">
      <w:bodyDiv w:val="1"/>
      <w:marLeft w:val="0"/>
      <w:marRight w:val="0"/>
      <w:marTop w:val="0"/>
      <w:marBottom w:val="0"/>
      <w:divBdr>
        <w:top w:val="none" w:sz="0" w:space="0" w:color="auto"/>
        <w:left w:val="none" w:sz="0" w:space="0" w:color="auto"/>
        <w:bottom w:val="none" w:sz="0" w:space="0" w:color="auto"/>
        <w:right w:val="none" w:sz="0" w:space="0" w:color="auto"/>
      </w:divBdr>
    </w:div>
    <w:div w:id="149587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odern-slavery-statement-registry.service.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tiscreport.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la.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uments.manchester.ac.uk/list.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lectronicswatch.org/en" TargetMode="External"/><Relationship Id="rId23" Type="http://schemas.openxmlformats.org/officeDocument/2006/relationships/fontTable" Target="fontTable.xml"/><Relationship Id="rId10" Type="http://schemas.openxmlformats.org/officeDocument/2006/relationships/hyperlink" Target="https://www.manchester.ac.uk/discover/structur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nchester.ac.uk/" TargetMode="External"/><Relationship Id="rId14" Type="http://schemas.openxmlformats.org/officeDocument/2006/relationships/hyperlink" Target="https://www.livingwage.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C1FE4-B1F4-4BCB-9754-FB6D51CB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3135</Words>
  <Characters>17401</Characters>
  <Application>Microsoft Office Word</Application>
  <DocSecurity>0</DocSecurity>
  <Lines>255</Lines>
  <Paragraphs>76</Paragraphs>
  <ScaleCrop>false</ScaleCrop>
  <HeadingPairs>
    <vt:vector size="2" baseType="variant">
      <vt:variant>
        <vt:lpstr>Title</vt:lpstr>
      </vt:variant>
      <vt:variant>
        <vt:i4>1</vt:i4>
      </vt:variant>
    </vt:vector>
  </HeadingPairs>
  <TitlesOfParts>
    <vt:vector size="1" baseType="lpstr">
      <vt:lpstr>Modern Slavery and Human Trafficking Statement</vt:lpstr>
    </vt:vector>
  </TitlesOfParts>
  <Manager/>
  <Company>University of Manchester</Company>
  <LinksUpToDate>false</LinksUpToDate>
  <CharactersWithSpaces>20460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Slavery and Human Trafficking Statement</dc:title>
  <dc:subject/>
  <dc:creator>Professional Support Services</dc:creator>
  <cp:keywords/>
  <dc:description/>
  <cp:lastModifiedBy>Kirsty Smith</cp:lastModifiedBy>
  <cp:revision>2</cp:revision>
  <cp:lastPrinted>2018-11-19T09:43:00Z</cp:lastPrinted>
  <dcterms:created xsi:type="dcterms:W3CDTF">2022-03-08T11:50:00Z</dcterms:created>
  <dcterms:modified xsi:type="dcterms:W3CDTF">2022-03-08T11:50:00Z</dcterms:modified>
  <cp:category/>
</cp:coreProperties>
</file>