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E1E" w:rsidRDefault="000902CC" w:rsidP="000902C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902CC">
        <w:rPr>
          <w:b/>
          <w:sz w:val="28"/>
          <w:szCs w:val="28"/>
        </w:rPr>
        <w:t xml:space="preserve">Business </w:t>
      </w:r>
      <w:r>
        <w:rPr>
          <w:b/>
          <w:sz w:val="28"/>
          <w:szCs w:val="28"/>
        </w:rPr>
        <w:t>C</w:t>
      </w:r>
      <w:r w:rsidRPr="000902CC">
        <w:rPr>
          <w:b/>
          <w:sz w:val="28"/>
          <w:szCs w:val="28"/>
        </w:rPr>
        <w:t xml:space="preserve">ontinuity </w:t>
      </w:r>
      <w:r>
        <w:rPr>
          <w:b/>
          <w:sz w:val="28"/>
          <w:szCs w:val="28"/>
        </w:rPr>
        <w:t>P</w:t>
      </w:r>
      <w:r w:rsidRPr="000902CC">
        <w:rPr>
          <w:b/>
          <w:sz w:val="28"/>
          <w:szCs w:val="28"/>
        </w:rPr>
        <w:t xml:space="preserve">lan for </w:t>
      </w:r>
      <w:r>
        <w:rPr>
          <w:b/>
          <w:sz w:val="28"/>
          <w:szCs w:val="28"/>
        </w:rPr>
        <w:t>C</w:t>
      </w:r>
      <w:r w:rsidRPr="000902CC">
        <w:rPr>
          <w:b/>
          <w:sz w:val="28"/>
          <w:szCs w:val="28"/>
        </w:rPr>
        <w:t xml:space="preserve">ritical </w:t>
      </w:r>
      <w:r>
        <w:rPr>
          <w:b/>
          <w:sz w:val="28"/>
          <w:szCs w:val="28"/>
        </w:rPr>
        <w:t>Services during High Levels of Staff A</w:t>
      </w:r>
      <w:r w:rsidRPr="000902CC">
        <w:rPr>
          <w:b/>
          <w:sz w:val="28"/>
          <w:szCs w:val="28"/>
        </w:rPr>
        <w:t>bsence</w:t>
      </w:r>
    </w:p>
    <w:p w:rsidR="004D764B" w:rsidRDefault="004D764B" w:rsidP="000902CC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6"/>
        <w:gridCol w:w="5330"/>
      </w:tblGrid>
      <w:tr w:rsidR="000902CC" w:rsidRPr="009E0A11" w:rsidTr="009E0A11">
        <w:tc>
          <w:tcPr>
            <w:tcW w:w="5126" w:type="dxa"/>
            <w:shd w:val="clear" w:color="auto" w:fill="D0CECE" w:themeFill="background2" w:themeFillShade="E6"/>
          </w:tcPr>
          <w:p w:rsidR="000902CC" w:rsidRPr="009E0A11" w:rsidRDefault="009E0A1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Details of Service</w:t>
            </w:r>
          </w:p>
          <w:p w:rsidR="000902CC" w:rsidRPr="009E0A11" w:rsidRDefault="000902C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30" w:type="dxa"/>
          </w:tcPr>
          <w:p w:rsidR="000902CC" w:rsidRPr="009E0A11" w:rsidRDefault="007A64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Management</w:t>
            </w:r>
            <w:r w:rsidR="00367276">
              <w:rPr>
                <w:rFonts w:cstheme="minorHAnsi"/>
                <w:sz w:val="24"/>
                <w:szCs w:val="24"/>
              </w:rPr>
              <w:t xml:space="preserve"> of Apprenticeship programmes</w:t>
            </w:r>
          </w:p>
        </w:tc>
      </w:tr>
      <w:tr w:rsidR="000902CC" w:rsidRPr="009E0A11" w:rsidTr="009E0A11">
        <w:tc>
          <w:tcPr>
            <w:tcW w:w="5126" w:type="dxa"/>
            <w:shd w:val="clear" w:color="auto" w:fill="D0CECE" w:themeFill="background2" w:themeFillShade="E6"/>
          </w:tcPr>
          <w:p w:rsidR="000902CC" w:rsidRDefault="009E0A11" w:rsidP="009E0A1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Name of Manager of Service &amp; Deputy</w:t>
            </w:r>
          </w:p>
          <w:p w:rsidR="009E0A11" w:rsidRPr="009E0A11" w:rsidRDefault="009E0A11" w:rsidP="009E0A1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30" w:type="dxa"/>
          </w:tcPr>
          <w:p w:rsidR="000902CC" w:rsidRDefault="007A64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Rachel Walton</w:t>
            </w:r>
          </w:p>
          <w:p w:rsidR="002C4129" w:rsidRDefault="007A64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Janine Holdway (Manager of Rachel Walton)</w:t>
            </w:r>
          </w:p>
          <w:p w:rsidR="00367276" w:rsidRDefault="00CA0E31" w:rsidP="00CA0E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Victoria Mansfield</w:t>
            </w:r>
            <w:r w:rsidR="00367276">
              <w:rPr>
                <w:rFonts w:cstheme="minorHAnsi"/>
                <w:sz w:val="24"/>
                <w:szCs w:val="24"/>
              </w:rPr>
              <w:t xml:space="preserve"> AMBS (</w:t>
            </w:r>
            <w:r>
              <w:rPr>
                <w:rFonts w:cstheme="minorHAnsi"/>
                <w:sz w:val="24"/>
                <w:szCs w:val="24"/>
              </w:rPr>
              <w:t>Degree Apprenticeship Manager</w:t>
            </w:r>
            <w:r w:rsidR="002C4129">
              <w:rPr>
                <w:rFonts w:cstheme="minorHAnsi"/>
                <w:sz w:val="24"/>
                <w:szCs w:val="24"/>
              </w:rPr>
              <w:t xml:space="preserve"> and manager of Rebekah Ilsley</w:t>
            </w:r>
            <w:r w:rsidR="00367276">
              <w:rPr>
                <w:rFonts w:cstheme="minorHAnsi"/>
                <w:sz w:val="24"/>
                <w:szCs w:val="24"/>
              </w:rPr>
              <w:t>)</w:t>
            </w:r>
          </w:p>
          <w:p w:rsidR="007A6447" w:rsidRDefault="007A6447" w:rsidP="00CA0E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Kate Julian (Academic Lead for Apprenticeships)</w:t>
            </w:r>
          </w:p>
          <w:p w:rsidR="007A6447" w:rsidRPr="009E0A11" w:rsidRDefault="007A6447" w:rsidP="00CA0E3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E0A11" w:rsidRPr="009E0A11" w:rsidTr="009E0A11">
        <w:tc>
          <w:tcPr>
            <w:tcW w:w="5126" w:type="dxa"/>
            <w:shd w:val="clear" w:color="auto" w:fill="D0CECE" w:themeFill="background2" w:themeFillShade="E6"/>
          </w:tcPr>
          <w:p w:rsidR="009E0A11" w:rsidRPr="009E0A11" w:rsidRDefault="009E0A11" w:rsidP="009E0A11">
            <w:pPr>
              <w:rPr>
                <w:rFonts w:cstheme="minorHAnsi"/>
                <w:b/>
                <w:sz w:val="24"/>
                <w:szCs w:val="24"/>
              </w:rPr>
            </w:pPr>
            <w:r w:rsidRPr="009E0A11">
              <w:rPr>
                <w:rFonts w:cstheme="minorHAnsi"/>
                <w:b/>
                <w:sz w:val="24"/>
                <w:szCs w:val="24"/>
              </w:rPr>
              <w:t>Details of staff c</w:t>
            </w:r>
            <w:r>
              <w:rPr>
                <w:rFonts w:cstheme="minorHAnsi"/>
                <w:b/>
                <w:sz w:val="24"/>
                <w:szCs w:val="24"/>
              </w:rPr>
              <w:t>urrently delivering this service</w:t>
            </w:r>
          </w:p>
          <w:p w:rsidR="009E0A11" w:rsidRPr="009E0A11" w:rsidRDefault="009E0A11" w:rsidP="009E0A11">
            <w:pPr>
              <w:rPr>
                <w:rFonts w:cstheme="minorHAnsi"/>
                <w:b/>
                <w:sz w:val="24"/>
                <w:szCs w:val="24"/>
              </w:rPr>
            </w:pPr>
            <w:r w:rsidRPr="009E0A11">
              <w:rPr>
                <w:rFonts w:cstheme="minorHAnsi"/>
                <w:b/>
                <w:sz w:val="24"/>
                <w:szCs w:val="24"/>
              </w:rPr>
              <w:t>(Names &amp; FTE)</w:t>
            </w:r>
          </w:p>
          <w:p w:rsidR="009E0A11" w:rsidRPr="009E0A11" w:rsidRDefault="009E0A1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30" w:type="dxa"/>
          </w:tcPr>
          <w:p w:rsidR="00367276" w:rsidRDefault="0036727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Rachel Walton (1FTE)</w:t>
            </w:r>
          </w:p>
          <w:p w:rsidR="00CA0E31" w:rsidRDefault="00CA0E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Victoria Mansfield </w:t>
            </w:r>
            <w:r w:rsidR="00D148B7">
              <w:rPr>
                <w:rFonts w:cstheme="minorHAnsi"/>
                <w:sz w:val="24"/>
                <w:szCs w:val="24"/>
              </w:rPr>
              <w:t>(0.8FTE)</w:t>
            </w:r>
          </w:p>
          <w:p w:rsidR="001D42DF" w:rsidRDefault="008A4B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Melissa Corry (1FTE)</w:t>
            </w:r>
          </w:p>
          <w:p w:rsidR="008A4BB7" w:rsidRDefault="008A4B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Stuart Marshall (1FTE)</w:t>
            </w:r>
          </w:p>
          <w:p w:rsidR="008A4BB7" w:rsidRDefault="008A4B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Janak Patel (1FTE)</w:t>
            </w:r>
          </w:p>
          <w:p w:rsidR="008A4BB7" w:rsidRDefault="008A4B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Kate Julian (1FTE)</w:t>
            </w:r>
          </w:p>
          <w:p w:rsidR="007A6447" w:rsidRPr="009E0A11" w:rsidRDefault="007A644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6447" w:rsidRPr="009E0A11" w:rsidTr="009E0A11">
        <w:tc>
          <w:tcPr>
            <w:tcW w:w="5126" w:type="dxa"/>
            <w:shd w:val="clear" w:color="auto" w:fill="D0CECE" w:themeFill="background2" w:themeFillShade="E6"/>
          </w:tcPr>
          <w:p w:rsidR="007A6447" w:rsidRPr="009E0A11" w:rsidRDefault="007A6447" w:rsidP="009E0A1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External Contacts</w:t>
            </w:r>
          </w:p>
        </w:tc>
        <w:tc>
          <w:tcPr>
            <w:tcW w:w="5330" w:type="dxa"/>
          </w:tcPr>
          <w:p w:rsidR="007A6447" w:rsidRDefault="007A644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 xml:space="preserve">Rachel Barker, ESFA, </w:t>
            </w:r>
            <w:r w:rsidRPr="007A6447">
              <w:rPr>
                <w:rFonts w:cstheme="minorHAnsi"/>
                <w:sz w:val="24"/>
                <w:szCs w:val="24"/>
                <w:lang w:val="en-US"/>
              </w:rPr>
              <w:t>Manager – Greater Manchester, Cheshire and Warrington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hyperlink r:id="rId5" w:history="1">
              <w:r w:rsidRPr="007A6447">
                <w:rPr>
                  <w:rStyle w:val="Hyperlink"/>
                  <w:rFonts w:cstheme="minorHAnsi"/>
                  <w:sz w:val="24"/>
                  <w:szCs w:val="24"/>
                  <w:lang w:val="en-US"/>
                </w:rPr>
                <w:t>Rachel1.Barker@education.gov.uk</w:t>
              </w:r>
            </w:hyperlink>
            <w:r w:rsidRPr="007A6447">
              <w:rPr>
                <w:rFonts w:cstheme="minorHAnsi"/>
                <w:sz w:val="24"/>
                <w:szCs w:val="24"/>
              </w:rPr>
              <w:t xml:space="preserve"> </w:t>
            </w:r>
            <w:r w:rsidRPr="007A6447">
              <w:rPr>
                <w:rFonts w:cstheme="minorHAnsi"/>
                <w:b/>
                <w:bCs/>
                <w:sz w:val="24"/>
                <w:szCs w:val="24"/>
                <w:lang w:val="en-US"/>
              </w:rPr>
              <w:t>M:</w:t>
            </w:r>
            <w:r w:rsidRPr="007A6447">
              <w:rPr>
                <w:rFonts w:cstheme="minorHAnsi"/>
                <w:sz w:val="24"/>
                <w:szCs w:val="24"/>
                <w:lang w:val="en-US"/>
              </w:rPr>
              <w:t xml:space="preserve"> 0744 329 2216</w:t>
            </w:r>
          </w:p>
          <w:p w:rsidR="007A6447" w:rsidRDefault="007A644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902CC" w:rsidRPr="009E0A11" w:rsidTr="009E0A11">
        <w:tc>
          <w:tcPr>
            <w:tcW w:w="5126" w:type="dxa"/>
            <w:shd w:val="clear" w:color="auto" w:fill="D0CECE" w:themeFill="background2" w:themeFillShade="E6"/>
          </w:tcPr>
          <w:p w:rsidR="000902CC" w:rsidRPr="000902CC" w:rsidRDefault="00991B47" w:rsidP="000902CC">
            <w:pP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Initial Response</w:t>
            </w:r>
          </w:p>
          <w:p w:rsidR="000902CC" w:rsidRPr="009E0A11" w:rsidRDefault="000902C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30" w:type="dxa"/>
          </w:tcPr>
          <w:p w:rsidR="004D764B" w:rsidRDefault="004D764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Apprenticeship Programmes will respond to major incidents </w:t>
            </w:r>
            <w:r w:rsidR="008A4BB7">
              <w:rPr>
                <w:rFonts w:cstheme="minorHAnsi"/>
                <w:sz w:val="24"/>
                <w:szCs w:val="24"/>
              </w:rPr>
              <w:t>and adopt the business continuity plan in line with</w:t>
            </w:r>
            <w:r>
              <w:rPr>
                <w:rFonts w:cstheme="minorHAnsi"/>
                <w:sz w:val="24"/>
                <w:szCs w:val="24"/>
              </w:rPr>
              <w:t xml:space="preserve"> ‘standard’ taught degree programmes and the application of the University Bus</w:t>
            </w:r>
            <w:r w:rsidR="008A4BB7">
              <w:rPr>
                <w:rFonts w:cstheme="minorHAnsi"/>
                <w:sz w:val="24"/>
                <w:szCs w:val="24"/>
              </w:rPr>
              <w:t>iness Continuity Plan and Faculty Operations Business Continuity Plans for teaching will also apply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  <w:p w:rsidR="003826B7" w:rsidRDefault="003826B7">
            <w:pPr>
              <w:rPr>
                <w:rFonts w:cstheme="minorHAnsi"/>
                <w:sz w:val="24"/>
                <w:szCs w:val="24"/>
              </w:rPr>
            </w:pPr>
          </w:p>
          <w:p w:rsidR="004D764B" w:rsidRPr="004D764B" w:rsidRDefault="004D764B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4D764B">
              <w:rPr>
                <w:rFonts w:cstheme="minorHAnsi"/>
                <w:sz w:val="24"/>
                <w:szCs w:val="24"/>
                <w:u w:val="single"/>
              </w:rPr>
              <w:t>Apprenticeship Specific Responses</w:t>
            </w:r>
          </w:p>
          <w:p w:rsidR="004D764B" w:rsidRDefault="00991B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Programme Manager to wo</w:t>
            </w:r>
            <w:r w:rsidR="00D148B7">
              <w:rPr>
                <w:rFonts w:cstheme="minorHAnsi"/>
                <w:sz w:val="24"/>
                <w:szCs w:val="24"/>
              </w:rPr>
              <w:t xml:space="preserve">rk with the programme teams to explore the practical management of the programme in terms of how apprentices can continue their studies in line </w:t>
            </w:r>
            <w:r w:rsidR="001E2ED8">
              <w:rPr>
                <w:rFonts w:cstheme="minorHAnsi"/>
                <w:sz w:val="24"/>
                <w:szCs w:val="24"/>
              </w:rPr>
              <w:t xml:space="preserve">with </w:t>
            </w:r>
            <w:r w:rsidR="00D148B7">
              <w:rPr>
                <w:rFonts w:cstheme="minorHAnsi"/>
                <w:sz w:val="24"/>
                <w:szCs w:val="24"/>
              </w:rPr>
              <w:t>changing employer situations.</w:t>
            </w:r>
            <w:r w:rsidR="00DF6AE3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4D764B" w:rsidRDefault="004D764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Work</w:t>
            </w:r>
            <w:r w:rsidR="00DF6AE3">
              <w:rPr>
                <w:rFonts w:cstheme="minorHAnsi"/>
                <w:sz w:val="24"/>
                <w:szCs w:val="24"/>
              </w:rPr>
              <w:t xml:space="preserve"> with the Programme Director and Executive Director</w:t>
            </w:r>
            <w:r w:rsidR="000B1872">
              <w:rPr>
                <w:rFonts w:cstheme="minorHAnsi"/>
                <w:sz w:val="24"/>
                <w:szCs w:val="24"/>
              </w:rPr>
              <w:t xml:space="preserve"> Client Relations to ascertain whether cohorts will be continuing or whether students will be taking a break in learning.</w:t>
            </w:r>
          </w:p>
          <w:p w:rsidR="00D148B7" w:rsidRDefault="004D764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QA Manager to </w:t>
            </w:r>
            <w:r w:rsidR="00D148B7">
              <w:rPr>
                <w:rFonts w:cstheme="minorHAnsi"/>
                <w:sz w:val="24"/>
                <w:szCs w:val="24"/>
              </w:rPr>
              <w:t>respond</w:t>
            </w:r>
            <w:r>
              <w:rPr>
                <w:rFonts w:cstheme="minorHAnsi"/>
                <w:sz w:val="24"/>
                <w:szCs w:val="24"/>
              </w:rPr>
              <w:t xml:space="preserve"> to and liaise</w:t>
            </w:r>
            <w:r w:rsidR="00D148B7">
              <w:rPr>
                <w:rFonts w:cstheme="minorHAnsi"/>
                <w:sz w:val="24"/>
                <w:szCs w:val="24"/>
              </w:rPr>
              <w:t xml:space="preserve"> with the ESFA and other training providers around how funding rules should be implemented in </w:t>
            </w:r>
            <w:r>
              <w:rPr>
                <w:rFonts w:cstheme="minorHAnsi"/>
                <w:sz w:val="24"/>
                <w:szCs w:val="24"/>
              </w:rPr>
              <w:t>light of major incident/</w:t>
            </w:r>
            <w:r w:rsidR="00D148B7">
              <w:rPr>
                <w:rFonts w:cstheme="minorHAnsi"/>
                <w:sz w:val="24"/>
                <w:szCs w:val="24"/>
              </w:rPr>
              <w:t>the current</w:t>
            </w:r>
            <w:r>
              <w:rPr>
                <w:rFonts w:cstheme="minorHAnsi"/>
                <w:sz w:val="24"/>
                <w:szCs w:val="24"/>
              </w:rPr>
              <w:t xml:space="preserve"> situation and how </w:t>
            </w:r>
            <w:r w:rsidR="00D148B7">
              <w:rPr>
                <w:rFonts w:cstheme="minorHAnsi"/>
                <w:sz w:val="24"/>
                <w:szCs w:val="24"/>
              </w:rPr>
              <w:t>will impact future cohorts, changes to funding rules and compliance</w:t>
            </w:r>
            <w:r w:rsidR="001D42DF">
              <w:rPr>
                <w:rFonts w:cstheme="minorHAnsi"/>
                <w:sz w:val="24"/>
                <w:szCs w:val="24"/>
              </w:rPr>
              <w:t>.</w:t>
            </w:r>
          </w:p>
          <w:p w:rsidR="001D42DF" w:rsidRDefault="001D42DF">
            <w:pPr>
              <w:rPr>
                <w:rFonts w:cstheme="minorHAnsi"/>
                <w:sz w:val="24"/>
                <w:szCs w:val="24"/>
              </w:rPr>
            </w:pPr>
          </w:p>
          <w:p w:rsidR="001D42DF" w:rsidRPr="009E0A11" w:rsidRDefault="001D42DF" w:rsidP="001D42D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902CC" w:rsidRPr="009E0A11" w:rsidTr="009E0A11">
        <w:tc>
          <w:tcPr>
            <w:tcW w:w="5126" w:type="dxa"/>
            <w:shd w:val="clear" w:color="auto" w:fill="D0CECE" w:themeFill="background2" w:themeFillShade="E6"/>
          </w:tcPr>
          <w:p w:rsidR="000902CC" w:rsidRPr="000902CC" w:rsidRDefault="000902CC" w:rsidP="000902CC">
            <w:pP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0902CC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How many staff do you need to maintain acceptable</w:t>
            </w:r>
            <w:r w:rsidRPr="009E0A11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 </w:t>
            </w:r>
            <w:r w:rsidRPr="000902CC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service levels? </w:t>
            </w:r>
          </w:p>
          <w:p w:rsidR="000902CC" w:rsidRPr="009E0A11" w:rsidRDefault="000902C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30" w:type="dxa"/>
          </w:tcPr>
          <w:p w:rsidR="000902CC" w:rsidRPr="00F71692" w:rsidRDefault="00F71692">
            <w:pPr>
              <w:rPr>
                <w:rFonts w:cstheme="minorHAnsi"/>
                <w:b/>
                <w:sz w:val="24"/>
                <w:szCs w:val="24"/>
              </w:rPr>
            </w:pPr>
            <w:r w:rsidRPr="00F71692">
              <w:rPr>
                <w:rFonts w:cstheme="minorHAnsi"/>
                <w:b/>
                <w:sz w:val="24"/>
                <w:szCs w:val="24"/>
              </w:rPr>
              <w:t>Apprenticeship administration:</w:t>
            </w:r>
          </w:p>
          <w:p w:rsidR="00F71692" w:rsidRDefault="00F716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Rachel Walton</w:t>
            </w:r>
            <w:r w:rsidR="00E05870">
              <w:rPr>
                <w:rFonts w:cstheme="minorHAnsi"/>
                <w:sz w:val="24"/>
                <w:szCs w:val="24"/>
              </w:rPr>
              <w:t xml:space="preserve"> – quality assurance and approvals</w:t>
            </w:r>
          </w:p>
          <w:p w:rsidR="00F71692" w:rsidRDefault="00F716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Victoria Mansfield – operations</w:t>
            </w:r>
          </w:p>
          <w:p w:rsidR="00F71692" w:rsidRDefault="00713C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One other</w:t>
            </w:r>
            <w:r w:rsidR="00442D2E">
              <w:rPr>
                <w:rFonts w:cstheme="minorHAnsi"/>
                <w:sz w:val="24"/>
                <w:szCs w:val="24"/>
              </w:rPr>
              <w:t xml:space="preserve"> </w:t>
            </w:r>
            <w:r w:rsidR="00F71692">
              <w:rPr>
                <w:rFonts w:cstheme="minorHAnsi"/>
                <w:sz w:val="24"/>
                <w:szCs w:val="24"/>
              </w:rPr>
              <w:t>trained member o</w:t>
            </w:r>
            <w:r w:rsidR="00C525EB">
              <w:rPr>
                <w:rFonts w:cstheme="minorHAnsi"/>
                <w:sz w:val="24"/>
                <w:szCs w:val="24"/>
              </w:rPr>
              <w:t xml:space="preserve">f staff </w:t>
            </w:r>
            <w:r>
              <w:rPr>
                <w:rFonts w:cstheme="minorHAnsi"/>
                <w:sz w:val="24"/>
                <w:szCs w:val="24"/>
              </w:rPr>
              <w:t>is</w:t>
            </w:r>
            <w:r w:rsidR="003A5DA1">
              <w:rPr>
                <w:rFonts w:cstheme="minorHAnsi"/>
                <w:sz w:val="24"/>
                <w:szCs w:val="24"/>
              </w:rPr>
              <w:t xml:space="preserve"> requested</w:t>
            </w:r>
            <w:r w:rsidR="00F71692">
              <w:rPr>
                <w:rFonts w:cstheme="minorHAnsi"/>
                <w:sz w:val="24"/>
                <w:szCs w:val="24"/>
              </w:rPr>
              <w:t xml:space="preserve"> in Apprenticeship Administration operations, </w:t>
            </w:r>
            <w:r w:rsidR="00113618">
              <w:rPr>
                <w:rFonts w:cstheme="minorHAnsi"/>
                <w:sz w:val="24"/>
                <w:szCs w:val="24"/>
              </w:rPr>
              <w:t>at least</w:t>
            </w:r>
            <w:r w:rsidR="00F71692">
              <w:rPr>
                <w:rFonts w:cstheme="minorHAnsi"/>
                <w:sz w:val="24"/>
                <w:szCs w:val="24"/>
              </w:rPr>
              <w:t xml:space="preserve"> until an </w:t>
            </w:r>
            <w:r w:rsidR="000B1872">
              <w:rPr>
                <w:rFonts w:cstheme="minorHAnsi"/>
                <w:sz w:val="24"/>
                <w:szCs w:val="24"/>
              </w:rPr>
              <w:t xml:space="preserve">apprenticeship </w:t>
            </w:r>
            <w:r w:rsidR="00F71692">
              <w:rPr>
                <w:rFonts w:cstheme="minorHAnsi"/>
                <w:sz w:val="24"/>
                <w:szCs w:val="24"/>
              </w:rPr>
              <w:t>M</w:t>
            </w:r>
            <w:r w:rsidR="000B1872">
              <w:rPr>
                <w:rFonts w:cstheme="minorHAnsi"/>
                <w:sz w:val="24"/>
                <w:szCs w:val="24"/>
              </w:rPr>
              <w:t>anagement Information</w:t>
            </w:r>
            <w:r w:rsidR="00F71692">
              <w:rPr>
                <w:rFonts w:cstheme="minorHAnsi"/>
                <w:sz w:val="24"/>
                <w:szCs w:val="24"/>
              </w:rPr>
              <w:t xml:space="preserve"> system is fully in effect</w:t>
            </w:r>
            <w:r w:rsidR="00113618">
              <w:rPr>
                <w:rFonts w:cstheme="minorHAnsi"/>
                <w:sz w:val="24"/>
                <w:szCs w:val="24"/>
              </w:rPr>
              <w:t>, at which point requirements can be reviewed</w:t>
            </w:r>
            <w:r w:rsidR="00F71692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There are currently three staff being trained up from Executive Education</w:t>
            </w:r>
            <w:r w:rsidR="00FC0F80">
              <w:rPr>
                <w:rFonts w:cstheme="minorHAnsi"/>
                <w:sz w:val="24"/>
                <w:szCs w:val="24"/>
              </w:rPr>
              <w:t xml:space="preserve"> to work on Programme Management, one of whom may be able to help with admissions, which falls under the remit of Apprenticeship Administration</w:t>
            </w:r>
            <w:r>
              <w:rPr>
                <w:rFonts w:cstheme="minorHAnsi"/>
                <w:sz w:val="24"/>
                <w:szCs w:val="24"/>
              </w:rPr>
              <w:t>. However, they are new to the programme, so will take several weeks to be 100% operationally effective.</w:t>
            </w:r>
          </w:p>
          <w:p w:rsidR="00C525EB" w:rsidRDefault="00C525EB">
            <w:pPr>
              <w:rPr>
                <w:rFonts w:cstheme="minorHAnsi"/>
                <w:b/>
                <w:sz w:val="24"/>
                <w:szCs w:val="24"/>
              </w:rPr>
            </w:pPr>
          </w:p>
          <w:p w:rsidR="00C525EB" w:rsidRPr="00C525EB" w:rsidRDefault="00C525EB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C525EB">
              <w:rPr>
                <w:rFonts w:cstheme="minorHAnsi"/>
                <w:b/>
                <w:sz w:val="24"/>
                <w:szCs w:val="24"/>
                <w:u w:val="single"/>
              </w:rPr>
              <w:t>Other teams involved in delivery:</w:t>
            </w:r>
          </w:p>
          <w:p w:rsidR="00F71692" w:rsidRPr="00F71692" w:rsidRDefault="001D42D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Programme </w:t>
            </w:r>
            <w:r w:rsidR="00C525EB">
              <w:rPr>
                <w:rFonts w:cstheme="minorHAnsi"/>
                <w:b/>
                <w:sz w:val="24"/>
                <w:szCs w:val="24"/>
              </w:rPr>
              <w:t>T</w:t>
            </w:r>
            <w:r>
              <w:rPr>
                <w:rFonts w:cstheme="minorHAnsi"/>
                <w:b/>
                <w:sz w:val="24"/>
                <w:szCs w:val="24"/>
              </w:rPr>
              <w:t>eams</w:t>
            </w:r>
            <w:r w:rsidR="00F71692" w:rsidRPr="00F71692"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F71692" w:rsidRDefault="00F71692" w:rsidP="00F716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MSc Management Practice</w:t>
            </w:r>
            <w:r w:rsidR="00E866CC">
              <w:rPr>
                <w:rFonts w:cstheme="minorHAnsi"/>
                <w:sz w:val="24"/>
                <w:szCs w:val="24"/>
              </w:rPr>
              <w:t>/PGDip Management Practice</w:t>
            </w:r>
            <w:r>
              <w:rPr>
                <w:rFonts w:cstheme="minorHAnsi"/>
                <w:sz w:val="24"/>
                <w:szCs w:val="24"/>
              </w:rPr>
              <w:t xml:space="preserve"> programme team</w:t>
            </w:r>
          </w:p>
          <w:p w:rsidR="00F71692" w:rsidRDefault="00F71692" w:rsidP="00F716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Global MBA programme team</w:t>
            </w:r>
          </w:p>
          <w:p w:rsidR="00E866CC" w:rsidRDefault="00E866CC" w:rsidP="00F716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MSc Healthcare Leadership programme team</w:t>
            </w:r>
          </w:p>
          <w:p w:rsidR="00F71692" w:rsidRDefault="00F71692" w:rsidP="00F716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(Programme teams include an</w:t>
            </w:r>
            <w:r w:rsidR="00113618">
              <w:rPr>
                <w:rFonts w:cstheme="minorHAnsi"/>
                <w:sz w:val="24"/>
                <w:szCs w:val="24"/>
              </w:rPr>
              <w:t xml:space="preserve"> apprenticeship-specific role -</w:t>
            </w:r>
            <w:r>
              <w:rPr>
                <w:rFonts w:cstheme="minorHAnsi"/>
                <w:sz w:val="24"/>
                <w:szCs w:val="24"/>
              </w:rPr>
              <w:t xml:space="preserve"> Practice Based Tutors</w:t>
            </w:r>
            <w:r w:rsidR="00DF6AE3">
              <w:rPr>
                <w:rFonts w:cstheme="minorHAnsi"/>
                <w:sz w:val="24"/>
                <w:szCs w:val="24"/>
              </w:rPr>
              <w:t xml:space="preserve"> (PBT’s) There are currently 3 PBT’s</w:t>
            </w:r>
            <w:r>
              <w:rPr>
                <w:rFonts w:cstheme="minorHAnsi"/>
                <w:sz w:val="24"/>
                <w:szCs w:val="24"/>
              </w:rPr>
              <w:t>)</w:t>
            </w:r>
            <w:r w:rsidR="00442D2E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13618" w:rsidRDefault="00113618" w:rsidP="00F71692">
            <w:pPr>
              <w:rPr>
                <w:rFonts w:cstheme="minorHAnsi"/>
                <w:b/>
                <w:sz w:val="24"/>
                <w:szCs w:val="24"/>
              </w:rPr>
            </w:pPr>
            <w:r w:rsidRPr="00113618">
              <w:rPr>
                <w:rFonts w:cstheme="minorHAnsi"/>
                <w:b/>
                <w:sz w:val="24"/>
                <w:szCs w:val="24"/>
              </w:rPr>
              <w:t xml:space="preserve">Business </w:t>
            </w:r>
            <w:r w:rsidR="00C525EB">
              <w:rPr>
                <w:rFonts w:cstheme="minorHAnsi"/>
                <w:b/>
                <w:sz w:val="24"/>
                <w:szCs w:val="24"/>
              </w:rPr>
              <w:t>D</w:t>
            </w:r>
            <w:r w:rsidRPr="00113618">
              <w:rPr>
                <w:rFonts w:cstheme="minorHAnsi"/>
                <w:b/>
                <w:sz w:val="24"/>
                <w:szCs w:val="24"/>
              </w:rPr>
              <w:t xml:space="preserve">evelopment and </w:t>
            </w:r>
            <w:r w:rsidR="00C525EB">
              <w:rPr>
                <w:rFonts w:cstheme="minorHAnsi"/>
                <w:b/>
                <w:sz w:val="24"/>
                <w:szCs w:val="24"/>
              </w:rPr>
              <w:t>M</w:t>
            </w:r>
            <w:r w:rsidRPr="00113618">
              <w:rPr>
                <w:rFonts w:cstheme="minorHAnsi"/>
                <w:b/>
                <w:sz w:val="24"/>
                <w:szCs w:val="24"/>
              </w:rPr>
              <w:t>arketing:</w:t>
            </w:r>
          </w:p>
          <w:p w:rsidR="00113618" w:rsidRDefault="00113618" w:rsidP="00F716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Marketing team for MSc</w:t>
            </w:r>
            <w:r w:rsidR="00DF6AE3">
              <w:rPr>
                <w:rFonts w:cstheme="minorHAnsi"/>
                <w:sz w:val="24"/>
                <w:szCs w:val="24"/>
              </w:rPr>
              <w:t xml:space="preserve"> – Joanne Blain</w:t>
            </w:r>
          </w:p>
          <w:p w:rsidR="00113618" w:rsidRDefault="00113618" w:rsidP="00F716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Business development team for MSc </w:t>
            </w:r>
            <w:r w:rsidR="00DF6AE3">
              <w:rPr>
                <w:rFonts w:cstheme="minorHAnsi"/>
                <w:sz w:val="24"/>
                <w:szCs w:val="24"/>
              </w:rPr>
              <w:t>– Stuart Wells &amp; Jill Ingham</w:t>
            </w:r>
          </w:p>
          <w:p w:rsidR="001D42DF" w:rsidRPr="001D42DF" w:rsidRDefault="00113618" w:rsidP="00F716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Marketing &amp; Recruitment</w:t>
            </w:r>
            <w:r w:rsidR="001D42DF">
              <w:rPr>
                <w:rFonts w:cstheme="minorHAnsi"/>
                <w:sz w:val="24"/>
                <w:szCs w:val="24"/>
              </w:rPr>
              <w:t xml:space="preserve"> team for Global MBA</w:t>
            </w:r>
            <w:r w:rsidR="00DF6AE3">
              <w:rPr>
                <w:rFonts w:cstheme="minorHAnsi"/>
                <w:sz w:val="24"/>
                <w:szCs w:val="24"/>
              </w:rPr>
              <w:t xml:space="preserve"> – Chris Healy</w:t>
            </w:r>
          </w:p>
          <w:p w:rsidR="001D42DF" w:rsidRPr="001D42DF" w:rsidRDefault="001D42DF" w:rsidP="00F71692">
            <w:pPr>
              <w:rPr>
                <w:rFonts w:cstheme="minorHAnsi"/>
                <w:b/>
                <w:sz w:val="24"/>
                <w:szCs w:val="24"/>
              </w:rPr>
            </w:pPr>
            <w:r w:rsidRPr="001D42DF">
              <w:rPr>
                <w:rFonts w:cstheme="minorHAnsi"/>
                <w:b/>
                <w:sz w:val="24"/>
                <w:szCs w:val="24"/>
              </w:rPr>
              <w:t>Contracts</w:t>
            </w:r>
            <w:r>
              <w:rPr>
                <w:rFonts w:cstheme="minorHAnsi"/>
                <w:b/>
                <w:sz w:val="24"/>
                <w:szCs w:val="24"/>
              </w:rPr>
              <w:t xml:space="preserve"> Management</w:t>
            </w:r>
            <w:r w:rsidRPr="001D42DF"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1D42DF" w:rsidRDefault="001D42DF" w:rsidP="00F716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 Lewis</w:t>
            </w:r>
          </w:p>
          <w:p w:rsidR="001D42DF" w:rsidRPr="001D42DF" w:rsidRDefault="001D42DF" w:rsidP="00F7169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Student </w:t>
            </w:r>
            <w:r w:rsidRPr="001D42DF">
              <w:rPr>
                <w:rFonts w:cstheme="minorHAnsi"/>
                <w:b/>
                <w:sz w:val="24"/>
                <w:szCs w:val="24"/>
              </w:rPr>
              <w:t>Fees/</w:t>
            </w:r>
            <w:r>
              <w:rPr>
                <w:rFonts w:cstheme="minorHAnsi"/>
                <w:b/>
                <w:sz w:val="24"/>
                <w:szCs w:val="24"/>
              </w:rPr>
              <w:t>Invoicing</w:t>
            </w:r>
            <w:r w:rsidRPr="001D42DF"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1D42DF" w:rsidRDefault="001D42DF" w:rsidP="00F716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June Roche</w:t>
            </w:r>
          </w:p>
          <w:p w:rsidR="001D42DF" w:rsidRDefault="001D42DF" w:rsidP="00F716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Jade </w:t>
            </w:r>
            <w:r w:rsidRPr="001D42DF">
              <w:rPr>
                <w:rFonts w:cstheme="minorHAnsi"/>
                <w:sz w:val="24"/>
                <w:szCs w:val="24"/>
              </w:rPr>
              <w:t>Barrett</w:t>
            </w:r>
          </w:p>
          <w:p w:rsidR="001D42DF" w:rsidRDefault="001D42DF" w:rsidP="00F716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Will Gregory</w:t>
            </w:r>
          </w:p>
          <w:p w:rsidR="001D42DF" w:rsidRPr="00113618" w:rsidRDefault="001D42DF" w:rsidP="00F716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Patrick Ryan</w:t>
            </w:r>
          </w:p>
        </w:tc>
      </w:tr>
      <w:tr w:rsidR="000902CC" w:rsidRPr="009E0A11" w:rsidTr="009E0A11">
        <w:tc>
          <w:tcPr>
            <w:tcW w:w="5126" w:type="dxa"/>
            <w:shd w:val="clear" w:color="auto" w:fill="D0CECE" w:themeFill="background2" w:themeFillShade="E6"/>
          </w:tcPr>
          <w:p w:rsidR="000902CC" w:rsidRPr="000902CC" w:rsidRDefault="000902CC" w:rsidP="000902CC">
            <w:pPr>
              <w:tabs>
                <w:tab w:val="center" w:pos="3079"/>
              </w:tabs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0902CC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lastRenderedPageBreak/>
              <w:t>Is the service dependent on a key individual(s)?</w:t>
            </w:r>
          </w:p>
          <w:p w:rsidR="000902CC" w:rsidRPr="009E0A11" w:rsidRDefault="000902C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30" w:type="dxa"/>
          </w:tcPr>
          <w:p w:rsidR="000902CC" w:rsidRDefault="0036727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  <w:p w:rsidR="00367276" w:rsidRDefault="0036727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Rachel Walton</w:t>
            </w:r>
          </w:p>
          <w:p w:rsidR="00E866CC" w:rsidRPr="009E0A11" w:rsidRDefault="00404A0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Victoria Mansfield</w:t>
            </w:r>
          </w:p>
        </w:tc>
      </w:tr>
      <w:tr w:rsidR="000902CC" w:rsidRPr="009E0A11" w:rsidTr="009E0A11">
        <w:tc>
          <w:tcPr>
            <w:tcW w:w="5126" w:type="dxa"/>
            <w:shd w:val="clear" w:color="auto" w:fill="D0CECE" w:themeFill="background2" w:themeFillShade="E6"/>
          </w:tcPr>
          <w:p w:rsidR="000902CC" w:rsidRPr="009E0A11" w:rsidRDefault="000902CC" w:rsidP="000902CC">
            <w:pP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9E0A11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Is the service dependent on access to key IT systems/files? </w:t>
            </w:r>
          </w:p>
          <w:p w:rsidR="000902CC" w:rsidRPr="009E0A11" w:rsidRDefault="000902CC" w:rsidP="000902CC">
            <w:pP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</w:tc>
        <w:tc>
          <w:tcPr>
            <w:tcW w:w="5330" w:type="dxa"/>
          </w:tcPr>
          <w:p w:rsidR="000902CC" w:rsidRDefault="004D764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 for completion of, Apprenticeship Records</w:t>
            </w:r>
            <w:r w:rsidR="00404A04">
              <w:rPr>
                <w:rFonts w:cstheme="minorHAnsi"/>
                <w:sz w:val="24"/>
                <w:szCs w:val="24"/>
              </w:rPr>
              <w:t xml:space="preserve"> ILRs and ESFA documentation.</w:t>
            </w:r>
          </w:p>
          <w:p w:rsidR="001E2ED8" w:rsidRDefault="004D764B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Aptem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(Ap</w:t>
            </w:r>
            <w:r w:rsidR="00E866CC">
              <w:rPr>
                <w:rFonts w:cstheme="minorHAnsi"/>
                <w:sz w:val="24"/>
                <w:szCs w:val="24"/>
              </w:rPr>
              <w:t xml:space="preserve">prenticeship Management System), </w:t>
            </w:r>
            <w:proofErr w:type="spellStart"/>
            <w:r w:rsidR="00E866CC">
              <w:rPr>
                <w:rFonts w:cstheme="minorHAnsi"/>
                <w:sz w:val="24"/>
                <w:szCs w:val="24"/>
              </w:rPr>
              <w:t>Pebblepad</w:t>
            </w:r>
            <w:proofErr w:type="spellEnd"/>
            <w:r w:rsidR="00E866CC">
              <w:rPr>
                <w:rFonts w:cstheme="minorHAnsi"/>
                <w:sz w:val="24"/>
                <w:szCs w:val="24"/>
              </w:rPr>
              <w:t xml:space="preserve">, </w:t>
            </w:r>
            <w:r w:rsidR="001E2ED8">
              <w:rPr>
                <w:rFonts w:cstheme="minorHAnsi"/>
                <w:sz w:val="24"/>
                <w:szCs w:val="24"/>
              </w:rPr>
              <w:t xml:space="preserve">Outlook, Word, </w:t>
            </w:r>
            <w:r w:rsidR="00DF6AE3">
              <w:rPr>
                <w:rFonts w:cstheme="minorHAnsi"/>
                <w:sz w:val="24"/>
                <w:szCs w:val="24"/>
              </w:rPr>
              <w:t xml:space="preserve">Salesforce, </w:t>
            </w:r>
            <w:r w:rsidR="00113618">
              <w:rPr>
                <w:rFonts w:cstheme="minorHAnsi"/>
                <w:sz w:val="24"/>
                <w:szCs w:val="24"/>
              </w:rPr>
              <w:t xml:space="preserve">Excel, </w:t>
            </w:r>
            <w:r w:rsidR="001E2ED8">
              <w:rPr>
                <w:rFonts w:cstheme="minorHAnsi"/>
                <w:sz w:val="24"/>
                <w:szCs w:val="24"/>
              </w:rPr>
              <w:t xml:space="preserve">Go To Meeting, </w:t>
            </w:r>
            <w:proofErr w:type="spellStart"/>
            <w:r w:rsidR="00113618">
              <w:rPr>
                <w:rFonts w:cstheme="minorHAnsi"/>
                <w:sz w:val="24"/>
                <w:szCs w:val="24"/>
              </w:rPr>
              <w:t>Qualtrics</w:t>
            </w:r>
            <w:proofErr w:type="spellEnd"/>
            <w:r w:rsidR="00113618">
              <w:rPr>
                <w:rFonts w:cstheme="minorHAnsi"/>
                <w:sz w:val="24"/>
                <w:szCs w:val="24"/>
              </w:rPr>
              <w:t xml:space="preserve">, </w:t>
            </w:r>
            <w:r w:rsidR="001E2ED8">
              <w:rPr>
                <w:rFonts w:cstheme="minorHAnsi"/>
                <w:sz w:val="24"/>
                <w:szCs w:val="24"/>
              </w:rPr>
              <w:t>ESFA Hub</w:t>
            </w:r>
            <w:r w:rsidR="00113618">
              <w:rPr>
                <w:rFonts w:cstheme="minorHAnsi"/>
                <w:sz w:val="24"/>
                <w:szCs w:val="24"/>
              </w:rPr>
              <w:t>, Dropbox for Business, Office 365 online, Campus Solutions 9.0 and 9.2 (AMBS pilot version), Student Document Centre</w:t>
            </w:r>
          </w:p>
          <w:p w:rsidR="00E866CC" w:rsidRDefault="00E866CC">
            <w:pPr>
              <w:rPr>
                <w:rFonts w:cstheme="minorHAnsi"/>
                <w:sz w:val="24"/>
                <w:szCs w:val="24"/>
              </w:rPr>
            </w:pPr>
          </w:p>
          <w:p w:rsidR="00E866CC" w:rsidRDefault="00E866C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Remote Access is available to apprentices as standard. </w:t>
            </w:r>
          </w:p>
          <w:p w:rsidR="00404A04" w:rsidRPr="009E0A11" w:rsidRDefault="00404A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902CC" w:rsidRPr="009E0A11" w:rsidTr="009E0A11">
        <w:tc>
          <w:tcPr>
            <w:tcW w:w="5126" w:type="dxa"/>
            <w:shd w:val="clear" w:color="auto" w:fill="D0CECE" w:themeFill="background2" w:themeFillShade="E6"/>
          </w:tcPr>
          <w:p w:rsidR="000902CC" w:rsidRPr="009E0A11" w:rsidRDefault="000902CC" w:rsidP="000902CC">
            <w:pP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9E0A11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Are there process documents/training guides for delivering of this service? If so, please list and attach as annexes. </w:t>
            </w:r>
          </w:p>
          <w:p w:rsidR="000902CC" w:rsidRPr="009E0A11" w:rsidRDefault="000902CC" w:rsidP="000902CC">
            <w:pP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</w:tc>
        <w:tc>
          <w:tcPr>
            <w:tcW w:w="5330" w:type="dxa"/>
          </w:tcPr>
          <w:p w:rsidR="004D764B" w:rsidRDefault="004D764B" w:rsidP="00DF6AE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Yes. All documentation pertaining to the policy and running of apprenticeship provision is available on the </w:t>
            </w:r>
            <w:proofErr w:type="spellStart"/>
            <w:r>
              <w:rPr>
                <w:rFonts w:cstheme="minorHAnsi"/>
                <w:sz w:val="24"/>
                <w:szCs w:val="24"/>
              </w:rPr>
              <w:t>staffnet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pages </w:t>
            </w:r>
          </w:p>
          <w:p w:rsidR="004D764B" w:rsidRDefault="00C00233" w:rsidP="00DF6AE3">
            <w:pPr>
              <w:rPr>
                <w:rFonts w:cstheme="minorHAnsi"/>
                <w:sz w:val="24"/>
                <w:szCs w:val="24"/>
              </w:rPr>
            </w:pPr>
            <w:hyperlink r:id="rId6" w:history="1">
              <w:r w:rsidR="004D764B" w:rsidRPr="000D02A1">
                <w:rPr>
                  <w:rStyle w:val="Hyperlink"/>
                  <w:rFonts w:cstheme="minorHAnsi"/>
                  <w:sz w:val="24"/>
                  <w:szCs w:val="24"/>
                </w:rPr>
                <w:t>https://www.staffnet.manchester.ac.uk/tlso/policy-guidance/degree-apprenticeships/</w:t>
              </w:r>
            </w:hyperlink>
            <w:r w:rsidR="004D764B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0902CC" w:rsidRPr="009E0A11" w:rsidRDefault="000902CC" w:rsidP="00DF6AE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902CC" w:rsidRPr="009E0A11" w:rsidTr="009E0A11">
        <w:tc>
          <w:tcPr>
            <w:tcW w:w="5126" w:type="dxa"/>
            <w:shd w:val="clear" w:color="auto" w:fill="D0CECE" w:themeFill="background2" w:themeFillShade="E6"/>
          </w:tcPr>
          <w:p w:rsidR="000902CC" w:rsidRPr="009E0A11" w:rsidRDefault="009E0A11" w:rsidP="009E0A11">
            <w:pPr>
              <w:rPr>
                <w:rFonts w:cstheme="minorHAnsi"/>
                <w:b/>
                <w:sz w:val="24"/>
                <w:szCs w:val="24"/>
              </w:rPr>
            </w:pPr>
            <w:r w:rsidRPr="009E0A11">
              <w:rPr>
                <w:rFonts w:cstheme="minorHAnsi"/>
                <w:b/>
                <w:sz w:val="24"/>
                <w:szCs w:val="24"/>
              </w:rPr>
              <w:lastRenderedPageBreak/>
              <w:t>Are there other teams within the institution who deliver the same or a very similar service? If so, please list them?</w:t>
            </w:r>
          </w:p>
        </w:tc>
        <w:tc>
          <w:tcPr>
            <w:tcW w:w="5330" w:type="dxa"/>
          </w:tcPr>
          <w:p w:rsidR="000902CC" w:rsidRPr="009E0A11" w:rsidRDefault="004D764B" w:rsidP="004D764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Apprenticeship programmes are managed at programme level via each school/faculty with a central oversight for quality assurance and policy/procedure and administration. Currently only AMBS offer apprenticeship programmes</w:t>
            </w:r>
          </w:p>
        </w:tc>
      </w:tr>
      <w:tr w:rsidR="000902CC" w:rsidRPr="009E0A11" w:rsidTr="009E0A11">
        <w:tc>
          <w:tcPr>
            <w:tcW w:w="5126" w:type="dxa"/>
            <w:shd w:val="clear" w:color="auto" w:fill="D0CECE" w:themeFill="background2" w:themeFillShade="E6"/>
          </w:tcPr>
          <w:p w:rsidR="009E0A11" w:rsidRPr="009E0A11" w:rsidRDefault="009E0A11" w:rsidP="009E0A11">
            <w:pP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9E0A11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What additional action could</w:t>
            </w:r>
            <w:r w:rsidRPr="000902CC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 be </w:t>
            </w:r>
            <w:r w:rsidRPr="009E0A11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taken if we don’t have sufficient staff to maintain acceptable services levels?</w:t>
            </w:r>
          </w:p>
          <w:p w:rsidR="009E0A11" w:rsidRPr="009E0A11" w:rsidRDefault="009E0A11" w:rsidP="009E0A11">
            <w:pP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  <w:p w:rsidR="009E0A11" w:rsidRPr="009E0A11" w:rsidRDefault="009E0A11" w:rsidP="009E0A11">
            <w:pP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proofErr w:type="gramStart"/>
            <w:r w:rsidRPr="009E0A11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e.g</w:t>
            </w:r>
            <w:proofErr w:type="gramEnd"/>
            <w:r w:rsidRPr="009E0A11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. reduce/prioritise number of activities completed by the team, reallocate staff from other teams to support service, train additional staff to support this service, temporarily suspend service. </w:t>
            </w:r>
          </w:p>
          <w:p w:rsidR="000902CC" w:rsidRPr="009E0A11" w:rsidRDefault="000902C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30" w:type="dxa"/>
          </w:tcPr>
          <w:p w:rsidR="001E2ED8" w:rsidRDefault="001E2ED8">
            <w:pPr>
              <w:rPr>
                <w:rFonts w:cstheme="minorHAnsi"/>
                <w:sz w:val="24"/>
                <w:szCs w:val="24"/>
              </w:rPr>
            </w:pPr>
          </w:p>
          <w:p w:rsidR="00113618" w:rsidRDefault="0011361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Train additional staff to support this service – especially around</w:t>
            </w:r>
            <w:r w:rsidR="00C525EB">
              <w:rPr>
                <w:rFonts w:cstheme="minorHAnsi"/>
                <w:sz w:val="24"/>
                <w:szCs w:val="24"/>
              </w:rPr>
              <w:t xml:space="preserve"> advising on </w:t>
            </w:r>
            <w:r>
              <w:rPr>
                <w:rFonts w:cstheme="minorHAnsi"/>
                <w:sz w:val="24"/>
                <w:szCs w:val="24"/>
              </w:rPr>
              <w:t xml:space="preserve">apprenticeship rules and requirements and </w:t>
            </w:r>
            <w:r w:rsidR="00C525EB">
              <w:rPr>
                <w:rFonts w:cstheme="minorHAnsi"/>
                <w:sz w:val="24"/>
                <w:szCs w:val="24"/>
              </w:rPr>
              <w:t xml:space="preserve">carrying out </w:t>
            </w:r>
            <w:r>
              <w:rPr>
                <w:rFonts w:cstheme="minorHAnsi"/>
                <w:sz w:val="24"/>
                <w:szCs w:val="24"/>
              </w:rPr>
              <w:t>ILR related activity.</w:t>
            </w:r>
          </w:p>
          <w:p w:rsidR="001D42DF" w:rsidRDefault="001D42DF">
            <w:pPr>
              <w:rPr>
                <w:rFonts w:cstheme="minorHAnsi"/>
                <w:sz w:val="24"/>
                <w:szCs w:val="24"/>
              </w:rPr>
            </w:pPr>
          </w:p>
          <w:p w:rsidR="001D42DF" w:rsidRDefault="00C525E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Institute </w:t>
            </w:r>
            <w:r w:rsidRPr="00C525EB">
              <w:rPr>
                <w:rFonts w:cstheme="minorHAnsi"/>
                <w:sz w:val="24"/>
                <w:szCs w:val="24"/>
              </w:rPr>
              <w:t>training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525EB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 xml:space="preserve"> a </w:t>
            </w:r>
            <w:r w:rsidRPr="00C525EB">
              <w:rPr>
                <w:rFonts w:cstheme="minorHAnsi"/>
                <w:sz w:val="24"/>
                <w:szCs w:val="24"/>
              </w:rPr>
              <w:t xml:space="preserve">community of practice for </w:t>
            </w:r>
            <w:r>
              <w:rPr>
                <w:rFonts w:cstheme="minorHAnsi"/>
                <w:sz w:val="24"/>
                <w:szCs w:val="24"/>
              </w:rPr>
              <w:t xml:space="preserve">existing </w:t>
            </w:r>
            <w:r w:rsidRPr="00C525EB">
              <w:rPr>
                <w:rFonts w:cstheme="minorHAnsi"/>
                <w:sz w:val="24"/>
                <w:szCs w:val="24"/>
              </w:rPr>
              <w:t>team</w:t>
            </w:r>
            <w:r>
              <w:rPr>
                <w:rFonts w:cstheme="minorHAnsi"/>
                <w:sz w:val="24"/>
                <w:szCs w:val="24"/>
              </w:rPr>
              <w:t xml:space="preserve"> members</w:t>
            </w:r>
            <w:r w:rsidRPr="00C525EB">
              <w:rPr>
                <w:rFonts w:cstheme="minorHAnsi"/>
                <w:sz w:val="24"/>
                <w:szCs w:val="24"/>
              </w:rPr>
              <w:t xml:space="preserve"> involved in apprenticeships</w:t>
            </w:r>
            <w:r>
              <w:rPr>
                <w:rFonts w:cstheme="minorHAnsi"/>
                <w:sz w:val="24"/>
                <w:szCs w:val="24"/>
              </w:rPr>
              <w:t xml:space="preserve"> so that knowledge is distributed more widely.</w:t>
            </w:r>
          </w:p>
          <w:p w:rsidR="00113618" w:rsidRDefault="00113618">
            <w:pPr>
              <w:rPr>
                <w:rFonts w:cstheme="minorHAnsi"/>
                <w:sz w:val="24"/>
                <w:szCs w:val="24"/>
              </w:rPr>
            </w:pPr>
          </w:p>
          <w:p w:rsidR="00113618" w:rsidRDefault="00C525E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Ensure operational capacity is considered when setting intake targets.</w:t>
            </w:r>
          </w:p>
          <w:p w:rsidR="000B1872" w:rsidRDefault="000B1872">
            <w:pPr>
              <w:rPr>
                <w:rFonts w:cstheme="minorHAnsi"/>
                <w:sz w:val="24"/>
                <w:szCs w:val="24"/>
              </w:rPr>
            </w:pPr>
          </w:p>
          <w:p w:rsidR="00113618" w:rsidRPr="009E0A11" w:rsidRDefault="0011361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0902CC" w:rsidRPr="009E0A11" w:rsidRDefault="000902CC">
      <w:pPr>
        <w:rPr>
          <w:sz w:val="24"/>
          <w:szCs w:val="24"/>
        </w:rPr>
      </w:pPr>
    </w:p>
    <w:sectPr w:rsidR="000902CC" w:rsidRPr="009E0A11" w:rsidSect="009E0A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17822"/>
    <w:multiLevelType w:val="hybridMultilevel"/>
    <w:tmpl w:val="F52ADC6A"/>
    <w:lvl w:ilvl="0" w:tplc="8282238E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w w:val="100"/>
        <w:lang w:val="en-US" w:eastAsia="en-US" w:bidi="ar-SA"/>
      </w:rPr>
    </w:lvl>
    <w:lvl w:ilvl="1" w:tplc="7C52B340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999999"/>
        <w:w w:val="100"/>
        <w:sz w:val="24"/>
        <w:szCs w:val="24"/>
        <w:lang w:val="en-US" w:eastAsia="en-US" w:bidi="ar-SA"/>
      </w:rPr>
    </w:lvl>
    <w:lvl w:ilvl="2" w:tplc="30847F54">
      <w:numFmt w:val="bullet"/>
      <w:lvlText w:val="•"/>
      <w:lvlJc w:val="left"/>
      <w:pPr>
        <w:ind w:left="2395" w:hanging="360"/>
      </w:pPr>
      <w:rPr>
        <w:rFonts w:hint="default"/>
        <w:lang w:val="en-US" w:eastAsia="en-US" w:bidi="ar-SA"/>
      </w:rPr>
    </w:lvl>
    <w:lvl w:ilvl="3" w:tplc="18781174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4" w:tplc="CDFA9ED4">
      <w:numFmt w:val="bullet"/>
      <w:lvlText w:val="•"/>
      <w:lvlJc w:val="left"/>
      <w:pPr>
        <w:ind w:left="4106" w:hanging="360"/>
      </w:pPr>
      <w:rPr>
        <w:rFonts w:hint="default"/>
        <w:lang w:val="en-US" w:eastAsia="en-US" w:bidi="ar-SA"/>
      </w:rPr>
    </w:lvl>
    <w:lvl w:ilvl="5" w:tplc="DC404674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5E94BD9C">
      <w:numFmt w:val="bullet"/>
      <w:lvlText w:val="•"/>
      <w:lvlJc w:val="left"/>
      <w:pPr>
        <w:ind w:left="5817" w:hanging="360"/>
      </w:pPr>
      <w:rPr>
        <w:rFonts w:hint="default"/>
        <w:lang w:val="en-US" w:eastAsia="en-US" w:bidi="ar-SA"/>
      </w:rPr>
    </w:lvl>
    <w:lvl w:ilvl="7" w:tplc="A8DA5166">
      <w:numFmt w:val="bullet"/>
      <w:lvlText w:val="•"/>
      <w:lvlJc w:val="left"/>
      <w:pPr>
        <w:ind w:left="6673" w:hanging="360"/>
      </w:pPr>
      <w:rPr>
        <w:rFonts w:hint="default"/>
        <w:lang w:val="en-US" w:eastAsia="en-US" w:bidi="ar-SA"/>
      </w:rPr>
    </w:lvl>
    <w:lvl w:ilvl="8" w:tplc="4326836E">
      <w:numFmt w:val="bullet"/>
      <w:lvlText w:val="•"/>
      <w:lvlJc w:val="left"/>
      <w:pPr>
        <w:ind w:left="752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CC"/>
    <w:rsid w:val="000902CC"/>
    <w:rsid w:val="000B1872"/>
    <w:rsid w:val="00113618"/>
    <w:rsid w:val="001D42DF"/>
    <w:rsid w:val="001E2ED8"/>
    <w:rsid w:val="002C4129"/>
    <w:rsid w:val="00367276"/>
    <w:rsid w:val="003826B7"/>
    <w:rsid w:val="003A5DA1"/>
    <w:rsid w:val="00404A04"/>
    <w:rsid w:val="00442D2E"/>
    <w:rsid w:val="004D764B"/>
    <w:rsid w:val="006D67FF"/>
    <w:rsid w:val="00713C8F"/>
    <w:rsid w:val="007A6447"/>
    <w:rsid w:val="007C72D3"/>
    <w:rsid w:val="008A3DF8"/>
    <w:rsid w:val="008A4BB7"/>
    <w:rsid w:val="0095440D"/>
    <w:rsid w:val="00991B47"/>
    <w:rsid w:val="009E0A11"/>
    <w:rsid w:val="00C00233"/>
    <w:rsid w:val="00C525EB"/>
    <w:rsid w:val="00CA0E31"/>
    <w:rsid w:val="00D148B7"/>
    <w:rsid w:val="00DF6AE3"/>
    <w:rsid w:val="00E05870"/>
    <w:rsid w:val="00E866CC"/>
    <w:rsid w:val="00F71692"/>
    <w:rsid w:val="00FC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8B5B29-EBF0-443B-B7DF-A40CBC93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6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AE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F6A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A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A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AE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A644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4D764B"/>
    <w:pPr>
      <w:widowControl w:val="0"/>
      <w:autoSpaceDE w:val="0"/>
      <w:autoSpaceDN w:val="0"/>
      <w:spacing w:after="0" w:line="240" w:lineRule="auto"/>
      <w:ind w:left="820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D764B"/>
    <w:rPr>
      <w:rFonts w:ascii="Arial" w:eastAsia="Arial" w:hAnsi="Arial" w:cs="Arial"/>
      <w:sz w:val="24"/>
      <w:szCs w:val="24"/>
      <w:lang w:val="en-US"/>
    </w:rPr>
  </w:style>
  <w:style w:type="paragraph" w:styleId="ListParagraph">
    <w:name w:val="List Paragraph"/>
    <w:aliases w:val="Indented paragraph,F5 List Paragraph,Bullet Points,No Spacing1,List Paragraph Char Char Char,Indicator Text,Numbered Para 1,Bullet 1,Colorful List - Accent 11,List Paragraph11,MAIN CONTENT,List Paragraph12,List Paragraph2,OBC Bullet"/>
    <w:basedOn w:val="Normal"/>
    <w:link w:val="ListParagraphChar"/>
    <w:uiPriority w:val="1"/>
    <w:qFormat/>
    <w:rsid w:val="004D764B"/>
    <w:pPr>
      <w:widowControl w:val="0"/>
      <w:autoSpaceDE w:val="0"/>
      <w:autoSpaceDN w:val="0"/>
      <w:spacing w:before="41" w:after="0" w:line="240" w:lineRule="auto"/>
      <w:ind w:left="820" w:hanging="360"/>
    </w:pPr>
    <w:rPr>
      <w:rFonts w:ascii="Arial" w:eastAsia="Arial" w:hAnsi="Arial" w:cs="Arial"/>
      <w:lang w:val="en-US"/>
    </w:rPr>
  </w:style>
  <w:style w:type="character" w:customStyle="1" w:styleId="ListParagraphChar">
    <w:name w:val="List Paragraph Char"/>
    <w:aliases w:val="Indented paragraph Char,F5 List Paragraph Char,Bullet Points Char,No Spacing1 Char,List Paragraph Char Char Char Char,Indicator Text Char,Numbered Para 1 Char,Bullet 1 Char,Colorful List - Accent 11 Char,List Paragraph11 Char"/>
    <w:link w:val="ListParagraph"/>
    <w:uiPriority w:val="1"/>
    <w:locked/>
    <w:rsid w:val="004D764B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affnet.manchester.ac.uk/tlso/policy-guidance/degree-apprenticeships/" TargetMode="External"/><Relationship Id="rId5" Type="http://schemas.openxmlformats.org/officeDocument/2006/relationships/hyperlink" Target="mailto:Rachel1.Barker@education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Rundle</dc:creator>
  <cp:lastModifiedBy>Rachel Walton</cp:lastModifiedBy>
  <cp:revision>2</cp:revision>
  <dcterms:created xsi:type="dcterms:W3CDTF">2022-01-13T09:45:00Z</dcterms:created>
  <dcterms:modified xsi:type="dcterms:W3CDTF">2022-01-13T09:45:00Z</dcterms:modified>
</cp:coreProperties>
</file>