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441E1F" w:rsidRPr="00441E1F" w:rsidTr="00345BBB">
        <w:trPr>
          <w:trHeight w:val="1004"/>
        </w:trPr>
        <w:tc>
          <w:tcPr>
            <w:tcW w:w="9669" w:type="dxa"/>
            <w:gridSpan w:val="3"/>
            <w:shd w:val="clear" w:color="auto" w:fill="7030A0"/>
          </w:tcPr>
          <w:p w:rsidR="0063304D" w:rsidRPr="00441E1F" w:rsidRDefault="0063304D" w:rsidP="0063304D">
            <w:pPr>
              <w:jc w:val="center"/>
              <w:rPr>
                <w:rFonts w:ascii="Arial" w:hAnsi="Arial" w:cs="Arial"/>
                <w:b/>
                <w:sz w:val="28"/>
                <w:szCs w:val="28"/>
              </w:rPr>
            </w:pPr>
          </w:p>
          <w:p w:rsidR="0063304D" w:rsidRPr="00441E1F" w:rsidRDefault="00345BBB" w:rsidP="0063304D">
            <w:pPr>
              <w:jc w:val="center"/>
              <w:rPr>
                <w:rFonts w:ascii="Arial" w:hAnsi="Arial" w:cs="Arial"/>
                <w:b/>
                <w:sz w:val="28"/>
                <w:szCs w:val="28"/>
              </w:rPr>
            </w:pPr>
            <w:r w:rsidRPr="00441E1F">
              <w:rPr>
                <w:rFonts w:ascii="Arial" w:hAnsi="Arial" w:cs="Arial"/>
                <w:b/>
                <w:sz w:val="28"/>
                <w:szCs w:val="28"/>
              </w:rPr>
              <w:t xml:space="preserve">PGR </w:t>
            </w:r>
            <w:r w:rsidR="0063304D" w:rsidRPr="00441E1F">
              <w:rPr>
                <w:rFonts w:ascii="Arial" w:hAnsi="Arial" w:cs="Arial"/>
                <w:b/>
                <w:sz w:val="28"/>
                <w:szCs w:val="28"/>
              </w:rPr>
              <w:t xml:space="preserve">Course unit outline </w:t>
            </w:r>
            <w:r w:rsidR="00B274A6" w:rsidRPr="00441E1F">
              <w:rPr>
                <w:rFonts w:ascii="Arial" w:hAnsi="Arial" w:cs="Arial"/>
                <w:b/>
                <w:sz w:val="28"/>
                <w:szCs w:val="28"/>
              </w:rPr>
              <w:t>2020/21</w:t>
            </w:r>
          </w:p>
          <w:p w:rsidR="0063304D" w:rsidRPr="00441E1F" w:rsidRDefault="0063304D" w:rsidP="00A678DF">
            <w:pPr>
              <w:jc w:val="center"/>
              <w:rPr>
                <w:rFonts w:ascii="Arial" w:hAnsi="Arial" w:cs="Arial"/>
                <w:b/>
                <w:sz w:val="28"/>
                <w:szCs w:val="28"/>
              </w:rPr>
            </w:pPr>
          </w:p>
        </w:tc>
      </w:tr>
      <w:tr w:rsidR="00441E1F" w:rsidRPr="00441E1F" w:rsidTr="00345BBB">
        <w:tc>
          <w:tcPr>
            <w:tcW w:w="2988" w:type="dxa"/>
            <w:shd w:val="clear" w:color="auto" w:fill="D9D9D9" w:themeFill="background1" w:themeFillShade="D9"/>
          </w:tcPr>
          <w:p w:rsidR="0063304D" w:rsidRPr="00441E1F" w:rsidRDefault="0063304D" w:rsidP="00D57CBE">
            <w:pPr>
              <w:rPr>
                <w:rFonts w:ascii="Calibri" w:hAnsi="Calibri" w:cs="Calibri"/>
                <w:b/>
                <w:sz w:val="28"/>
                <w:szCs w:val="28"/>
              </w:rPr>
            </w:pPr>
            <w:r w:rsidRPr="00441E1F">
              <w:rPr>
                <w:rFonts w:ascii="Calibri" w:hAnsi="Calibri" w:cs="Calibri"/>
                <w:b/>
                <w:sz w:val="24"/>
                <w:szCs w:val="24"/>
              </w:rPr>
              <w:t xml:space="preserve">Unit code: </w:t>
            </w:r>
          </w:p>
        </w:tc>
        <w:tc>
          <w:tcPr>
            <w:tcW w:w="6681" w:type="dxa"/>
            <w:gridSpan w:val="2"/>
          </w:tcPr>
          <w:p w:rsidR="0063304D" w:rsidRPr="00441E1F" w:rsidRDefault="00D57CBE" w:rsidP="00290A4D">
            <w:pPr>
              <w:rPr>
                <w:rFonts w:ascii="Palatino Linotype" w:hAnsi="Palatino Linotype" w:cstheme="minorHAnsi"/>
                <w:b/>
              </w:rPr>
            </w:pPr>
            <w:r w:rsidRPr="00441E1F">
              <w:rPr>
                <w:rFonts w:ascii="Palatino Linotype" w:hAnsi="Palatino Linotype" w:cstheme="minorHAnsi"/>
                <w:b/>
              </w:rPr>
              <w:t>BMAN</w:t>
            </w:r>
            <w:r w:rsidR="00D0285D" w:rsidRPr="00441E1F">
              <w:rPr>
                <w:rFonts w:ascii="Palatino Linotype" w:hAnsi="Palatino Linotype" w:cstheme="minorHAnsi"/>
                <w:b/>
              </w:rPr>
              <w:t>80711</w:t>
            </w:r>
          </w:p>
        </w:tc>
      </w:tr>
      <w:tr w:rsidR="00441E1F" w:rsidRPr="00441E1F" w:rsidTr="00345BBB">
        <w:tc>
          <w:tcPr>
            <w:tcW w:w="2988" w:type="dxa"/>
            <w:shd w:val="clear" w:color="auto" w:fill="D9D9D9" w:themeFill="background1" w:themeFillShade="D9"/>
          </w:tcPr>
          <w:p w:rsidR="0063304D" w:rsidRPr="00441E1F" w:rsidRDefault="0063304D" w:rsidP="00290A4D">
            <w:pPr>
              <w:rPr>
                <w:rFonts w:ascii="Calibri" w:hAnsi="Calibri" w:cs="Calibri"/>
                <w:b/>
                <w:sz w:val="24"/>
                <w:szCs w:val="24"/>
              </w:rPr>
            </w:pPr>
            <w:r w:rsidRPr="00441E1F">
              <w:rPr>
                <w:rFonts w:ascii="Calibri" w:hAnsi="Calibri" w:cs="Calibri"/>
                <w:b/>
                <w:sz w:val="24"/>
                <w:szCs w:val="24"/>
              </w:rPr>
              <w:t>Title:</w:t>
            </w:r>
          </w:p>
        </w:tc>
        <w:tc>
          <w:tcPr>
            <w:tcW w:w="6681" w:type="dxa"/>
            <w:gridSpan w:val="2"/>
          </w:tcPr>
          <w:p w:rsidR="0063304D" w:rsidRPr="00441E1F" w:rsidRDefault="0073782A" w:rsidP="00290A4D">
            <w:pPr>
              <w:rPr>
                <w:rFonts w:ascii="Palatino Linotype" w:hAnsi="Palatino Linotype" w:cs="Arial"/>
                <w:b/>
                <w:sz w:val="28"/>
                <w:szCs w:val="28"/>
              </w:rPr>
            </w:pPr>
            <w:r w:rsidRPr="00441E1F">
              <w:rPr>
                <w:rFonts w:ascii="Palatino Linotype" w:hAnsi="Palatino Linotype" w:cs="Arial"/>
                <w:b/>
                <w:sz w:val="28"/>
                <w:szCs w:val="28"/>
              </w:rPr>
              <w:t xml:space="preserve">Empirical Corporate Finance </w:t>
            </w:r>
          </w:p>
        </w:tc>
      </w:tr>
      <w:tr w:rsidR="00441E1F" w:rsidRPr="00441E1F" w:rsidTr="00345BBB">
        <w:tc>
          <w:tcPr>
            <w:tcW w:w="2988" w:type="dxa"/>
            <w:shd w:val="clear" w:color="auto" w:fill="D9D9D9" w:themeFill="background1" w:themeFillShade="D9"/>
          </w:tcPr>
          <w:p w:rsidR="0063304D" w:rsidRPr="00441E1F" w:rsidRDefault="0063304D" w:rsidP="00290A4D">
            <w:pPr>
              <w:rPr>
                <w:rFonts w:ascii="Calibri" w:hAnsi="Calibri" w:cs="Calibri"/>
                <w:b/>
                <w:sz w:val="24"/>
                <w:szCs w:val="24"/>
              </w:rPr>
            </w:pPr>
            <w:r w:rsidRPr="00441E1F">
              <w:rPr>
                <w:rFonts w:ascii="Calibri" w:hAnsi="Calibri" w:cs="Calibri"/>
                <w:b/>
                <w:sz w:val="24"/>
                <w:szCs w:val="24"/>
              </w:rPr>
              <w:t xml:space="preserve">Credit </w:t>
            </w:r>
            <w:r w:rsidR="00B274A6" w:rsidRPr="00441E1F">
              <w:rPr>
                <w:rFonts w:ascii="Calibri" w:hAnsi="Calibri" w:cs="Calibri"/>
                <w:b/>
                <w:sz w:val="24"/>
                <w:szCs w:val="24"/>
              </w:rPr>
              <w:t>value</w:t>
            </w:r>
            <w:r w:rsidRPr="00441E1F">
              <w:rPr>
                <w:rFonts w:ascii="Calibri" w:hAnsi="Calibri" w:cs="Calibri"/>
                <w:b/>
                <w:sz w:val="24"/>
                <w:szCs w:val="24"/>
              </w:rPr>
              <w:t>:</w:t>
            </w:r>
          </w:p>
        </w:tc>
        <w:tc>
          <w:tcPr>
            <w:tcW w:w="6681" w:type="dxa"/>
            <w:gridSpan w:val="2"/>
          </w:tcPr>
          <w:p w:rsidR="0063304D" w:rsidRPr="00441E1F" w:rsidRDefault="0073782A" w:rsidP="00290A4D">
            <w:pPr>
              <w:rPr>
                <w:rFonts w:ascii="Palatino Linotype" w:hAnsi="Palatino Linotype" w:cs="Arial"/>
                <w:b/>
                <w:sz w:val="28"/>
                <w:szCs w:val="28"/>
              </w:rPr>
            </w:pPr>
            <w:r w:rsidRPr="00441E1F">
              <w:rPr>
                <w:rFonts w:ascii="Palatino Linotype" w:hAnsi="Palatino Linotype" w:cs="Arial"/>
                <w:b/>
                <w:sz w:val="28"/>
                <w:szCs w:val="28"/>
              </w:rPr>
              <w:t>15</w:t>
            </w:r>
          </w:p>
        </w:tc>
      </w:tr>
      <w:tr w:rsidR="00441E1F" w:rsidRPr="00441E1F" w:rsidTr="00345BBB">
        <w:tc>
          <w:tcPr>
            <w:tcW w:w="2988" w:type="dxa"/>
            <w:shd w:val="clear" w:color="auto" w:fill="D9D9D9" w:themeFill="background1" w:themeFillShade="D9"/>
          </w:tcPr>
          <w:p w:rsidR="00B274A6" w:rsidRPr="00441E1F" w:rsidRDefault="0063304D" w:rsidP="00290A4D">
            <w:pPr>
              <w:rPr>
                <w:rFonts w:ascii="Calibri" w:hAnsi="Calibri" w:cs="Calibri"/>
                <w:b/>
                <w:sz w:val="24"/>
                <w:szCs w:val="24"/>
              </w:rPr>
            </w:pPr>
            <w:r w:rsidRPr="00441E1F">
              <w:rPr>
                <w:rFonts w:ascii="Calibri" w:hAnsi="Calibri" w:cs="Calibri"/>
                <w:b/>
                <w:sz w:val="24"/>
                <w:szCs w:val="24"/>
              </w:rPr>
              <w:t>Semester:</w:t>
            </w:r>
          </w:p>
        </w:tc>
        <w:tc>
          <w:tcPr>
            <w:tcW w:w="6681" w:type="dxa"/>
            <w:gridSpan w:val="2"/>
          </w:tcPr>
          <w:p w:rsidR="0063304D" w:rsidRPr="00441E1F" w:rsidRDefault="0073782A" w:rsidP="00290A4D">
            <w:pPr>
              <w:rPr>
                <w:rFonts w:ascii="Palatino Linotype" w:hAnsi="Palatino Linotype" w:cs="Arial"/>
                <w:b/>
                <w:sz w:val="28"/>
                <w:szCs w:val="28"/>
              </w:rPr>
            </w:pPr>
            <w:r w:rsidRPr="00441E1F">
              <w:rPr>
                <w:rFonts w:ascii="Palatino Linotype" w:hAnsi="Palatino Linotype" w:cs="Arial"/>
                <w:b/>
                <w:sz w:val="28"/>
                <w:szCs w:val="28"/>
              </w:rPr>
              <w:t>2</w:t>
            </w:r>
          </w:p>
        </w:tc>
      </w:tr>
      <w:tr w:rsidR="00441E1F" w:rsidRPr="00441E1F" w:rsidTr="00345BBB">
        <w:tc>
          <w:tcPr>
            <w:tcW w:w="2988" w:type="dxa"/>
            <w:shd w:val="clear" w:color="auto" w:fill="D9D9D9" w:themeFill="background1" w:themeFillShade="D9"/>
          </w:tcPr>
          <w:p w:rsidR="0063304D" w:rsidRPr="00441E1F" w:rsidRDefault="0063304D" w:rsidP="0063304D">
            <w:pPr>
              <w:rPr>
                <w:rFonts w:ascii="Calibri" w:hAnsi="Calibri" w:cs="Calibri"/>
                <w:b/>
                <w:sz w:val="24"/>
                <w:szCs w:val="24"/>
              </w:rPr>
            </w:pPr>
            <w:r w:rsidRPr="00441E1F">
              <w:rPr>
                <w:rFonts w:ascii="Calibri" w:hAnsi="Calibri" w:cs="Calibri"/>
                <w:b/>
                <w:sz w:val="24"/>
                <w:szCs w:val="24"/>
              </w:rPr>
              <w:t xml:space="preserve">Course Coordinator </w:t>
            </w:r>
          </w:p>
          <w:p w:rsidR="0063304D" w:rsidRPr="00441E1F" w:rsidRDefault="0063304D" w:rsidP="00D57CBE">
            <w:pPr>
              <w:rPr>
                <w:rFonts w:ascii="Calibri" w:hAnsi="Calibri" w:cs="Calibri"/>
                <w:b/>
                <w:sz w:val="24"/>
                <w:szCs w:val="24"/>
              </w:rPr>
            </w:pPr>
            <w:r w:rsidRPr="00441E1F">
              <w:rPr>
                <w:rFonts w:ascii="Calibri" w:hAnsi="Calibri" w:cs="Calibri"/>
                <w:b/>
                <w:sz w:val="24"/>
                <w:szCs w:val="24"/>
              </w:rPr>
              <w:t>contact details:</w:t>
            </w:r>
          </w:p>
        </w:tc>
        <w:tc>
          <w:tcPr>
            <w:tcW w:w="6681" w:type="dxa"/>
            <w:gridSpan w:val="2"/>
          </w:tcPr>
          <w:p w:rsidR="0063304D" w:rsidRPr="00441E1F" w:rsidRDefault="0073782A" w:rsidP="0073782A">
            <w:pPr>
              <w:rPr>
                <w:rFonts w:ascii="Palatino Linotype" w:hAnsi="Palatino Linotype" w:cs="Arial"/>
                <w:b/>
                <w:sz w:val="24"/>
                <w:szCs w:val="24"/>
              </w:rPr>
            </w:pPr>
            <w:proofErr w:type="spellStart"/>
            <w:r w:rsidRPr="00441E1F">
              <w:rPr>
                <w:rFonts w:ascii="Palatino Linotype" w:hAnsi="Palatino Linotype"/>
              </w:rPr>
              <w:t>Prof.</w:t>
            </w:r>
            <w:proofErr w:type="spellEnd"/>
            <w:r w:rsidRPr="00441E1F">
              <w:rPr>
                <w:rFonts w:ascii="Palatino Linotype" w:hAnsi="Palatino Linotype"/>
              </w:rPr>
              <w:t xml:space="preserve"> Murillo </w:t>
            </w:r>
            <w:proofErr w:type="spellStart"/>
            <w:r w:rsidRPr="00441E1F">
              <w:rPr>
                <w:rFonts w:ascii="Palatino Linotype" w:hAnsi="Palatino Linotype"/>
              </w:rPr>
              <w:t>Campello</w:t>
            </w:r>
            <w:proofErr w:type="spellEnd"/>
            <w:r w:rsidRPr="00441E1F">
              <w:rPr>
                <w:rFonts w:ascii="Palatino Linotype" w:hAnsi="Palatino Linotype" w:cs="Arial"/>
                <w:b/>
                <w:sz w:val="24"/>
                <w:szCs w:val="24"/>
              </w:rPr>
              <w:t xml:space="preserve"> </w:t>
            </w:r>
          </w:p>
        </w:tc>
      </w:tr>
      <w:tr w:rsidR="00441E1F" w:rsidRPr="00441E1F" w:rsidTr="00345BBB">
        <w:tc>
          <w:tcPr>
            <w:tcW w:w="2988" w:type="dxa"/>
            <w:shd w:val="clear" w:color="auto" w:fill="D9D9D9" w:themeFill="background1" w:themeFillShade="D9"/>
          </w:tcPr>
          <w:p w:rsidR="0063304D" w:rsidRPr="00441E1F" w:rsidRDefault="0063304D" w:rsidP="00D57CBE">
            <w:pPr>
              <w:rPr>
                <w:rFonts w:ascii="Calibri" w:hAnsi="Calibri" w:cs="Calibri"/>
                <w:b/>
                <w:sz w:val="24"/>
                <w:szCs w:val="24"/>
              </w:rPr>
            </w:pPr>
            <w:r w:rsidRPr="00441E1F">
              <w:rPr>
                <w:rFonts w:ascii="Calibri" w:hAnsi="Calibri" w:cs="Calibri"/>
                <w:b/>
                <w:sz w:val="24"/>
                <w:szCs w:val="24"/>
              </w:rPr>
              <w:t>Other staff involved contact details:</w:t>
            </w:r>
          </w:p>
        </w:tc>
        <w:tc>
          <w:tcPr>
            <w:tcW w:w="6681" w:type="dxa"/>
            <w:gridSpan w:val="2"/>
          </w:tcPr>
          <w:p w:rsidR="0063304D" w:rsidRPr="00441E1F" w:rsidRDefault="0073782A" w:rsidP="00441E1F">
            <w:pPr>
              <w:rPr>
                <w:rFonts w:ascii="Palatino Linotype" w:hAnsi="Palatino Linotype"/>
              </w:rPr>
            </w:pPr>
            <w:r w:rsidRPr="00441E1F">
              <w:rPr>
                <w:rFonts w:ascii="Palatino Linotype" w:hAnsi="Palatino Linotype"/>
              </w:rPr>
              <w:t xml:space="preserve">coordinator on campus </w:t>
            </w:r>
            <w:proofErr w:type="spellStart"/>
            <w:r w:rsidRPr="00441E1F">
              <w:rPr>
                <w:rFonts w:ascii="Palatino Linotype" w:hAnsi="Palatino Linotype"/>
              </w:rPr>
              <w:t>Prof.</w:t>
            </w:r>
            <w:proofErr w:type="spellEnd"/>
            <w:r w:rsidRPr="00441E1F">
              <w:rPr>
                <w:rFonts w:ascii="Palatino Linotype" w:hAnsi="Palatino Linotype"/>
              </w:rPr>
              <w:t xml:space="preserve"> Maria Marchica (AMBS 4.029,  </w:t>
            </w:r>
            <w:hyperlink r:id="rId7" w:history="1">
              <w:r w:rsidRPr="00441E1F">
                <w:rPr>
                  <w:rStyle w:val="Hyperlink"/>
                  <w:rFonts w:ascii="Palatino Linotype" w:hAnsi="Palatino Linotype"/>
                  <w:color w:val="auto"/>
                </w:rPr>
                <w:t>maria.marchica@manchester.a.cuk</w:t>
              </w:r>
            </w:hyperlink>
            <w:r w:rsidR="00441E1F">
              <w:rPr>
                <w:rFonts w:ascii="Palatino Linotype" w:hAnsi="Palatino Linotype"/>
              </w:rPr>
              <w:t xml:space="preserve"> </w:t>
            </w:r>
            <w:r w:rsidRPr="00441E1F">
              <w:rPr>
                <w:rFonts w:ascii="Palatino Linotype" w:hAnsi="Palatino Linotype"/>
              </w:rPr>
              <w:t>)</w:t>
            </w:r>
          </w:p>
        </w:tc>
      </w:tr>
      <w:tr w:rsidR="00441E1F" w:rsidRPr="00441E1F" w:rsidTr="00345BBB">
        <w:tc>
          <w:tcPr>
            <w:tcW w:w="2988" w:type="dxa"/>
            <w:shd w:val="clear" w:color="auto" w:fill="D9D9D9" w:themeFill="background1" w:themeFillShade="D9"/>
          </w:tcPr>
          <w:p w:rsidR="00345BBB" w:rsidRPr="00441E1F" w:rsidRDefault="00345BBB" w:rsidP="0063304D">
            <w:pPr>
              <w:rPr>
                <w:rFonts w:ascii="Calibri" w:hAnsi="Calibri" w:cs="Calibri"/>
                <w:b/>
                <w:sz w:val="24"/>
                <w:szCs w:val="24"/>
              </w:rPr>
            </w:pPr>
            <w:r w:rsidRPr="00441E1F">
              <w:rPr>
                <w:rFonts w:ascii="Calibri" w:hAnsi="Calibri" w:cs="Calibri"/>
                <w:b/>
                <w:sz w:val="24"/>
                <w:szCs w:val="24"/>
              </w:rPr>
              <w:t>Pre-requisites</w:t>
            </w:r>
          </w:p>
          <w:p w:rsidR="00345BBB" w:rsidRPr="00441E1F" w:rsidRDefault="00345BBB" w:rsidP="0063304D">
            <w:pPr>
              <w:rPr>
                <w:rFonts w:ascii="Calibri" w:hAnsi="Calibri" w:cs="Calibri"/>
                <w:b/>
                <w:sz w:val="24"/>
                <w:szCs w:val="24"/>
              </w:rPr>
            </w:pPr>
            <w:r w:rsidRPr="00441E1F">
              <w:rPr>
                <w:rFonts w:ascii="Calibri" w:hAnsi="Calibri" w:cs="Calibri"/>
                <w:b/>
                <w:sz w:val="24"/>
                <w:szCs w:val="24"/>
              </w:rPr>
              <w:t>Co-requisites</w:t>
            </w:r>
          </w:p>
          <w:p w:rsidR="00345BBB" w:rsidRPr="00441E1F" w:rsidRDefault="00B274A6" w:rsidP="0063304D">
            <w:pPr>
              <w:rPr>
                <w:rFonts w:ascii="Calibri" w:hAnsi="Calibri" w:cs="Calibri"/>
                <w:b/>
                <w:sz w:val="24"/>
                <w:szCs w:val="24"/>
              </w:rPr>
            </w:pPr>
            <w:r w:rsidRPr="00441E1F">
              <w:rPr>
                <w:rFonts w:ascii="Calibri" w:hAnsi="Calibri" w:cs="Calibri"/>
                <w:b/>
                <w:sz w:val="24"/>
                <w:szCs w:val="24"/>
              </w:rPr>
              <w:t>Dependent course units</w:t>
            </w:r>
          </w:p>
          <w:p w:rsidR="00B274A6" w:rsidRPr="00441E1F" w:rsidRDefault="00B274A6" w:rsidP="0063304D">
            <w:pPr>
              <w:rPr>
                <w:rFonts w:ascii="Calibri" w:hAnsi="Calibri" w:cs="Calibri"/>
                <w:b/>
                <w:sz w:val="24"/>
                <w:szCs w:val="24"/>
              </w:rPr>
            </w:pPr>
            <w:r w:rsidRPr="00441E1F">
              <w:rPr>
                <w:rFonts w:ascii="Calibri" w:hAnsi="Calibri" w:cs="Calibri"/>
                <w:b/>
                <w:sz w:val="24"/>
                <w:szCs w:val="24"/>
              </w:rPr>
              <w:t>Restrictions</w:t>
            </w:r>
          </w:p>
        </w:tc>
        <w:tc>
          <w:tcPr>
            <w:tcW w:w="6681" w:type="dxa"/>
            <w:gridSpan w:val="2"/>
          </w:tcPr>
          <w:p w:rsidR="00345BBB" w:rsidRPr="00441E1F" w:rsidRDefault="0073782A" w:rsidP="00D57CBE">
            <w:pPr>
              <w:rPr>
                <w:rFonts w:ascii="Palatino Linotype" w:hAnsi="Palatino Linotype"/>
              </w:rPr>
            </w:pPr>
            <w:r w:rsidRPr="00441E1F">
              <w:rPr>
                <w:rFonts w:ascii="Palatino Linotype" w:hAnsi="Palatino Linotype"/>
              </w:rPr>
              <w:t xml:space="preserve">This course is compulsory </w:t>
            </w:r>
            <w:r w:rsidR="00207404">
              <w:rPr>
                <w:rFonts w:ascii="Palatino Linotype" w:hAnsi="Palatino Linotype"/>
              </w:rPr>
              <w:t xml:space="preserve">for </w:t>
            </w:r>
            <w:r w:rsidRPr="00441E1F">
              <w:rPr>
                <w:rFonts w:ascii="Palatino Linotype" w:hAnsi="Palatino Linotype"/>
              </w:rPr>
              <w:t>all Finance and MBAR students. It is optional for Qualitative Accounting students.</w:t>
            </w:r>
          </w:p>
        </w:tc>
      </w:tr>
      <w:tr w:rsidR="00441E1F" w:rsidRPr="00441E1F" w:rsidTr="00345BBB">
        <w:tc>
          <w:tcPr>
            <w:tcW w:w="9669" w:type="dxa"/>
            <w:gridSpan w:val="3"/>
            <w:shd w:val="clear" w:color="auto" w:fill="7030A0"/>
          </w:tcPr>
          <w:p w:rsidR="00A25907" w:rsidRPr="00441E1F" w:rsidRDefault="00F429F4" w:rsidP="004003EA">
            <w:pPr>
              <w:rPr>
                <w:rFonts w:ascii="Arial" w:hAnsi="Arial" w:cs="Arial"/>
                <w:b/>
                <w:sz w:val="24"/>
                <w:szCs w:val="24"/>
              </w:rPr>
            </w:pPr>
            <w:r w:rsidRPr="00441E1F">
              <w:rPr>
                <w:rFonts w:ascii="Arial" w:hAnsi="Arial" w:cs="Arial"/>
                <w:b/>
                <w:sz w:val="24"/>
                <w:szCs w:val="24"/>
              </w:rPr>
              <w:t>Course unit overview</w:t>
            </w:r>
          </w:p>
        </w:tc>
      </w:tr>
      <w:tr w:rsidR="00441E1F" w:rsidRPr="00207404" w:rsidTr="00345BBB">
        <w:tc>
          <w:tcPr>
            <w:tcW w:w="9669" w:type="dxa"/>
            <w:gridSpan w:val="3"/>
            <w:shd w:val="clear" w:color="auto" w:fill="auto"/>
          </w:tcPr>
          <w:p w:rsidR="00F429F4" w:rsidRPr="00207404" w:rsidRDefault="0073782A" w:rsidP="004003EA">
            <w:pPr>
              <w:rPr>
                <w:rFonts w:ascii="Palatino Linotype" w:hAnsi="Palatino Linotype" w:cs="Arial"/>
              </w:rPr>
            </w:pPr>
            <w:r w:rsidRPr="00207404">
              <w:rPr>
                <w:rFonts w:ascii="Palatino Linotype" w:hAnsi="Palatino Linotype" w:cs="Arial"/>
              </w:rPr>
              <w:t>This is a thorough PhD level class covering modern empirical work.</w:t>
            </w:r>
          </w:p>
          <w:p w:rsidR="00F429F4" w:rsidRPr="00207404" w:rsidRDefault="00F429F4" w:rsidP="004003EA">
            <w:pPr>
              <w:rPr>
                <w:rFonts w:ascii="Arial" w:hAnsi="Arial" w:cs="Arial"/>
                <w:sz w:val="24"/>
                <w:szCs w:val="24"/>
              </w:rPr>
            </w:pPr>
          </w:p>
        </w:tc>
      </w:tr>
      <w:tr w:rsidR="00441E1F" w:rsidRPr="00441E1F" w:rsidTr="00345BBB">
        <w:tc>
          <w:tcPr>
            <w:tcW w:w="9669" w:type="dxa"/>
            <w:gridSpan w:val="3"/>
            <w:shd w:val="clear" w:color="auto" w:fill="7030A0"/>
          </w:tcPr>
          <w:p w:rsidR="004003EA" w:rsidRPr="00441E1F" w:rsidRDefault="004003EA" w:rsidP="004003EA">
            <w:pPr>
              <w:rPr>
                <w:rFonts w:ascii="Arial" w:hAnsi="Arial" w:cs="Arial"/>
                <w:b/>
                <w:sz w:val="24"/>
                <w:szCs w:val="24"/>
              </w:rPr>
            </w:pPr>
            <w:r w:rsidRPr="00441E1F">
              <w:rPr>
                <w:rFonts w:ascii="Arial" w:hAnsi="Arial" w:cs="Arial"/>
                <w:b/>
                <w:sz w:val="24"/>
                <w:szCs w:val="24"/>
              </w:rPr>
              <w:t>Aims</w:t>
            </w:r>
          </w:p>
        </w:tc>
      </w:tr>
      <w:tr w:rsidR="00441E1F" w:rsidRPr="00207404" w:rsidTr="00345BBB">
        <w:tc>
          <w:tcPr>
            <w:tcW w:w="9669" w:type="dxa"/>
            <w:gridSpan w:val="3"/>
          </w:tcPr>
          <w:p w:rsidR="0073782A" w:rsidRPr="00207404" w:rsidRDefault="0073782A" w:rsidP="0073782A">
            <w:pPr>
              <w:rPr>
                <w:rFonts w:ascii="Palatino Linotype" w:hAnsi="Palatino Linotype" w:cs="Arial"/>
              </w:rPr>
            </w:pPr>
            <w:r w:rsidRPr="00207404">
              <w:rPr>
                <w:rFonts w:ascii="Palatino Linotype" w:hAnsi="Palatino Linotype" w:cs="Arial"/>
              </w:rPr>
              <w:t xml:space="preserve">The course </w:t>
            </w:r>
            <w:proofErr w:type="gramStart"/>
            <w:r w:rsidRPr="00207404">
              <w:rPr>
                <w:rFonts w:ascii="Palatino Linotype" w:hAnsi="Palatino Linotype" w:cs="Arial"/>
              </w:rPr>
              <w:t>is designed</w:t>
            </w:r>
            <w:proofErr w:type="gramEnd"/>
            <w:r w:rsidRPr="00207404">
              <w:rPr>
                <w:rFonts w:ascii="Palatino Linotype" w:hAnsi="Palatino Linotype" w:cs="Arial"/>
              </w:rPr>
              <w:t xml:space="preserve"> to help students understand how to operationalize empirical research on topics that are central to corporate finance. The overarching goal is to expose students to “state-of-the-art” empirical research methods and prepare them to conduct their own work using new tools. All students with an interest in finance, economics, accounting, human resources, and related disciplines are welcome to take it.</w:t>
            </w:r>
          </w:p>
          <w:p w:rsidR="00C7344D" w:rsidRPr="00207404" w:rsidRDefault="0073782A" w:rsidP="0073782A">
            <w:pPr>
              <w:rPr>
                <w:rFonts w:ascii="Palatino Linotype" w:hAnsi="Palatino Linotype" w:cs="Arial"/>
              </w:rPr>
            </w:pPr>
            <w:r w:rsidRPr="00207404">
              <w:rPr>
                <w:rFonts w:ascii="Palatino Linotype" w:hAnsi="Palatino Linotype" w:cs="Arial"/>
              </w:rPr>
              <w:t>In particular, this course is compulsory for all first year Finance and MBAR/Quantitative students.</w:t>
            </w:r>
          </w:p>
          <w:p w:rsidR="00C7344D" w:rsidRPr="00207404" w:rsidRDefault="00C7344D" w:rsidP="004003EA">
            <w:pPr>
              <w:rPr>
                <w:rFonts w:ascii="Palatino Linotype" w:hAnsi="Palatino Linotype" w:cs="Arial"/>
                <w:sz w:val="24"/>
                <w:szCs w:val="24"/>
              </w:rPr>
            </w:pPr>
          </w:p>
          <w:p w:rsidR="00CF3EFD" w:rsidRPr="00207404" w:rsidRDefault="00CF3EFD" w:rsidP="004003EA">
            <w:pPr>
              <w:rPr>
                <w:rFonts w:ascii="Palatino Linotype" w:hAnsi="Palatino Linotype" w:cs="Arial"/>
                <w:sz w:val="24"/>
                <w:szCs w:val="24"/>
              </w:rPr>
            </w:pPr>
          </w:p>
        </w:tc>
      </w:tr>
      <w:tr w:rsidR="00441E1F" w:rsidRPr="00441E1F" w:rsidTr="00345BBB">
        <w:tc>
          <w:tcPr>
            <w:tcW w:w="9669" w:type="dxa"/>
            <w:gridSpan w:val="3"/>
            <w:shd w:val="clear" w:color="auto" w:fill="7030A0"/>
          </w:tcPr>
          <w:p w:rsidR="004003EA" w:rsidRPr="00441E1F" w:rsidRDefault="004003EA" w:rsidP="004003EA">
            <w:pPr>
              <w:rPr>
                <w:rFonts w:ascii="Arial" w:hAnsi="Arial" w:cs="Arial"/>
                <w:b/>
                <w:sz w:val="24"/>
                <w:szCs w:val="24"/>
              </w:rPr>
            </w:pPr>
            <w:r w:rsidRPr="00441E1F">
              <w:rPr>
                <w:rFonts w:ascii="Arial" w:hAnsi="Arial" w:cs="Arial"/>
                <w:b/>
                <w:sz w:val="24"/>
                <w:szCs w:val="24"/>
              </w:rPr>
              <w:t>Objectives (Learning outcomes)</w:t>
            </w:r>
          </w:p>
        </w:tc>
      </w:tr>
      <w:tr w:rsidR="00441E1F" w:rsidRPr="00441E1F" w:rsidTr="00345BBB">
        <w:tc>
          <w:tcPr>
            <w:tcW w:w="9669" w:type="dxa"/>
            <w:gridSpan w:val="3"/>
          </w:tcPr>
          <w:p w:rsidR="00B274A6" w:rsidRPr="00441E1F" w:rsidRDefault="0073782A" w:rsidP="00B274A6">
            <w:pPr>
              <w:rPr>
                <w:rFonts w:ascii="Palatino Linotype" w:eastAsia="Batang" w:hAnsi="Palatino Linotype" w:cs="Arial"/>
                <w:iCs/>
                <w:lang w:eastAsia="de-DE"/>
              </w:rPr>
            </w:pPr>
            <w:r w:rsidRPr="00441E1F">
              <w:rPr>
                <w:rFonts w:ascii="Palatino Linotype" w:eastAsia="Batang" w:hAnsi="Palatino Linotype" w:cs="Arial"/>
                <w:iCs/>
                <w:lang w:eastAsia="de-DE"/>
              </w:rPr>
              <w:t>On completion of this unit successful students will be able to operationalize empirical research on topics that are central to corporate finance, and more broadly, to apply “state-of-the-art” empirical research methods to their own studies that relate not only to corporate finance, but also to finance, accounting, and economics.</w:t>
            </w:r>
          </w:p>
          <w:p w:rsidR="00CF3EFD" w:rsidRPr="00441E1F" w:rsidRDefault="00CF3EFD" w:rsidP="00441E1F">
            <w:pPr>
              <w:rPr>
                <w:rFonts w:eastAsia="Batang" w:cs="Arial"/>
                <w:lang w:eastAsia="de-DE"/>
              </w:rPr>
            </w:pPr>
          </w:p>
        </w:tc>
      </w:tr>
      <w:tr w:rsidR="00441E1F" w:rsidRPr="00441E1F" w:rsidTr="00345BBB">
        <w:tc>
          <w:tcPr>
            <w:tcW w:w="9669" w:type="dxa"/>
            <w:gridSpan w:val="3"/>
            <w:shd w:val="clear" w:color="auto" w:fill="7030A0"/>
          </w:tcPr>
          <w:p w:rsidR="004003EA" w:rsidRPr="00441E1F" w:rsidRDefault="0056006D" w:rsidP="004003EA">
            <w:pPr>
              <w:rPr>
                <w:rFonts w:ascii="Arial" w:hAnsi="Arial" w:cs="Arial"/>
                <w:b/>
                <w:sz w:val="24"/>
                <w:szCs w:val="24"/>
              </w:rPr>
            </w:pPr>
            <w:r w:rsidRPr="00441E1F">
              <w:rPr>
                <w:rFonts w:ascii="Arial" w:hAnsi="Arial" w:cs="Arial"/>
                <w:b/>
                <w:sz w:val="24"/>
                <w:szCs w:val="24"/>
              </w:rPr>
              <w:t>Syllabus</w:t>
            </w:r>
            <w:r w:rsidR="00B274A6" w:rsidRPr="00441E1F">
              <w:rPr>
                <w:rFonts w:ascii="Arial" w:hAnsi="Arial" w:cs="Arial"/>
                <w:b/>
                <w:sz w:val="24"/>
                <w:szCs w:val="24"/>
              </w:rPr>
              <w:t xml:space="preserve"> content</w:t>
            </w:r>
          </w:p>
        </w:tc>
      </w:tr>
      <w:tr w:rsidR="00441E1F" w:rsidRPr="00441E1F" w:rsidTr="00345BBB">
        <w:tc>
          <w:tcPr>
            <w:tcW w:w="9669" w:type="dxa"/>
            <w:gridSpan w:val="3"/>
          </w:tcPr>
          <w:p w:rsidR="0073782A" w:rsidRPr="00441E1F" w:rsidRDefault="0073782A" w:rsidP="0073782A">
            <w:pPr>
              <w:rPr>
                <w:rFonts w:ascii="Palatino Linotype" w:hAnsi="Palatino Linotype" w:cstheme="minorHAnsi"/>
              </w:rPr>
            </w:pPr>
            <w:r w:rsidRPr="00441E1F">
              <w:rPr>
                <w:rFonts w:ascii="Palatino Linotype" w:hAnsi="Palatino Linotype" w:cstheme="minorHAnsi"/>
              </w:rPr>
              <w:t>The course will cover:</w:t>
            </w:r>
          </w:p>
          <w:p w:rsidR="0073782A" w:rsidRPr="00441E1F" w:rsidRDefault="0073782A" w:rsidP="0073782A">
            <w:pPr>
              <w:rPr>
                <w:rFonts w:ascii="Palatino Linotype" w:hAnsi="Palatino Linotype" w:cstheme="minorHAnsi"/>
              </w:rPr>
            </w:pPr>
            <w:r w:rsidRPr="00441E1F">
              <w:rPr>
                <w:rFonts w:ascii="Palatino Linotype" w:hAnsi="Palatino Linotype" w:cstheme="minorHAnsi"/>
              </w:rPr>
              <w:t>- Endogeneity and Basic Identification Strategies</w:t>
            </w:r>
          </w:p>
          <w:p w:rsidR="0073782A" w:rsidRPr="00441E1F" w:rsidRDefault="0073782A" w:rsidP="0073782A">
            <w:pPr>
              <w:rPr>
                <w:rFonts w:ascii="Palatino Linotype" w:hAnsi="Palatino Linotype" w:cstheme="minorHAnsi"/>
              </w:rPr>
            </w:pPr>
            <w:r w:rsidRPr="00441E1F">
              <w:rPr>
                <w:rFonts w:ascii="Palatino Linotype" w:hAnsi="Palatino Linotype" w:cstheme="minorHAnsi"/>
              </w:rPr>
              <w:t>- Difference Estimators</w:t>
            </w:r>
          </w:p>
          <w:p w:rsidR="0073782A" w:rsidRPr="00441E1F" w:rsidRDefault="0073782A" w:rsidP="0073782A">
            <w:pPr>
              <w:rPr>
                <w:rFonts w:ascii="Palatino Linotype" w:hAnsi="Palatino Linotype" w:cstheme="minorHAnsi"/>
              </w:rPr>
            </w:pPr>
            <w:r w:rsidRPr="00441E1F">
              <w:rPr>
                <w:rFonts w:ascii="Palatino Linotype" w:hAnsi="Palatino Linotype" w:cstheme="minorHAnsi"/>
              </w:rPr>
              <w:t>- LATE and Regression Discontinuity Design</w:t>
            </w:r>
          </w:p>
          <w:p w:rsidR="00C7344D" w:rsidRPr="00441E1F" w:rsidRDefault="0073782A" w:rsidP="0073782A">
            <w:pPr>
              <w:rPr>
                <w:rFonts w:ascii="Palatino Linotype" w:hAnsi="Palatino Linotype" w:cstheme="minorHAnsi"/>
              </w:rPr>
            </w:pPr>
            <w:r w:rsidRPr="00441E1F">
              <w:rPr>
                <w:rFonts w:ascii="Palatino Linotype" w:hAnsi="Palatino Linotype" w:cstheme="minorHAnsi"/>
              </w:rPr>
              <w:t>- Matching Estimators</w:t>
            </w:r>
          </w:p>
          <w:p w:rsidR="0073782A" w:rsidRPr="00441E1F" w:rsidRDefault="0073782A" w:rsidP="0073782A">
            <w:pPr>
              <w:rPr>
                <w:rFonts w:ascii="Arial" w:hAnsi="Arial" w:cs="Arial"/>
                <w:b/>
              </w:rPr>
            </w:pPr>
          </w:p>
        </w:tc>
      </w:tr>
      <w:tr w:rsidR="00441E1F" w:rsidRPr="00441E1F" w:rsidTr="00345BBB">
        <w:tc>
          <w:tcPr>
            <w:tcW w:w="9669" w:type="dxa"/>
            <w:gridSpan w:val="3"/>
            <w:shd w:val="clear" w:color="auto" w:fill="7030A0"/>
          </w:tcPr>
          <w:p w:rsidR="009A2688" w:rsidRPr="00441E1F" w:rsidRDefault="00C7344D" w:rsidP="003A0F8F">
            <w:pPr>
              <w:rPr>
                <w:rFonts w:ascii="Arial" w:hAnsi="Arial" w:cs="Arial"/>
                <w:b/>
                <w:sz w:val="24"/>
                <w:szCs w:val="24"/>
              </w:rPr>
            </w:pPr>
            <w:r w:rsidRPr="00441E1F">
              <w:rPr>
                <w:rFonts w:ascii="Arial" w:hAnsi="Arial" w:cs="Arial"/>
                <w:b/>
                <w:sz w:val="24"/>
                <w:szCs w:val="24"/>
              </w:rPr>
              <w:t>M</w:t>
            </w:r>
            <w:r w:rsidR="00AA2E20" w:rsidRPr="00441E1F">
              <w:rPr>
                <w:rFonts w:ascii="Arial" w:hAnsi="Arial" w:cs="Arial"/>
                <w:b/>
                <w:sz w:val="24"/>
                <w:szCs w:val="24"/>
              </w:rPr>
              <w:t>ethods of d</w:t>
            </w:r>
            <w:r w:rsidR="009A2688" w:rsidRPr="00441E1F">
              <w:rPr>
                <w:rFonts w:ascii="Arial" w:hAnsi="Arial" w:cs="Arial"/>
                <w:b/>
                <w:sz w:val="24"/>
                <w:szCs w:val="24"/>
              </w:rPr>
              <w:t>elivery</w:t>
            </w:r>
          </w:p>
        </w:tc>
      </w:tr>
      <w:tr w:rsidR="00441E1F" w:rsidRPr="00441E1F" w:rsidTr="006A15A6">
        <w:tc>
          <w:tcPr>
            <w:tcW w:w="4729" w:type="dxa"/>
            <w:gridSpan w:val="2"/>
            <w:shd w:val="clear" w:color="auto" w:fill="D9D9D9" w:themeFill="background1" w:themeFillShade="D9"/>
          </w:tcPr>
          <w:p w:rsidR="00AA2E20" w:rsidRPr="00441E1F" w:rsidRDefault="00AA2E20" w:rsidP="004003EA">
            <w:pPr>
              <w:rPr>
                <w:rFonts w:ascii="Calibri" w:hAnsi="Calibri" w:cs="Calibri"/>
                <w:b/>
                <w:sz w:val="24"/>
                <w:szCs w:val="24"/>
              </w:rPr>
            </w:pPr>
            <w:r w:rsidRPr="00441E1F">
              <w:rPr>
                <w:rFonts w:ascii="Calibri" w:hAnsi="Calibri" w:cs="Calibri"/>
                <w:b/>
                <w:sz w:val="24"/>
                <w:szCs w:val="24"/>
              </w:rPr>
              <w:t>Lectures</w:t>
            </w:r>
          </w:p>
        </w:tc>
        <w:tc>
          <w:tcPr>
            <w:tcW w:w="4940" w:type="dxa"/>
          </w:tcPr>
          <w:p w:rsidR="0073782A" w:rsidRPr="00441E1F" w:rsidRDefault="0073782A" w:rsidP="0073782A">
            <w:pPr>
              <w:rPr>
                <w:rFonts w:ascii="Palatino Linotype" w:hAnsi="Palatino Linotype"/>
              </w:rPr>
            </w:pPr>
            <w:r w:rsidRPr="00441E1F">
              <w:rPr>
                <w:rFonts w:ascii="Palatino Linotype" w:hAnsi="Palatino Linotype"/>
              </w:rPr>
              <w:t xml:space="preserve">The course will take place in the third week of May. There will be three sessions of two hours </w:t>
            </w:r>
            <w:r w:rsidRPr="00441E1F">
              <w:rPr>
                <w:rFonts w:ascii="Palatino Linotype" w:hAnsi="Palatino Linotype"/>
              </w:rPr>
              <w:lastRenderedPageBreak/>
              <w:t>and half each from Monday to Wednesday and one session of one hour and half on Thursday.</w:t>
            </w:r>
          </w:p>
          <w:p w:rsidR="00AA2E20" w:rsidRPr="00441E1F" w:rsidRDefault="0073782A" w:rsidP="0073782A">
            <w:pPr>
              <w:rPr>
                <w:rFonts w:ascii="Palatino Linotype" w:hAnsi="Palatino Linotype"/>
              </w:rPr>
            </w:pPr>
            <w:r w:rsidRPr="00441E1F">
              <w:rPr>
                <w:rFonts w:ascii="Palatino Linotype" w:hAnsi="Palatino Linotype"/>
              </w:rPr>
              <w:t>9</w:t>
            </w:r>
          </w:p>
          <w:p w:rsidR="0073782A" w:rsidRPr="00441E1F" w:rsidRDefault="0073782A" w:rsidP="0073782A">
            <w:pPr>
              <w:rPr>
                <w:rFonts w:ascii="Palatino Linotype" w:hAnsi="Palatino Linotype"/>
              </w:rPr>
            </w:pPr>
          </w:p>
          <w:p w:rsidR="0073782A" w:rsidRPr="00441E1F" w:rsidRDefault="0073782A" w:rsidP="0073782A">
            <w:pPr>
              <w:rPr>
                <w:rFonts w:ascii="Palatino Linotype" w:hAnsi="Palatino Linotype"/>
              </w:rPr>
            </w:pPr>
            <w:r w:rsidRPr="00441E1F">
              <w:rPr>
                <w:rFonts w:ascii="Palatino Linotype" w:hAnsi="Palatino Linotype"/>
              </w:rPr>
              <w:t xml:space="preserve">Attendance is compulsory in all lectures and </w:t>
            </w:r>
            <w:proofErr w:type="gramStart"/>
            <w:r w:rsidRPr="00441E1F">
              <w:rPr>
                <w:rFonts w:ascii="Palatino Linotype" w:hAnsi="Palatino Linotype"/>
              </w:rPr>
              <w:t>will be monitored</w:t>
            </w:r>
            <w:proofErr w:type="gramEnd"/>
            <w:r w:rsidRPr="00441E1F">
              <w:rPr>
                <w:rFonts w:ascii="Palatino Linotype" w:hAnsi="Palatino Linotype"/>
              </w:rPr>
              <w:t xml:space="preserve"> every day.</w:t>
            </w:r>
          </w:p>
          <w:p w:rsidR="0073782A" w:rsidRPr="00441E1F" w:rsidRDefault="0073782A" w:rsidP="0073782A">
            <w:pPr>
              <w:rPr>
                <w:rFonts w:ascii="Palatino Linotype" w:hAnsi="Palatino Linotype"/>
              </w:rPr>
            </w:pPr>
          </w:p>
        </w:tc>
      </w:tr>
      <w:tr w:rsidR="00441E1F" w:rsidRPr="00441E1F" w:rsidTr="006A15A6">
        <w:tc>
          <w:tcPr>
            <w:tcW w:w="4729" w:type="dxa"/>
            <w:gridSpan w:val="2"/>
            <w:shd w:val="clear" w:color="auto" w:fill="D9D9D9" w:themeFill="background1" w:themeFillShade="D9"/>
          </w:tcPr>
          <w:p w:rsidR="00AA2E20" w:rsidRPr="00441E1F" w:rsidRDefault="00AA2E20" w:rsidP="004003EA">
            <w:pPr>
              <w:rPr>
                <w:rFonts w:ascii="Calibri" w:hAnsi="Calibri" w:cs="Calibri"/>
                <w:b/>
                <w:sz w:val="24"/>
                <w:szCs w:val="24"/>
              </w:rPr>
            </w:pPr>
            <w:r w:rsidRPr="00441E1F">
              <w:rPr>
                <w:rFonts w:ascii="Calibri" w:hAnsi="Calibri" w:cs="Calibri"/>
                <w:b/>
                <w:sz w:val="24"/>
                <w:szCs w:val="24"/>
              </w:rPr>
              <w:lastRenderedPageBreak/>
              <w:t>Seminar/Tutorial/Workshop/Lab Hours</w:t>
            </w:r>
          </w:p>
          <w:p w:rsidR="00AA2E20" w:rsidRPr="00441E1F" w:rsidRDefault="00AA2E20" w:rsidP="004003EA">
            <w:pPr>
              <w:rPr>
                <w:rFonts w:ascii="Calibri" w:hAnsi="Calibri" w:cs="Calibri"/>
                <w:b/>
                <w:sz w:val="24"/>
                <w:szCs w:val="24"/>
              </w:rPr>
            </w:pPr>
          </w:p>
        </w:tc>
        <w:tc>
          <w:tcPr>
            <w:tcW w:w="4940" w:type="dxa"/>
          </w:tcPr>
          <w:p w:rsidR="00AA2E20" w:rsidRPr="00441E1F" w:rsidRDefault="00AA2E20" w:rsidP="004003EA">
            <w:pPr>
              <w:rPr>
                <w:rFonts w:ascii="Palatino Linotype" w:hAnsi="Palatino Linotype"/>
              </w:rPr>
            </w:pPr>
          </w:p>
        </w:tc>
      </w:tr>
      <w:tr w:rsidR="00441E1F" w:rsidRPr="00441E1F" w:rsidTr="006A15A6">
        <w:tc>
          <w:tcPr>
            <w:tcW w:w="4729" w:type="dxa"/>
            <w:gridSpan w:val="2"/>
            <w:shd w:val="clear" w:color="auto" w:fill="D9D9D9" w:themeFill="background1" w:themeFillShade="D9"/>
          </w:tcPr>
          <w:p w:rsidR="00AA2E20" w:rsidRPr="00441E1F" w:rsidRDefault="00CF3EFD" w:rsidP="004003EA">
            <w:pPr>
              <w:rPr>
                <w:rFonts w:ascii="Calibri" w:hAnsi="Calibri" w:cs="Calibri"/>
                <w:b/>
                <w:sz w:val="24"/>
                <w:szCs w:val="24"/>
              </w:rPr>
            </w:pPr>
            <w:r w:rsidRPr="00441E1F">
              <w:rPr>
                <w:rFonts w:ascii="Calibri" w:hAnsi="Calibri" w:cs="Calibri"/>
                <w:b/>
                <w:sz w:val="24"/>
                <w:szCs w:val="24"/>
              </w:rPr>
              <w:t>Independent</w:t>
            </w:r>
            <w:r w:rsidR="00AA2E20" w:rsidRPr="00441E1F">
              <w:rPr>
                <w:rFonts w:ascii="Calibri" w:hAnsi="Calibri" w:cs="Calibri"/>
                <w:b/>
                <w:sz w:val="24"/>
                <w:szCs w:val="24"/>
              </w:rPr>
              <w:t xml:space="preserve"> Study</w:t>
            </w:r>
          </w:p>
        </w:tc>
        <w:tc>
          <w:tcPr>
            <w:tcW w:w="4940" w:type="dxa"/>
          </w:tcPr>
          <w:p w:rsidR="00B274A6" w:rsidRPr="00441E1F" w:rsidRDefault="0073782A" w:rsidP="004003EA">
            <w:pPr>
              <w:rPr>
                <w:rFonts w:ascii="Palatino Linotype" w:hAnsi="Palatino Linotype"/>
              </w:rPr>
            </w:pPr>
            <w:r w:rsidRPr="00441E1F">
              <w:rPr>
                <w:rFonts w:ascii="Palatino Linotype" w:hAnsi="Palatino Linotype"/>
              </w:rPr>
              <w:t>141</w:t>
            </w:r>
          </w:p>
        </w:tc>
      </w:tr>
      <w:tr w:rsidR="00441E1F" w:rsidRPr="00441E1F" w:rsidTr="006A15A6">
        <w:tc>
          <w:tcPr>
            <w:tcW w:w="4729" w:type="dxa"/>
            <w:gridSpan w:val="2"/>
            <w:shd w:val="clear" w:color="auto" w:fill="D9D9D9" w:themeFill="background1" w:themeFillShade="D9"/>
          </w:tcPr>
          <w:p w:rsidR="00AA2E20" w:rsidRPr="00441E1F" w:rsidRDefault="00AA2E20" w:rsidP="004003EA">
            <w:pPr>
              <w:rPr>
                <w:rFonts w:ascii="Calibri" w:hAnsi="Calibri" w:cs="Calibri"/>
                <w:b/>
                <w:sz w:val="24"/>
                <w:szCs w:val="24"/>
              </w:rPr>
            </w:pPr>
            <w:r w:rsidRPr="00441E1F">
              <w:rPr>
                <w:rFonts w:ascii="Calibri" w:hAnsi="Calibri" w:cs="Calibri"/>
                <w:b/>
                <w:sz w:val="24"/>
                <w:szCs w:val="24"/>
              </w:rPr>
              <w:t>Total Study Hours</w:t>
            </w:r>
          </w:p>
          <w:p w:rsidR="00AA2E20" w:rsidRPr="00441E1F" w:rsidRDefault="00AA2E20" w:rsidP="004003EA">
            <w:pPr>
              <w:rPr>
                <w:rFonts w:ascii="Calibri" w:hAnsi="Calibri" w:cs="Calibri"/>
                <w:b/>
                <w:sz w:val="24"/>
                <w:szCs w:val="24"/>
              </w:rPr>
            </w:pPr>
          </w:p>
        </w:tc>
        <w:tc>
          <w:tcPr>
            <w:tcW w:w="4940" w:type="dxa"/>
          </w:tcPr>
          <w:p w:rsidR="00B274A6" w:rsidRPr="00441E1F" w:rsidRDefault="0073782A" w:rsidP="004003EA">
            <w:pPr>
              <w:rPr>
                <w:rFonts w:ascii="Palatino Linotype" w:hAnsi="Palatino Linotype"/>
              </w:rPr>
            </w:pPr>
            <w:r w:rsidRPr="00441E1F">
              <w:rPr>
                <w:rFonts w:ascii="Palatino Linotype" w:hAnsi="Palatino Linotype"/>
              </w:rPr>
              <w:t>150</w:t>
            </w:r>
          </w:p>
        </w:tc>
      </w:tr>
      <w:tr w:rsidR="00441E1F" w:rsidRPr="00441E1F" w:rsidTr="00345BBB">
        <w:trPr>
          <w:trHeight w:val="254"/>
        </w:trPr>
        <w:tc>
          <w:tcPr>
            <w:tcW w:w="9669" w:type="dxa"/>
            <w:gridSpan w:val="3"/>
            <w:shd w:val="clear" w:color="auto" w:fill="7030A0"/>
          </w:tcPr>
          <w:p w:rsidR="00B76C82" w:rsidRPr="00441E1F" w:rsidRDefault="00B76C82" w:rsidP="003A0F8F">
            <w:pPr>
              <w:rPr>
                <w:rFonts w:ascii="Arial" w:hAnsi="Arial" w:cs="Arial"/>
                <w:b/>
                <w:sz w:val="24"/>
                <w:szCs w:val="24"/>
              </w:rPr>
            </w:pPr>
            <w:r w:rsidRPr="00441E1F">
              <w:rPr>
                <w:rFonts w:ascii="Arial" w:hAnsi="Arial" w:cs="Arial"/>
                <w:b/>
                <w:sz w:val="24"/>
                <w:szCs w:val="24"/>
              </w:rPr>
              <w:t>Reading List</w:t>
            </w:r>
          </w:p>
        </w:tc>
      </w:tr>
      <w:tr w:rsidR="00441E1F" w:rsidRPr="00441E1F" w:rsidTr="00345BBB">
        <w:tc>
          <w:tcPr>
            <w:tcW w:w="9669" w:type="dxa"/>
            <w:gridSpan w:val="3"/>
          </w:tcPr>
          <w:p w:rsidR="00441E1F" w:rsidRPr="00441E1F" w:rsidRDefault="00441E1F" w:rsidP="00441E1F">
            <w:pPr>
              <w:pStyle w:val="Default"/>
              <w:rPr>
                <w:color w:val="auto"/>
                <w:sz w:val="22"/>
                <w:szCs w:val="22"/>
              </w:rPr>
            </w:pPr>
            <w:r w:rsidRPr="00441E1F">
              <w:rPr>
                <w:color w:val="auto"/>
                <w:sz w:val="22"/>
                <w:szCs w:val="22"/>
              </w:rPr>
              <w:t xml:space="preserve">There is no required textbook. Readings </w:t>
            </w:r>
            <w:proofErr w:type="gramStart"/>
            <w:r w:rsidRPr="00441E1F">
              <w:rPr>
                <w:color w:val="auto"/>
                <w:sz w:val="22"/>
                <w:szCs w:val="22"/>
              </w:rPr>
              <w:t>will be based</w:t>
            </w:r>
            <w:proofErr w:type="gramEnd"/>
            <w:r w:rsidRPr="00441E1F">
              <w:rPr>
                <w:color w:val="auto"/>
                <w:sz w:val="22"/>
                <w:szCs w:val="22"/>
              </w:rPr>
              <w:t xml:space="preserve"> on articles. Reading assignments will follow the sequence provided below. Papers </w:t>
            </w:r>
            <w:proofErr w:type="spellStart"/>
            <w:r w:rsidRPr="00441E1F">
              <w:rPr>
                <w:color w:val="auto"/>
                <w:sz w:val="22"/>
                <w:szCs w:val="22"/>
              </w:rPr>
              <w:t>anteceded</w:t>
            </w:r>
            <w:proofErr w:type="spellEnd"/>
            <w:r w:rsidRPr="00441E1F">
              <w:rPr>
                <w:color w:val="auto"/>
                <w:sz w:val="22"/>
                <w:szCs w:val="22"/>
              </w:rPr>
              <w:t xml:space="preserve"> by an asterisk (*) are strongly recommended and covered during lectures. </w:t>
            </w:r>
            <w:r w:rsidRPr="00441E1F">
              <w:rPr>
                <w:b/>
                <w:bCs/>
                <w:color w:val="auto"/>
                <w:sz w:val="22"/>
                <w:szCs w:val="22"/>
              </w:rPr>
              <w:t>Preparation before each class is absolutely required and so an active interaction during the classes</w:t>
            </w:r>
            <w:r w:rsidRPr="00441E1F">
              <w:rPr>
                <w:color w:val="auto"/>
                <w:sz w:val="22"/>
                <w:szCs w:val="22"/>
              </w:rPr>
              <w:t xml:space="preserve">. </w:t>
            </w:r>
          </w:p>
          <w:p w:rsidR="00441E1F" w:rsidRPr="00441E1F" w:rsidRDefault="00441E1F" w:rsidP="00441E1F">
            <w:pPr>
              <w:pStyle w:val="Default"/>
              <w:rPr>
                <w:color w:val="auto"/>
                <w:sz w:val="22"/>
                <w:szCs w:val="22"/>
              </w:rPr>
            </w:pPr>
            <w:r w:rsidRPr="00441E1F">
              <w:rPr>
                <w:color w:val="auto"/>
                <w:sz w:val="22"/>
                <w:szCs w:val="22"/>
              </w:rPr>
              <w:t xml:space="preserve">The readings are all available </w:t>
            </w:r>
            <w:proofErr w:type="gramStart"/>
            <w:r w:rsidRPr="00441E1F">
              <w:rPr>
                <w:color w:val="auto"/>
                <w:sz w:val="22"/>
                <w:szCs w:val="22"/>
              </w:rPr>
              <w:t>for free</w:t>
            </w:r>
            <w:proofErr w:type="gramEnd"/>
            <w:r w:rsidRPr="00441E1F">
              <w:rPr>
                <w:color w:val="auto"/>
                <w:sz w:val="22"/>
                <w:szCs w:val="22"/>
              </w:rPr>
              <w:t xml:space="preserve"> on the web (e.g., from JSTOR, SSRN, the journal’s website, or authors’ websites). Students themselves should locate listed articles. </w:t>
            </w:r>
          </w:p>
          <w:p w:rsidR="00441E1F" w:rsidRPr="00441E1F" w:rsidRDefault="00441E1F" w:rsidP="00441E1F">
            <w:pPr>
              <w:pStyle w:val="Default"/>
              <w:rPr>
                <w:color w:val="auto"/>
                <w:sz w:val="22"/>
                <w:szCs w:val="22"/>
              </w:rPr>
            </w:pPr>
          </w:p>
          <w:p w:rsidR="00441E1F" w:rsidRPr="00441E1F" w:rsidRDefault="00441E1F" w:rsidP="00441E1F">
            <w:pPr>
              <w:pStyle w:val="Default"/>
              <w:rPr>
                <w:color w:val="auto"/>
                <w:sz w:val="18"/>
                <w:szCs w:val="18"/>
              </w:rPr>
            </w:pPr>
            <w:r w:rsidRPr="00441E1F">
              <w:rPr>
                <w:b/>
                <w:bCs/>
                <w:color w:val="auto"/>
                <w:sz w:val="22"/>
                <w:szCs w:val="22"/>
              </w:rPr>
              <w:t>L</w:t>
            </w:r>
            <w:r w:rsidRPr="00441E1F">
              <w:rPr>
                <w:b/>
                <w:bCs/>
                <w:color w:val="auto"/>
                <w:sz w:val="18"/>
                <w:szCs w:val="18"/>
              </w:rPr>
              <w:t xml:space="preserve">IST OF </w:t>
            </w:r>
            <w:r w:rsidRPr="00441E1F">
              <w:rPr>
                <w:b/>
                <w:bCs/>
                <w:color w:val="auto"/>
                <w:sz w:val="22"/>
                <w:szCs w:val="22"/>
              </w:rPr>
              <w:t>T</w:t>
            </w:r>
            <w:r w:rsidRPr="00441E1F">
              <w:rPr>
                <w:b/>
                <w:bCs/>
                <w:color w:val="auto"/>
                <w:sz w:val="18"/>
                <w:szCs w:val="18"/>
              </w:rPr>
              <w:t xml:space="preserve">OPICS AND </w:t>
            </w:r>
            <w:r w:rsidRPr="00441E1F">
              <w:rPr>
                <w:b/>
                <w:bCs/>
                <w:color w:val="auto"/>
                <w:sz w:val="22"/>
                <w:szCs w:val="22"/>
              </w:rPr>
              <w:t>R</w:t>
            </w:r>
            <w:r w:rsidRPr="00441E1F">
              <w:rPr>
                <w:b/>
                <w:bCs/>
                <w:color w:val="auto"/>
                <w:sz w:val="18"/>
                <w:szCs w:val="18"/>
              </w:rPr>
              <w:t xml:space="preserve">EADING </w:t>
            </w:r>
            <w:r w:rsidRPr="00441E1F">
              <w:rPr>
                <w:b/>
                <w:bCs/>
                <w:color w:val="auto"/>
                <w:sz w:val="22"/>
                <w:szCs w:val="22"/>
              </w:rPr>
              <w:t>M</w:t>
            </w:r>
            <w:r w:rsidRPr="00441E1F">
              <w:rPr>
                <w:b/>
                <w:bCs/>
                <w:color w:val="auto"/>
                <w:sz w:val="18"/>
                <w:szCs w:val="18"/>
              </w:rPr>
              <w:t xml:space="preserve">ATERIALS </w:t>
            </w:r>
          </w:p>
          <w:p w:rsidR="00441E1F" w:rsidRPr="00441E1F" w:rsidRDefault="00441E1F" w:rsidP="00441E1F">
            <w:pPr>
              <w:pStyle w:val="Default"/>
              <w:rPr>
                <w:color w:val="auto"/>
                <w:sz w:val="22"/>
                <w:szCs w:val="22"/>
              </w:rPr>
            </w:pPr>
            <w:r w:rsidRPr="00441E1F">
              <w:rPr>
                <w:b/>
                <w:bCs/>
                <w:color w:val="auto"/>
                <w:sz w:val="22"/>
                <w:szCs w:val="22"/>
              </w:rPr>
              <w:t xml:space="preserve">Endogeneity, Basic Identification, and Difference Estimators: Lecture Notes I &amp; II </w:t>
            </w:r>
          </w:p>
          <w:p w:rsidR="00441E1F" w:rsidRPr="00441E1F" w:rsidRDefault="00441E1F" w:rsidP="00441E1F">
            <w:r w:rsidRPr="00441E1F">
              <w:t xml:space="preserve">Ahern, K and A. </w:t>
            </w:r>
            <w:proofErr w:type="spellStart"/>
            <w:r w:rsidRPr="00441E1F">
              <w:t>Dittmar</w:t>
            </w:r>
            <w:proofErr w:type="spellEnd"/>
            <w:r w:rsidRPr="00441E1F">
              <w:t xml:space="preserve">, 2012, “The Changing of the Boards: The Impact of Firm Valuation of Mandated Female Board Representation?” </w:t>
            </w:r>
            <w:r w:rsidRPr="00441E1F">
              <w:rPr>
                <w:i/>
                <w:iCs/>
              </w:rPr>
              <w:t xml:space="preserve">Quarterly Journal of Economics </w:t>
            </w:r>
            <w:r w:rsidRPr="00441E1F">
              <w:t>125, 137-197.</w:t>
            </w:r>
          </w:p>
          <w:p w:rsidR="00441E1F" w:rsidRPr="00441E1F" w:rsidRDefault="00441E1F" w:rsidP="00441E1F">
            <w:pPr>
              <w:pStyle w:val="Default"/>
              <w:rPr>
                <w:color w:val="auto"/>
                <w:sz w:val="22"/>
                <w:szCs w:val="22"/>
              </w:rPr>
            </w:pPr>
            <w:r w:rsidRPr="00441E1F">
              <w:rPr>
                <w:color w:val="auto"/>
                <w:sz w:val="22"/>
                <w:szCs w:val="22"/>
              </w:rPr>
              <w:t xml:space="preserve">(*) Almeida, H. and M. </w:t>
            </w:r>
            <w:proofErr w:type="spellStart"/>
            <w:r w:rsidRPr="00441E1F">
              <w:rPr>
                <w:color w:val="auto"/>
                <w:sz w:val="22"/>
                <w:szCs w:val="22"/>
              </w:rPr>
              <w:t>Campello</w:t>
            </w:r>
            <w:proofErr w:type="spellEnd"/>
            <w:r w:rsidRPr="00441E1F">
              <w:rPr>
                <w:color w:val="auto"/>
                <w:sz w:val="22"/>
                <w:szCs w:val="22"/>
              </w:rPr>
              <w:t xml:space="preserve">, 2007, “Financial Constraints, Asset Tangibility, and Corporate Investment,” </w:t>
            </w:r>
            <w:r w:rsidRPr="00441E1F">
              <w:rPr>
                <w:i/>
                <w:iCs/>
                <w:color w:val="auto"/>
                <w:sz w:val="22"/>
                <w:szCs w:val="22"/>
              </w:rPr>
              <w:t xml:space="preserve">Review of Financial Studies </w:t>
            </w:r>
            <w:r w:rsidRPr="00441E1F">
              <w:rPr>
                <w:color w:val="auto"/>
                <w:sz w:val="22"/>
                <w:szCs w:val="22"/>
              </w:rPr>
              <w:t xml:space="preserve">20, 1429-1460. </w:t>
            </w:r>
          </w:p>
          <w:p w:rsidR="00441E1F" w:rsidRPr="00441E1F" w:rsidRDefault="00441E1F" w:rsidP="00441E1F">
            <w:pPr>
              <w:pStyle w:val="Default"/>
              <w:rPr>
                <w:color w:val="auto"/>
                <w:sz w:val="22"/>
                <w:szCs w:val="22"/>
              </w:rPr>
            </w:pPr>
            <w:r w:rsidRPr="00441E1F">
              <w:rPr>
                <w:color w:val="auto"/>
                <w:sz w:val="22"/>
                <w:szCs w:val="22"/>
              </w:rPr>
              <w:t xml:space="preserve">(*) Bertrand, M., E. </w:t>
            </w:r>
            <w:proofErr w:type="spellStart"/>
            <w:r w:rsidRPr="00441E1F">
              <w:rPr>
                <w:color w:val="auto"/>
                <w:sz w:val="22"/>
                <w:szCs w:val="22"/>
              </w:rPr>
              <w:t>Duflo</w:t>
            </w:r>
            <w:proofErr w:type="spellEnd"/>
            <w:r w:rsidRPr="00441E1F">
              <w:rPr>
                <w:color w:val="auto"/>
                <w:sz w:val="22"/>
                <w:szCs w:val="22"/>
              </w:rPr>
              <w:t xml:space="preserve">, and S. Mullainathan, 2004, “How Much Should We Trust Differences-in-Differences Estimates?” </w:t>
            </w:r>
            <w:r w:rsidRPr="00441E1F">
              <w:rPr>
                <w:i/>
                <w:iCs/>
                <w:color w:val="auto"/>
                <w:sz w:val="22"/>
                <w:szCs w:val="22"/>
              </w:rPr>
              <w:t xml:space="preserve">Quarterly Journal of Economics </w:t>
            </w:r>
            <w:r w:rsidRPr="00441E1F">
              <w:rPr>
                <w:color w:val="auto"/>
                <w:sz w:val="22"/>
                <w:szCs w:val="22"/>
              </w:rPr>
              <w:t>119</w:t>
            </w:r>
            <w:r w:rsidRPr="00441E1F">
              <w:rPr>
                <w:i/>
                <w:iCs/>
                <w:color w:val="auto"/>
                <w:sz w:val="22"/>
                <w:szCs w:val="22"/>
              </w:rPr>
              <w:t xml:space="preserve">, </w:t>
            </w:r>
            <w:r w:rsidRPr="00441E1F">
              <w:rPr>
                <w:color w:val="auto"/>
                <w:sz w:val="22"/>
                <w:szCs w:val="22"/>
              </w:rPr>
              <w:t xml:space="preserve">249-275. </w:t>
            </w:r>
          </w:p>
          <w:p w:rsidR="00441E1F" w:rsidRPr="00441E1F" w:rsidRDefault="00441E1F" w:rsidP="00441E1F">
            <w:pPr>
              <w:pStyle w:val="Default"/>
              <w:rPr>
                <w:color w:val="auto"/>
                <w:sz w:val="22"/>
                <w:szCs w:val="22"/>
              </w:rPr>
            </w:pPr>
            <w:r w:rsidRPr="00441E1F">
              <w:rPr>
                <w:color w:val="auto"/>
                <w:sz w:val="22"/>
                <w:szCs w:val="22"/>
              </w:rPr>
              <w:t xml:space="preserve">(*) Bertrand, M. and S. Mullainathan, 2003, “Enjoying the Quiet Life? Corporate Governance and Managerial Preferences,” </w:t>
            </w:r>
            <w:r w:rsidRPr="00441E1F">
              <w:rPr>
                <w:i/>
                <w:iCs/>
                <w:color w:val="auto"/>
                <w:sz w:val="22"/>
                <w:szCs w:val="22"/>
              </w:rPr>
              <w:t xml:space="preserve">Journal of Political Economy </w:t>
            </w:r>
            <w:r w:rsidRPr="00441E1F">
              <w:rPr>
                <w:color w:val="auto"/>
                <w:sz w:val="22"/>
                <w:szCs w:val="22"/>
              </w:rPr>
              <w:t xml:space="preserve">94, 991-1113. </w:t>
            </w:r>
          </w:p>
          <w:p w:rsidR="00441E1F" w:rsidRPr="00441E1F" w:rsidRDefault="00441E1F" w:rsidP="00441E1F">
            <w:pPr>
              <w:pStyle w:val="Default"/>
              <w:rPr>
                <w:color w:val="auto"/>
                <w:sz w:val="22"/>
                <w:szCs w:val="22"/>
              </w:rPr>
            </w:pPr>
            <w:r w:rsidRPr="00441E1F">
              <w:rPr>
                <w:color w:val="auto"/>
                <w:sz w:val="22"/>
                <w:szCs w:val="22"/>
              </w:rPr>
              <w:t xml:space="preserve">Bertrand, M. and S. Mullainathan, 2004, “Are Emily and Greg More Employable that Lakisha and Jamal? A Field Experiment on </w:t>
            </w:r>
            <w:proofErr w:type="spellStart"/>
            <w:r w:rsidRPr="00441E1F">
              <w:rPr>
                <w:color w:val="auto"/>
                <w:sz w:val="22"/>
                <w:szCs w:val="22"/>
              </w:rPr>
              <w:t>Labor</w:t>
            </w:r>
            <w:proofErr w:type="spellEnd"/>
            <w:r w:rsidRPr="00441E1F">
              <w:rPr>
                <w:color w:val="auto"/>
                <w:sz w:val="22"/>
                <w:szCs w:val="22"/>
              </w:rPr>
              <w:t xml:space="preserve"> Market Discrimination,” </w:t>
            </w:r>
            <w:r w:rsidRPr="00441E1F">
              <w:rPr>
                <w:i/>
                <w:iCs/>
                <w:color w:val="auto"/>
                <w:sz w:val="22"/>
                <w:szCs w:val="22"/>
              </w:rPr>
              <w:t xml:space="preserve">American Economic Review </w:t>
            </w:r>
            <w:r w:rsidRPr="00441E1F">
              <w:rPr>
                <w:color w:val="auto"/>
                <w:sz w:val="22"/>
                <w:szCs w:val="22"/>
              </w:rPr>
              <w:t xml:space="preserve">94, 991-1013. </w:t>
            </w:r>
          </w:p>
          <w:p w:rsidR="00441E1F" w:rsidRPr="00441E1F" w:rsidRDefault="00441E1F" w:rsidP="00441E1F">
            <w:pPr>
              <w:pStyle w:val="Default"/>
              <w:rPr>
                <w:color w:val="auto"/>
                <w:sz w:val="22"/>
                <w:szCs w:val="22"/>
              </w:rPr>
            </w:pPr>
            <w:r w:rsidRPr="00441E1F">
              <w:rPr>
                <w:color w:val="auto"/>
                <w:sz w:val="22"/>
                <w:szCs w:val="22"/>
              </w:rPr>
              <w:t xml:space="preserve">Bernstein, S., A. </w:t>
            </w:r>
            <w:proofErr w:type="spellStart"/>
            <w:r w:rsidRPr="00441E1F">
              <w:rPr>
                <w:color w:val="auto"/>
                <w:sz w:val="22"/>
                <w:szCs w:val="22"/>
              </w:rPr>
              <w:t>Kortweg</w:t>
            </w:r>
            <w:proofErr w:type="spellEnd"/>
            <w:r w:rsidRPr="00441E1F">
              <w:rPr>
                <w:color w:val="auto"/>
                <w:sz w:val="22"/>
                <w:szCs w:val="22"/>
              </w:rPr>
              <w:t xml:space="preserve">, and K. Laws, 2015, “Attracting Early Stage Investors: Evidence from a Randomized Field Experiment,” </w:t>
            </w:r>
            <w:r w:rsidRPr="00441E1F">
              <w:rPr>
                <w:i/>
                <w:iCs/>
                <w:color w:val="auto"/>
                <w:sz w:val="22"/>
                <w:szCs w:val="22"/>
              </w:rPr>
              <w:t>Journal of Finance</w:t>
            </w:r>
            <w:r w:rsidRPr="00441E1F">
              <w:rPr>
                <w:color w:val="auto"/>
                <w:sz w:val="22"/>
                <w:szCs w:val="22"/>
              </w:rPr>
              <w:t xml:space="preserve">, forthcoming. </w:t>
            </w:r>
          </w:p>
          <w:p w:rsidR="00441E1F" w:rsidRPr="00441E1F" w:rsidRDefault="00441E1F" w:rsidP="00441E1F">
            <w:pPr>
              <w:pStyle w:val="Default"/>
              <w:rPr>
                <w:color w:val="auto"/>
                <w:sz w:val="22"/>
                <w:szCs w:val="22"/>
              </w:rPr>
            </w:pPr>
            <w:proofErr w:type="spellStart"/>
            <w:r w:rsidRPr="00441E1F">
              <w:rPr>
                <w:color w:val="auto"/>
                <w:sz w:val="22"/>
                <w:szCs w:val="22"/>
              </w:rPr>
              <w:t>Besley</w:t>
            </w:r>
            <w:proofErr w:type="spellEnd"/>
            <w:r w:rsidRPr="00441E1F">
              <w:rPr>
                <w:color w:val="auto"/>
                <w:sz w:val="22"/>
                <w:szCs w:val="22"/>
              </w:rPr>
              <w:t xml:space="preserve">, T. and A. Case, 2000, “Unnatural Experiments? Estimating the Incidence of Endogenous Policies,” </w:t>
            </w:r>
            <w:r w:rsidRPr="00441E1F">
              <w:rPr>
                <w:i/>
                <w:iCs/>
                <w:color w:val="auto"/>
                <w:sz w:val="22"/>
                <w:szCs w:val="22"/>
              </w:rPr>
              <w:t xml:space="preserve">Economic Journal </w:t>
            </w:r>
            <w:r w:rsidRPr="00441E1F">
              <w:rPr>
                <w:color w:val="auto"/>
                <w:sz w:val="22"/>
                <w:szCs w:val="22"/>
              </w:rPr>
              <w:t xml:space="preserve">110, 672-694. </w:t>
            </w:r>
          </w:p>
          <w:p w:rsidR="00441E1F" w:rsidRPr="00441E1F" w:rsidRDefault="00441E1F" w:rsidP="00441E1F">
            <w:pPr>
              <w:pStyle w:val="Default"/>
              <w:rPr>
                <w:color w:val="auto"/>
                <w:sz w:val="22"/>
                <w:szCs w:val="22"/>
              </w:rPr>
            </w:pPr>
            <w:r w:rsidRPr="00441E1F">
              <w:rPr>
                <w:color w:val="auto"/>
                <w:sz w:val="22"/>
                <w:szCs w:val="22"/>
              </w:rPr>
              <w:t>(*) Blanchard, O., F. Lopez-de-</w:t>
            </w:r>
            <w:proofErr w:type="spellStart"/>
            <w:r w:rsidRPr="00441E1F">
              <w:rPr>
                <w:color w:val="auto"/>
                <w:sz w:val="22"/>
                <w:szCs w:val="22"/>
              </w:rPr>
              <w:t>Silanes</w:t>
            </w:r>
            <w:proofErr w:type="spellEnd"/>
            <w:r w:rsidRPr="00441E1F">
              <w:rPr>
                <w:color w:val="auto"/>
                <w:sz w:val="22"/>
                <w:szCs w:val="22"/>
              </w:rPr>
              <w:t xml:space="preserve">, and A. Shleifer, 1994, “What do Firms do with Cash Windfalls?” </w:t>
            </w:r>
            <w:r w:rsidRPr="00441E1F">
              <w:rPr>
                <w:i/>
                <w:iCs/>
                <w:color w:val="auto"/>
                <w:sz w:val="22"/>
                <w:szCs w:val="22"/>
              </w:rPr>
              <w:t xml:space="preserve">Journal of Financial Economics </w:t>
            </w:r>
            <w:r w:rsidRPr="00441E1F">
              <w:rPr>
                <w:color w:val="auto"/>
                <w:sz w:val="22"/>
                <w:szCs w:val="22"/>
              </w:rPr>
              <w:t xml:space="preserve">36, 337-360. </w:t>
            </w:r>
          </w:p>
          <w:p w:rsidR="00441E1F" w:rsidRPr="00441E1F" w:rsidRDefault="00441E1F" w:rsidP="00441E1F">
            <w:pPr>
              <w:pStyle w:val="Default"/>
              <w:rPr>
                <w:color w:val="auto"/>
                <w:sz w:val="22"/>
                <w:szCs w:val="22"/>
              </w:rPr>
            </w:pPr>
            <w:r w:rsidRPr="00441E1F">
              <w:rPr>
                <w:color w:val="auto"/>
                <w:sz w:val="22"/>
                <w:szCs w:val="22"/>
              </w:rPr>
              <w:t xml:space="preserve">(*) Butler, A. and J. </w:t>
            </w:r>
            <w:proofErr w:type="spellStart"/>
            <w:r w:rsidRPr="00441E1F">
              <w:rPr>
                <w:color w:val="auto"/>
                <w:sz w:val="22"/>
                <w:szCs w:val="22"/>
              </w:rPr>
              <w:t>Cornaggia</w:t>
            </w:r>
            <w:proofErr w:type="spellEnd"/>
            <w:r w:rsidRPr="00441E1F">
              <w:rPr>
                <w:color w:val="auto"/>
                <w:sz w:val="22"/>
                <w:szCs w:val="22"/>
              </w:rPr>
              <w:t xml:space="preserve">, 2011, “Does Access to External Finance Improve Productivity? Evidence from a Natural Experiment,” </w:t>
            </w:r>
            <w:r w:rsidRPr="00441E1F">
              <w:rPr>
                <w:i/>
                <w:iCs/>
                <w:color w:val="auto"/>
                <w:sz w:val="22"/>
                <w:szCs w:val="22"/>
              </w:rPr>
              <w:t xml:space="preserve">Journal of Financial Economics </w:t>
            </w:r>
            <w:r w:rsidRPr="00441E1F">
              <w:rPr>
                <w:color w:val="auto"/>
                <w:sz w:val="22"/>
                <w:szCs w:val="22"/>
              </w:rPr>
              <w:t xml:space="preserve">99, 184-203. </w:t>
            </w:r>
          </w:p>
          <w:p w:rsidR="00441E1F" w:rsidRPr="00441E1F" w:rsidRDefault="00441E1F" w:rsidP="00441E1F">
            <w:pPr>
              <w:pStyle w:val="Default"/>
              <w:rPr>
                <w:color w:val="auto"/>
                <w:sz w:val="22"/>
                <w:szCs w:val="22"/>
              </w:rPr>
            </w:pPr>
            <w:r w:rsidRPr="00441E1F">
              <w:rPr>
                <w:color w:val="auto"/>
                <w:sz w:val="22"/>
                <w:szCs w:val="22"/>
              </w:rPr>
              <w:t xml:space="preserve">(*) </w:t>
            </w:r>
            <w:proofErr w:type="spellStart"/>
            <w:r w:rsidRPr="00441E1F">
              <w:rPr>
                <w:color w:val="auto"/>
                <w:sz w:val="22"/>
                <w:szCs w:val="22"/>
              </w:rPr>
              <w:t>Campello</w:t>
            </w:r>
            <w:proofErr w:type="spellEnd"/>
            <w:r w:rsidRPr="00441E1F">
              <w:rPr>
                <w:color w:val="auto"/>
                <w:sz w:val="22"/>
                <w:szCs w:val="22"/>
              </w:rPr>
              <w:t xml:space="preserve">, M. and J. Graham, 2013, “Do Stock Prices Influence Corporate Decisions? Evidence from the Technology Bubble,” </w:t>
            </w:r>
            <w:r w:rsidRPr="00441E1F">
              <w:rPr>
                <w:i/>
                <w:iCs/>
                <w:color w:val="auto"/>
                <w:sz w:val="22"/>
                <w:szCs w:val="22"/>
              </w:rPr>
              <w:t>Journal of Financial Economics</w:t>
            </w:r>
            <w:r w:rsidRPr="00441E1F">
              <w:rPr>
                <w:color w:val="auto"/>
                <w:sz w:val="22"/>
                <w:szCs w:val="22"/>
              </w:rPr>
              <w:t xml:space="preserve">, 107, 89-110. </w:t>
            </w:r>
          </w:p>
          <w:p w:rsidR="00441E1F" w:rsidRPr="00441E1F" w:rsidRDefault="00441E1F" w:rsidP="00441E1F">
            <w:pPr>
              <w:pStyle w:val="Default"/>
              <w:rPr>
                <w:color w:val="auto"/>
                <w:sz w:val="22"/>
                <w:szCs w:val="22"/>
              </w:rPr>
            </w:pPr>
            <w:r w:rsidRPr="00441E1F">
              <w:rPr>
                <w:color w:val="auto"/>
                <w:sz w:val="22"/>
                <w:szCs w:val="22"/>
              </w:rPr>
              <w:t xml:space="preserve">(*) </w:t>
            </w:r>
            <w:proofErr w:type="spellStart"/>
            <w:r w:rsidRPr="00441E1F">
              <w:rPr>
                <w:color w:val="auto"/>
                <w:sz w:val="22"/>
                <w:szCs w:val="22"/>
              </w:rPr>
              <w:t>Campello</w:t>
            </w:r>
            <w:proofErr w:type="spellEnd"/>
            <w:r w:rsidRPr="00441E1F">
              <w:rPr>
                <w:color w:val="auto"/>
                <w:sz w:val="22"/>
                <w:szCs w:val="22"/>
              </w:rPr>
              <w:t xml:space="preserve">, M. and E. </w:t>
            </w:r>
            <w:proofErr w:type="spellStart"/>
            <w:r w:rsidRPr="00441E1F">
              <w:rPr>
                <w:color w:val="auto"/>
                <w:sz w:val="22"/>
                <w:szCs w:val="22"/>
              </w:rPr>
              <w:t>Giambona</w:t>
            </w:r>
            <w:proofErr w:type="spellEnd"/>
            <w:r w:rsidRPr="00441E1F">
              <w:rPr>
                <w:color w:val="auto"/>
                <w:sz w:val="22"/>
                <w:szCs w:val="22"/>
              </w:rPr>
              <w:t xml:space="preserve">, 2013, “Real Assets and Capital Structure,” </w:t>
            </w:r>
            <w:r w:rsidRPr="00441E1F">
              <w:rPr>
                <w:i/>
                <w:iCs/>
                <w:color w:val="auto"/>
                <w:sz w:val="22"/>
                <w:szCs w:val="22"/>
              </w:rPr>
              <w:t xml:space="preserve">Journal of Financial and Quantitative Analysis </w:t>
            </w:r>
            <w:r w:rsidRPr="00441E1F">
              <w:rPr>
                <w:color w:val="auto"/>
                <w:sz w:val="22"/>
                <w:szCs w:val="22"/>
              </w:rPr>
              <w:t xml:space="preserve">48, 1333-1370. </w:t>
            </w:r>
          </w:p>
          <w:p w:rsidR="00441E1F" w:rsidRPr="00441E1F" w:rsidRDefault="00441E1F" w:rsidP="00441E1F">
            <w:pPr>
              <w:pStyle w:val="Default"/>
              <w:rPr>
                <w:color w:val="auto"/>
                <w:sz w:val="22"/>
                <w:szCs w:val="22"/>
              </w:rPr>
            </w:pPr>
            <w:proofErr w:type="spellStart"/>
            <w:r w:rsidRPr="00441E1F">
              <w:rPr>
                <w:color w:val="auto"/>
                <w:sz w:val="22"/>
                <w:szCs w:val="22"/>
              </w:rPr>
              <w:t>Grullon</w:t>
            </w:r>
            <w:proofErr w:type="spellEnd"/>
            <w:r w:rsidRPr="00441E1F">
              <w:rPr>
                <w:color w:val="auto"/>
                <w:sz w:val="22"/>
                <w:szCs w:val="22"/>
              </w:rPr>
              <w:t xml:space="preserve">, G., S. </w:t>
            </w:r>
            <w:proofErr w:type="spellStart"/>
            <w:r w:rsidRPr="00441E1F">
              <w:rPr>
                <w:color w:val="auto"/>
                <w:sz w:val="22"/>
                <w:szCs w:val="22"/>
              </w:rPr>
              <w:t>Michenaud</w:t>
            </w:r>
            <w:proofErr w:type="spellEnd"/>
            <w:r w:rsidRPr="00441E1F">
              <w:rPr>
                <w:color w:val="auto"/>
                <w:sz w:val="22"/>
                <w:szCs w:val="22"/>
              </w:rPr>
              <w:t xml:space="preserve">, and J. Weston, 2015, “The Real Effects of Short Selling Constraints,” </w:t>
            </w:r>
            <w:r w:rsidRPr="00441E1F">
              <w:rPr>
                <w:i/>
                <w:iCs/>
                <w:color w:val="auto"/>
                <w:sz w:val="22"/>
                <w:szCs w:val="22"/>
              </w:rPr>
              <w:t xml:space="preserve">Review of Financial Studies </w:t>
            </w:r>
            <w:r w:rsidRPr="00441E1F">
              <w:rPr>
                <w:color w:val="auto"/>
                <w:sz w:val="22"/>
                <w:szCs w:val="22"/>
              </w:rPr>
              <w:t xml:space="preserve">28, 1737-1767. </w:t>
            </w:r>
          </w:p>
          <w:p w:rsidR="00441E1F" w:rsidRPr="00441E1F" w:rsidRDefault="00441E1F" w:rsidP="00441E1F">
            <w:pPr>
              <w:pStyle w:val="Default"/>
              <w:rPr>
                <w:color w:val="auto"/>
                <w:sz w:val="22"/>
                <w:szCs w:val="22"/>
              </w:rPr>
            </w:pPr>
            <w:proofErr w:type="spellStart"/>
            <w:r w:rsidRPr="00441E1F">
              <w:rPr>
                <w:color w:val="auto"/>
                <w:sz w:val="22"/>
                <w:szCs w:val="22"/>
              </w:rPr>
              <w:lastRenderedPageBreak/>
              <w:t>Imbens</w:t>
            </w:r>
            <w:proofErr w:type="spellEnd"/>
            <w:r w:rsidRPr="00441E1F">
              <w:rPr>
                <w:color w:val="auto"/>
                <w:sz w:val="22"/>
                <w:szCs w:val="22"/>
              </w:rPr>
              <w:t xml:space="preserve">, G., 2004, “Nonparametric Estimation of Average Treatment Effects under </w:t>
            </w:r>
            <w:proofErr w:type="spellStart"/>
            <w:r w:rsidRPr="00441E1F">
              <w:rPr>
                <w:color w:val="auto"/>
                <w:sz w:val="22"/>
                <w:szCs w:val="22"/>
              </w:rPr>
              <w:t>Exogeneity</w:t>
            </w:r>
            <w:proofErr w:type="spellEnd"/>
            <w:r w:rsidRPr="00441E1F">
              <w:rPr>
                <w:color w:val="auto"/>
                <w:sz w:val="22"/>
                <w:szCs w:val="22"/>
              </w:rPr>
              <w:t xml:space="preserve">: A Review,’’ </w:t>
            </w:r>
            <w:r w:rsidRPr="00441E1F">
              <w:rPr>
                <w:i/>
                <w:iCs/>
                <w:color w:val="auto"/>
                <w:sz w:val="22"/>
                <w:szCs w:val="22"/>
              </w:rPr>
              <w:t xml:space="preserve">Review of Economics and Statistics </w:t>
            </w:r>
            <w:r w:rsidRPr="00441E1F">
              <w:rPr>
                <w:color w:val="auto"/>
                <w:sz w:val="22"/>
                <w:szCs w:val="22"/>
              </w:rPr>
              <w:t xml:space="preserve">86, 4-29. </w:t>
            </w:r>
          </w:p>
          <w:p w:rsidR="00441E1F" w:rsidRPr="00441E1F" w:rsidRDefault="00441E1F" w:rsidP="00441E1F">
            <w:r w:rsidRPr="00441E1F">
              <w:t xml:space="preserve">(*) </w:t>
            </w:r>
            <w:proofErr w:type="spellStart"/>
            <w:r w:rsidRPr="00441E1F">
              <w:t>Jayaratne</w:t>
            </w:r>
            <w:proofErr w:type="spellEnd"/>
            <w:r w:rsidRPr="00441E1F">
              <w:t xml:space="preserve">, J. and P. </w:t>
            </w:r>
            <w:proofErr w:type="spellStart"/>
            <w:r w:rsidRPr="00441E1F">
              <w:t>Strahan</w:t>
            </w:r>
            <w:proofErr w:type="spellEnd"/>
            <w:r w:rsidRPr="00441E1F">
              <w:t xml:space="preserve">, 1996, “The Finance-Growth Nexus: Evidence from Bank Branch Deregulation,” </w:t>
            </w:r>
            <w:r w:rsidRPr="00441E1F">
              <w:rPr>
                <w:i/>
                <w:iCs/>
              </w:rPr>
              <w:t xml:space="preserve">Quarterly Journal of Economics </w:t>
            </w:r>
            <w:r w:rsidRPr="00441E1F">
              <w:t>111, 639-670.</w:t>
            </w:r>
          </w:p>
          <w:p w:rsidR="00441E1F" w:rsidRPr="00441E1F" w:rsidRDefault="00441E1F" w:rsidP="00441E1F">
            <w:pPr>
              <w:pStyle w:val="Default"/>
              <w:rPr>
                <w:color w:val="auto"/>
                <w:sz w:val="22"/>
                <w:szCs w:val="22"/>
              </w:rPr>
            </w:pPr>
            <w:r w:rsidRPr="00441E1F">
              <w:rPr>
                <w:color w:val="auto"/>
                <w:sz w:val="22"/>
                <w:szCs w:val="22"/>
              </w:rPr>
              <w:t xml:space="preserve">(*) </w:t>
            </w:r>
            <w:proofErr w:type="spellStart"/>
            <w:r w:rsidRPr="00441E1F">
              <w:rPr>
                <w:color w:val="auto"/>
                <w:sz w:val="22"/>
                <w:szCs w:val="22"/>
              </w:rPr>
              <w:t>LaPorta</w:t>
            </w:r>
            <w:proofErr w:type="spellEnd"/>
            <w:r w:rsidRPr="00441E1F">
              <w:rPr>
                <w:color w:val="auto"/>
                <w:sz w:val="22"/>
                <w:szCs w:val="22"/>
              </w:rPr>
              <w:t>, R, F. Lopez-De-</w:t>
            </w:r>
            <w:proofErr w:type="spellStart"/>
            <w:r w:rsidRPr="00441E1F">
              <w:rPr>
                <w:color w:val="auto"/>
                <w:sz w:val="22"/>
                <w:szCs w:val="22"/>
              </w:rPr>
              <w:t>Silanes</w:t>
            </w:r>
            <w:proofErr w:type="spellEnd"/>
            <w:r w:rsidRPr="00441E1F">
              <w:rPr>
                <w:color w:val="auto"/>
                <w:sz w:val="22"/>
                <w:szCs w:val="22"/>
              </w:rPr>
              <w:t xml:space="preserve">, A. Shleifer, R. </w:t>
            </w:r>
            <w:proofErr w:type="spellStart"/>
            <w:r w:rsidRPr="00441E1F">
              <w:rPr>
                <w:color w:val="auto"/>
                <w:sz w:val="22"/>
                <w:szCs w:val="22"/>
              </w:rPr>
              <w:t>Vishny</w:t>
            </w:r>
            <w:proofErr w:type="spellEnd"/>
            <w:r w:rsidRPr="00441E1F">
              <w:rPr>
                <w:color w:val="auto"/>
                <w:sz w:val="22"/>
                <w:szCs w:val="22"/>
              </w:rPr>
              <w:t xml:space="preserve">, 1997, “Legal Determinants of External Finance,” </w:t>
            </w:r>
            <w:r w:rsidRPr="00441E1F">
              <w:rPr>
                <w:i/>
                <w:iCs/>
                <w:color w:val="auto"/>
                <w:sz w:val="22"/>
                <w:szCs w:val="22"/>
              </w:rPr>
              <w:t xml:space="preserve">Journal of Finance </w:t>
            </w:r>
            <w:r w:rsidRPr="00441E1F">
              <w:rPr>
                <w:color w:val="auto"/>
                <w:sz w:val="22"/>
                <w:szCs w:val="22"/>
              </w:rPr>
              <w:t xml:space="preserve">52, 1131-1150. </w:t>
            </w:r>
          </w:p>
          <w:p w:rsidR="00441E1F" w:rsidRPr="00441E1F" w:rsidRDefault="00441E1F" w:rsidP="00441E1F">
            <w:pPr>
              <w:pStyle w:val="Default"/>
              <w:rPr>
                <w:color w:val="auto"/>
                <w:sz w:val="22"/>
                <w:szCs w:val="22"/>
              </w:rPr>
            </w:pPr>
            <w:proofErr w:type="spellStart"/>
            <w:r w:rsidRPr="00441E1F">
              <w:rPr>
                <w:color w:val="auto"/>
                <w:sz w:val="22"/>
                <w:szCs w:val="22"/>
              </w:rPr>
              <w:t>Rosenzweig</w:t>
            </w:r>
            <w:proofErr w:type="spellEnd"/>
            <w:r w:rsidRPr="00441E1F">
              <w:rPr>
                <w:color w:val="auto"/>
                <w:sz w:val="22"/>
                <w:szCs w:val="22"/>
              </w:rPr>
              <w:t xml:space="preserve">, M. and K. </w:t>
            </w:r>
            <w:proofErr w:type="spellStart"/>
            <w:r w:rsidRPr="00441E1F">
              <w:rPr>
                <w:color w:val="auto"/>
                <w:sz w:val="22"/>
                <w:szCs w:val="22"/>
              </w:rPr>
              <w:t>Wolpin</w:t>
            </w:r>
            <w:proofErr w:type="spellEnd"/>
            <w:r w:rsidRPr="00441E1F">
              <w:rPr>
                <w:color w:val="auto"/>
                <w:sz w:val="22"/>
                <w:szCs w:val="22"/>
              </w:rPr>
              <w:t>, 2000, “Natural `</w:t>
            </w:r>
            <w:proofErr w:type="spellStart"/>
            <w:r w:rsidRPr="00441E1F">
              <w:rPr>
                <w:color w:val="auto"/>
                <w:sz w:val="22"/>
                <w:szCs w:val="22"/>
              </w:rPr>
              <w:t>Natural</w:t>
            </w:r>
            <w:proofErr w:type="spellEnd"/>
            <w:r w:rsidRPr="00441E1F">
              <w:rPr>
                <w:color w:val="auto"/>
                <w:sz w:val="22"/>
                <w:szCs w:val="22"/>
              </w:rPr>
              <w:t xml:space="preserve"> Experiments' in Economics,” </w:t>
            </w:r>
            <w:r w:rsidRPr="00441E1F">
              <w:rPr>
                <w:i/>
                <w:iCs/>
                <w:color w:val="auto"/>
                <w:sz w:val="22"/>
                <w:szCs w:val="22"/>
              </w:rPr>
              <w:t xml:space="preserve">Journal of Economic Literature </w:t>
            </w:r>
            <w:r w:rsidRPr="00441E1F">
              <w:rPr>
                <w:color w:val="auto"/>
                <w:sz w:val="22"/>
                <w:szCs w:val="22"/>
              </w:rPr>
              <w:t xml:space="preserve">38, 827-874. </w:t>
            </w:r>
          </w:p>
          <w:p w:rsidR="00441E1F" w:rsidRPr="00441E1F" w:rsidRDefault="00441E1F" w:rsidP="00441E1F">
            <w:pPr>
              <w:pStyle w:val="Default"/>
              <w:rPr>
                <w:color w:val="auto"/>
                <w:sz w:val="22"/>
                <w:szCs w:val="22"/>
              </w:rPr>
            </w:pPr>
            <w:r w:rsidRPr="00441E1F">
              <w:rPr>
                <w:color w:val="auto"/>
                <w:sz w:val="22"/>
                <w:szCs w:val="22"/>
              </w:rPr>
              <w:t xml:space="preserve">(*) Tang, T., 2009, “Information Asymmetry and Firms’ Credit Market Access: Evidence from Moody’s Credit Rating Format Refinement,’’ </w:t>
            </w:r>
            <w:r w:rsidRPr="00441E1F">
              <w:rPr>
                <w:i/>
                <w:iCs/>
                <w:color w:val="auto"/>
                <w:sz w:val="22"/>
                <w:szCs w:val="22"/>
              </w:rPr>
              <w:t xml:space="preserve">Journal of Financial Economics </w:t>
            </w:r>
            <w:r w:rsidRPr="00441E1F">
              <w:rPr>
                <w:color w:val="auto"/>
                <w:sz w:val="22"/>
                <w:szCs w:val="22"/>
              </w:rPr>
              <w:t xml:space="preserve">93, 325-351. </w:t>
            </w:r>
          </w:p>
          <w:p w:rsidR="00441E1F" w:rsidRPr="00441E1F" w:rsidRDefault="00441E1F" w:rsidP="00441E1F">
            <w:pPr>
              <w:pStyle w:val="Default"/>
              <w:rPr>
                <w:color w:val="auto"/>
                <w:sz w:val="22"/>
                <w:szCs w:val="22"/>
              </w:rPr>
            </w:pPr>
            <w:r w:rsidRPr="00441E1F">
              <w:rPr>
                <w:b/>
                <w:bCs/>
                <w:color w:val="auto"/>
                <w:sz w:val="22"/>
                <w:szCs w:val="22"/>
              </w:rPr>
              <w:t xml:space="preserve">Empirical Methods (LATE, RDD &amp; ME): Lecture Notes III, IV &amp; V </w:t>
            </w:r>
          </w:p>
          <w:p w:rsidR="00441E1F" w:rsidRPr="00441E1F" w:rsidRDefault="00441E1F" w:rsidP="00441E1F">
            <w:pPr>
              <w:pStyle w:val="Default"/>
              <w:rPr>
                <w:color w:val="auto"/>
                <w:sz w:val="22"/>
                <w:szCs w:val="22"/>
              </w:rPr>
            </w:pPr>
            <w:proofErr w:type="spellStart"/>
            <w:r w:rsidRPr="00441E1F">
              <w:rPr>
                <w:color w:val="auto"/>
                <w:sz w:val="22"/>
                <w:szCs w:val="22"/>
              </w:rPr>
              <w:t>Abadie</w:t>
            </w:r>
            <w:proofErr w:type="spellEnd"/>
            <w:r w:rsidRPr="00441E1F">
              <w:rPr>
                <w:color w:val="auto"/>
                <w:sz w:val="22"/>
                <w:szCs w:val="22"/>
              </w:rPr>
              <w:t xml:space="preserve">, A., D. </w:t>
            </w:r>
            <w:proofErr w:type="spellStart"/>
            <w:r w:rsidRPr="00441E1F">
              <w:rPr>
                <w:color w:val="auto"/>
                <w:sz w:val="22"/>
                <w:szCs w:val="22"/>
              </w:rPr>
              <w:t>Drukker</w:t>
            </w:r>
            <w:proofErr w:type="spellEnd"/>
            <w:r w:rsidRPr="00441E1F">
              <w:rPr>
                <w:color w:val="auto"/>
                <w:sz w:val="22"/>
                <w:szCs w:val="22"/>
              </w:rPr>
              <w:t xml:space="preserve">, J. Herr, and G. </w:t>
            </w:r>
            <w:proofErr w:type="spellStart"/>
            <w:r w:rsidRPr="00441E1F">
              <w:rPr>
                <w:color w:val="auto"/>
                <w:sz w:val="22"/>
                <w:szCs w:val="22"/>
              </w:rPr>
              <w:t>Imbens</w:t>
            </w:r>
            <w:proofErr w:type="spellEnd"/>
            <w:r w:rsidRPr="00441E1F">
              <w:rPr>
                <w:color w:val="auto"/>
                <w:sz w:val="22"/>
                <w:szCs w:val="22"/>
              </w:rPr>
              <w:t xml:space="preserve">, 2004, “Implementing matching estimators for average treatment effects in Stata,” </w:t>
            </w:r>
            <w:r w:rsidRPr="00441E1F">
              <w:rPr>
                <w:i/>
                <w:iCs/>
                <w:color w:val="auto"/>
                <w:sz w:val="22"/>
                <w:szCs w:val="22"/>
              </w:rPr>
              <w:t xml:space="preserve">Stata Journal </w:t>
            </w:r>
            <w:r w:rsidRPr="00441E1F">
              <w:rPr>
                <w:color w:val="auto"/>
                <w:sz w:val="22"/>
                <w:szCs w:val="22"/>
              </w:rPr>
              <w:t xml:space="preserve">4, 290-311. </w:t>
            </w:r>
          </w:p>
          <w:p w:rsidR="00441E1F" w:rsidRPr="00441E1F" w:rsidRDefault="00441E1F" w:rsidP="00441E1F">
            <w:pPr>
              <w:pStyle w:val="Default"/>
              <w:rPr>
                <w:color w:val="auto"/>
                <w:sz w:val="22"/>
                <w:szCs w:val="22"/>
              </w:rPr>
            </w:pPr>
            <w:r w:rsidRPr="00441E1F">
              <w:rPr>
                <w:color w:val="auto"/>
                <w:sz w:val="22"/>
                <w:szCs w:val="22"/>
              </w:rPr>
              <w:t xml:space="preserve">(*) Almeida, H., M. </w:t>
            </w:r>
            <w:proofErr w:type="spellStart"/>
            <w:r w:rsidRPr="00441E1F">
              <w:rPr>
                <w:color w:val="auto"/>
                <w:sz w:val="22"/>
                <w:szCs w:val="22"/>
              </w:rPr>
              <w:t>Campello</w:t>
            </w:r>
            <w:proofErr w:type="spellEnd"/>
            <w:r w:rsidRPr="00441E1F">
              <w:rPr>
                <w:color w:val="auto"/>
                <w:sz w:val="22"/>
                <w:szCs w:val="22"/>
              </w:rPr>
              <w:t xml:space="preserve">, B. </w:t>
            </w:r>
            <w:proofErr w:type="spellStart"/>
            <w:r w:rsidRPr="00441E1F">
              <w:rPr>
                <w:color w:val="auto"/>
                <w:sz w:val="22"/>
                <w:szCs w:val="22"/>
              </w:rPr>
              <w:t>Laranjeira</w:t>
            </w:r>
            <w:proofErr w:type="spellEnd"/>
            <w:r w:rsidRPr="00441E1F">
              <w:rPr>
                <w:color w:val="auto"/>
                <w:sz w:val="22"/>
                <w:szCs w:val="22"/>
              </w:rPr>
              <w:t xml:space="preserve">, and S. </w:t>
            </w:r>
            <w:proofErr w:type="spellStart"/>
            <w:r w:rsidRPr="00441E1F">
              <w:rPr>
                <w:color w:val="auto"/>
                <w:sz w:val="22"/>
                <w:szCs w:val="22"/>
              </w:rPr>
              <w:t>Weisbenner</w:t>
            </w:r>
            <w:proofErr w:type="spellEnd"/>
            <w:r w:rsidRPr="00441E1F">
              <w:rPr>
                <w:color w:val="auto"/>
                <w:sz w:val="22"/>
                <w:szCs w:val="22"/>
              </w:rPr>
              <w:t xml:space="preserve">, 2011, “Corporate Debt Maturity and the Real Effects of the 2007 Credit Crisis,” </w:t>
            </w:r>
            <w:r w:rsidRPr="00441E1F">
              <w:rPr>
                <w:i/>
                <w:iCs/>
                <w:color w:val="auto"/>
                <w:sz w:val="22"/>
                <w:szCs w:val="22"/>
              </w:rPr>
              <w:t xml:space="preserve">Critical Finance Review </w:t>
            </w:r>
            <w:r w:rsidRPr="00441E1F">
              <w:rPr>
                <w:color w:val="auto"/>
                <w:sz w:val="22"/>
                <w:szCs w:val="22"/>
              </w:rPr>
              <w:t xml:space="preserve">1, 3-58. </w:t>
            </w:r>
          </w:p>
          <w:p w:rsidR="00441E1F" w:rsidRPr="00441E1F" w:rsidRDefault="00441E1F" w:rsidP="00441E1F">
            <w:pPr>
              <w:pStyle w:val="Default"/>
              <w:rPr>
                <w:color w:val="auto"/>
                <w:sz w:val="22"/>
                <w:szCs w:val="22"/>
              </w:rPr>
            </w:pPr>
            <w:r w:rsidRPr="00441E1F">
              <w:rPr>
                <w:color w:val="auto"/>
                <w:sz w:val="22"/>
                <w:szCs w:val="22"/>
              </w:rPr>
              <w:t xml:space="preserve">(*) Angrist, J., 1990, “Lifetime Earnings and the Vietnam Era Draft Lottery: Evidence from Social Security Administrative Records,” </w:t>
            </w:r>
            <w:r w:rsidRPr="00441E1F">
              <w:rPr>
                <w:i/>
                <w:iCs/>
                <w:color w:val="auto"/>
                <w:sz w:val="22"/>
                <w:szCs w:val="22"/>
              </w:rPr>
              <w:t xml:space="preserve">American Economic Review </w:t>
            </w:r>
            <w:r w:rsidRPr="00441E1F">
              <w:rPr>
                <w:color w:val="auto"/>
                <w:sz w:val="22"/>
                <w:szCs w:val="22"/>
              </w:rPr>
              <w:t xml:space="preserve">80, 313-336. </w:t>
            </w:r>
          </w:p>
          <w:p w:rsidR="00441E1F" w:rsidRPr="00441E1F" w:rsidRDefault="00441E1F" w:rsidP="00441E1F">
            <w:pPr>
              <w:pStyle w:val="Default"/>
              <w:rPr>
                <w:color w:val="auto"/>
                <w:sz w:val="22"/>
                <w:szCs w:val="22"/>
              </w:rPr>
            </w:pPr>
            <w:r w:rsidRPr="00441E1F">
              <w:rPr>
                <w:color w:val="auto"/>
                <w:sz w:val="22"/>
                <w:szCs w:val="22"/>
              </w:rPr>
              <w:t xml:space="preserve">Angrist, J. and A. Krueger, 2001, “Instrumental Variables and the Search for Identification: From Supply and Demand to Natural Experiments,’’ </w:t>
            </w:r>
            <w:r w:rsidRPr="00441E1F">
              <w:rPr>
                <w:i/>
                <w:iCs/>
                <w:color w:val="auto"/>
                <w:sz w:val="22"/>
                <w:szCs w:val="22"/>
              </w:rPr>
              <w:t xml:space="preserve">Journal of Economic Perspectives </w:t>
            </w:r>
            <w:r w:rsidRPr="00441E1F">
              <w:rPr>
                <w:color w:val="auto"/>
                <w:sz w:val="22"/>
                <w:szCs w:val="22"/>
              </w:rPr>
              <w:t xml:space="preserve">15, 69-85. </w:t>
            </w:r>
          </w:p>
          <w:p w:rsidR="00441E1F" w:rsidRPr="00441E1F" w:rsidRDefault="00441E1F" w:rsidP="00441E1F">
            <w:pPr>
              <w:pStyle w:val="Default"/>
              <w:rPr>
                <w:color w:val="auto"/>
                <w:sz w:val="22"/>
                <w:szCs w:val="22"/>
              </w:rPr>
            </w:pPr>
            <w:r w:rsidRPr="00441E1F">
              <w:rPr>
                <w:color w:val="auto"/>
                <w:sz w:val="22"/>
                <w:szCs w:val="22"/>
              </w:rPr>
              <w:t xml:space="preserve">Angrist, J. and V. </w:t>
            </w:r>
            <w:proofErr w:type="spellStart"/>
            <w:r w:rsidRPr="00441E1F">
              <w:rPr>
                <w:color w:val="auto"/>
                <w:sz w:val="22"/>
                <w:szCs w:val="22"/>
              </w:rPr>
              <w:t>Lavy</w:t>
            </w:r>
            <w:proofErr w:type="spellEnd"/>
            <w:r w:rsidRPr="00441E1F">
              <w:rPr>
                <w:color w:val="auto"/>
                <w:sz w:val="22"/>
                <w:szCs w:val="22"/>
              </w:rPr>
              <w:t xml:space="preserve">, 1999, “Using Maimonides’ Rule To Estimate The Effect Of Class Size On Scholastic Achievement,” </w:t>
            </w:r>
            <w:r w:rsidRPr="00441E1F">
              <w:rPr>
                <w:i/>
                <w:iCs/>
                <w:color w:val="auto"/>
                <w:sz w:val="22"/>
                <w:szCs w:val="22"/>
              </w:rPr>
              <w:t xml:space="preserve">Quarterly Journal of Economics </w:t>
            </w:r>
            <w:r w:rsidRPr="00441E1F">
              <w:rPr>
                <w:color w:val="auto"/>
                <w:sz w:val="22"/>
                <w:szCs w:val="22"/>
              </w:rPr>
              <w:t xml:space="preserve">114, 533-575 </w:t>
            </w:r>
          </w:p>
          <w:p w:rsidR="00441E1F" w:rsidRPr="00441E1F" w:rsidRDefault="00441E1F" w:rsidP="00441E1F">
            <w:pPr>
              <w:pStyle w:val="Default"/>
              <w:rPr>
                <w:color w:val="auto"/>
                <w:sz w:val="22"/>
                <w:szCs w:val="22"/>
              </w:rPr>
            </w:pPr>
            <w:r w:rsidRPr="00441E1F">
              <w:rPr>
                <w:color w:val="auto"/>
                <w:sz w:val="22"/>
                <w:szCs w:val="22"/>
              </w:rPr>
              <w:t xml:space="preserve">Bakke, T. and T. Whited, 2012, “Threshold Events and Identification: A Study of Cash Shortfalls,” </w:t>
            </w:r>
            <w:r w:rsidRPr="00441E1F">
              <w:rPr>
                <w:i/>
                <w:iCs/>
                <w:color w:val="auto"/>
                <w:sz w:val="22"/>
                <w:szCs w:val="22"/>
              </w:rPr>
              <w:t xml:space="preserve">Journal of Finance </w:t>
            </w:r>
            <w:r w:rsidRPr="00441E1F">
              <w:rPr>
                <w:color w:val="auto"/>
                <w:sz w:val="22"/>
                <w:szCs w:val="22"/>
              </w:rPr>
              <w:t>61</w:t>
            </w:r>
            <w:r w:rsidRPr="00441E1F">
              <w:rPr>
                <w:i/>
                <w:iCs/>
                <w:color w:val="auto"/>
                <w:sz w:val="22"/>
                <w:szCs w:val="22"/>
              </w:rPr>
              <w:t xml:space="preserve">, </w:t>
            </w:r>
            <w:r w:rsidRPr="00441E1F">
              <w:rPr>
                <w:color w:val="auto"/>
                <w:sz w:val="22"/>
                <w:szCs w:val="22"/>
              </w:rPr>
              <w:t xml:space="preserve">1113-1148. </w:t>
            </w:r>
          </w:p>
          <w:p w:rsidR="00441E1F" w:rsidRPr="00441E1F" w:rsidRDefault="00441E1F" w:rsidP="00441E1F">
            <w:pPr>
              <w:pStyle w:val="Default"/>
              <w:rPr>
                <w:color w:val="auto"/>
                <w:sz w:val="22"/>
                <w:szCs w:val="22"/>
              </w:rPr>
            </w:pPr>
            <w:r w:rsidRPr="00441E1F">
              <w:rPr>
                <w:color w:val="auto"/>
                <w:sz w:val="22"/>
                <w:szCs w:val="22"/>
              </w:rPr>
              <w:t xml:space="preserve">(*) </w:t>
            </w:r>
            <w:proofErr w:type="spellStart"/>
            <w:r w:rsidRPr="00441E1F">
              <w:rPr>
                <w:color w:val="auto"/>
                <w:sz w:val="22"/>
                <w:szCs w:val="22"/>
              </w:rPr>
              <w:t>Bennedsen</w:t>
            </w:r>
            <w:proofErr w:type="spellEnd"/>
            <w:r w:rsidRPr="00441E1F">
              <w:rPr>
                <w:color w:val="auto"/>
                <w:sz w:val="22"/>
                <w:szCs w:val="22"/>
              </w:rPr>
              <w:t xml:space="preserve">, M., K. Nielsen, F. Pérez-González, and D. </w:t>
            </w:r>
            <w:proofErr w:type="spellStart"/>
            <w:r w:rsidRPr="00441E1F">
              <w:rPr>
                <w:color w:val="auto"/>
                <w:sz w:val="22"/>
                <w:szCs w:val="22"/>
              </w:rPr>
              <w:t>Wolfenzon</w:t>
            </w:r>
            <w:proofErr w:type="spellEnd"/>
            <w:r w:rsidRPr="00441E1F">
              <w:rPr>
                <w:color w:val="auto"/>
                <w:sz w:val="22"/>
                <w:szCs w:val="22"/>
              </w:rPr>
              <w:t xml:space="preserve">, 2007, “Inside the Family Firm: The Role of Families in Succession Decisions and Performance,” </w:t>
            </w:r>
            <w:r w:rsidRPr="00441E1F">
              <w:rPr>
                <w:i/>
                <w:iCs/>
                <w:color w:val="auto"/>
                <w:sz w:val="22"/>
                <w:szCs w:val="22"/>
              </w:rPr>
              <w:t xml:space="preserve">Quarterly Journal of Economics </w:t>
            </w:r>
            <w:r w:rsidRPr="00441E1F">
              <w:rPr>
                <w:color w:val="auto"/>
                <w:sz w:val="22"/>
                <w:szCs w:val="22"/>
              </w:rPr>
              <w:t xml:space="preserve">122, 647- 691. </w:t>
            </w:r>
          </w:p>
          <w:p w:rsidR="00441E1F" w:rsidRPr="00441E1F" w:rsidRDefault="00441E1F" w:rsidP="00441E1F">
            <w:pPr>
              <w:pStyle w:val="Default"/>
              <w:rPr>
                <w:color w:val="auto"/>
                <w:sz w:val="22"/>
                <w:szCs w:val="22"/>
              </w:rPr>
            </w:pPr>
            <w:r w:rsidRPr="00441E1F">
              <w:rPr>
                <w:color w:val="auto"/>
                <w:sz w:val="22"/>
                <w:szCs w:val="22"/>
              </w:rPr>
              <w:t xml:space="preserve">(*) </w:t>
            </w:r>
            <w:proofErr w:type="spellStart"/>
            <w:r w:rsidRPr="00441E1F">
              <w:rPr>
                <w:color w:val="auto"/>
                <w:sz w:val="22"/>
                <w:szCs w:val="22"/>
              </w:rPr>
              <w:t>Campello</w:t>
            </w:r>
            <w:proofErr w:type="spellEnd"/>
            <w:r w:rsidRPr="00441E1F">
              <w:rPr>
                <w:color w:val="auto"/>
                <w:sz w:val="22"/>
                <w:szCs w:val="22"/>
              </w:rPr>
              <w:t xml:space="preserve">, M., J. Graham, and C. Harvey, 2010, “The Real Effects of Financial Constraints: Evidence from a Financial Crisis,” </w:t>
            </w:r>
            <w:r w:rsidRPr="00441E1F">
              <w:rPr>
                <w:i/>
                <w:iCs/>
                <w:color w:val="auto"/>
                <w:sz w:val="22"/>
                <w:szCs w:val="22"/>
              </w:rPr>
              <w:t xml:space="preserve">Journal of Financial Economics </w:t>
            </w:r>
            <w:r w:rsidRPr="00441E1F">
              <w:rPr>
                <w:color w:val="auto"/>
                <w:sz w:val="22"/>
                <w:szCs w:val="22"/>
              </w:rPr>
              <w:t xml:space="preserve">97, 470-487. </w:t>
            </w:r>
          </w:p>
          <w:p w:rsidR="00441E1F" w:rsidRPr="00441E1F" w:rsidRDefault="00441E1F" w:rsidP="00441E1F">
            <w:pPr>
              <w:pStyle w:val="Default"/>
              <w:rPr>
                <w:color w:val="auto"/>
                <w:sz w:val="22"/>
                <w:szCs w:val="22"/>
              </w:rPr>
            </w:pPr>
            <w:proofErr w:type="spellStart"/>
            <w:r w:rsidRPr="00441E1F">
              <w:rPr>
                <w:color w:val="auto"/>
                <w:sz w:val="22"/>
                <w:szCs w:val="22"/>
              </w:rPr>
              <w:t>Chava</w:t>
            </w:r>
            <w:proofErr w:type="spellEnd"/>
            <w:r w:rsidRPr="00441E1F">
              <w:rPr>
                <w:color w:val="auto"/>
                <w:sz w:val="22"/>
                <w:szCs w:val="22"/>
              </w:rPr>
              <w:t xml:space="preserve">, S. and A. </w:t>
            </w:r>
            <w:proofErr w:type="spellStart"/>
            <w:r w:rsidRPr="00441E1F">
              <w:rPr>
                <w:color w:val="auto"/>
                <w:sz w:val="22"/>
                <w:szCs w:val="22"/>
              </w:rPr>
              <w:t>Purnanandam</w:t>
            </w:r>
            <w:proofErr w:type="spellEnd"/>
            <w:r w:rsidRPr="00441E1F">
              <w:rPr>
                <w:color w:val="auto"/>
                <w:sz w:val="22"/>
                <w:szCs w:val="22"/>
              </w:rPr>
              <w:t xml:space="preserve">, 2011, “The Effect of Banking Crisis on Bank-Dependent Borrowers,” </w:t>
            </w:r>
            <w:r w:rsidRPr="00441E1F">
              <w:rPr>
                <w:i/>
                <w:iCs/>
                <w:color w:val="auto"/>
                <w:sz w:val="22"/>
                <w:szCs w:val="22"/>
              </w:rPr>
              <w:t xml:space="preserve">Journal of Financial Economics </w:t>
            </w:r>
            <w:r w:rsidRPr="00441E1F">
              <w:rPr>
                <w:color w:val="auto"/>
                <w:sz w:val="22"/>
                <w:szCs w:val="22"/>
              </w:rPr>
              <w:t xml:space="preserve">99, 116-135. </w:t>
            </w:r>
          </w:p>
          <w:p w:rsidR="00441E1F" w:rsidRPr="00441E1F" w:rsidRDefault="00441E1F" w:rsidP="00441E1F">
            <w:r w:rsidRPr="00441E1F">
              <w:t xml:space="preserve">(*) </w:t>
            </w:r>
            <w:proofErr w:type="spellStart"/>
            <w:r w:rsidRPr="00441E1F">
              <w:t>Chernenko</w:t>
            </w:r>
            <w:proofErr w:type="spellEnd"/>
            <w:r w:rsidRPr="00441E1F">
              <w:t xml:space="preserve">, S. and A. </w:t>
            </w:r>
            <w:proofErr w:type="spellStart"/>
            <w:r w:rsidRPr="00441E1F">
              <w:t>Sunderam</w:t>
            </w:r>
            <w:proofErr w:type="spellEnd"/>
            <w:r w:rsidRPr="00441E1F">
              <w:t xml:space="preserve">, 2011, “The Real Consequences of Market Segmentation,” </w:t>
            </w:r>
            <w:r w:rsidRPr="00441E1F">
              <w:rPr>
                <w:i/>
                <w:iCs/>
              </w:rPr>
              <w:t xml:space="preserve">Review of Financial Studies </w:t>
            </w:r>
            <w:r w:rsidRPr="00441E1F">
              <w:t>25, 2041-207.</w:t>
            </w:r>
          </w:p>
          <w:p w:rsidR="00441E1F" w:rsidRPr="00441E1F" w:rsidRDefault="00441E1F" w:rsidP="00441E1F">
            <w:pPr>
              <w:pStyle w:val="Default"/>
              <w:rPr>
                <w:color w:val="auto"/>
                <w:sz w:val="22"/>
                <w:szCs w:val="22"/>
              </w:rPr>
            </w:pPr>
            <w:r w:rsidRPr="00441E1F">
              <w:rPr>
                <w:color w:val="auto"/>
                <w:sz w:val="22"/>
                <w:szCs w:val="22"/>
              </w:rPr>
              <w:t xml:space="preserve">(*) </w:t>
            </w:r>
            <w:proofErr w:type="spellStart"/>
            <w:r w:rsidRPr="00441E1F">
              <w:rPr>
                <w:color w:val="auto"/>
                <w:sz w:val="22"/>
                <w:szCs w:val="22"/>
              </w:rPr>
              <w:t>Chava</w:t>
            </w:r>
            <w:proofErr w:type="spellEnd"/>
            <w:r w:rsidRPr="00441E1F">
              <w:rPr>
                <w:color w:val="auto"/>
                <w:sz w:val="22"/>
                <w:szCs w:val="22"/>
              </w:rPr>
              <w:t xml:space="preserve">, S. and M. Roberts, 2008, “How does Financing Impact Investment? The Role of Debt Covenants,” </w:t>
            </w:r>
            <w:r w:rsidRPr="00441E1F">
              <w:rPr>
                <w:i/>
                <w:iCs/>
                <w:color w:val="auto"/>
                <w:sz w:val="22"/>
                <w:szCs w:val="22"/>
              </w:rPr>
              <w:t xml:space="preserve">Journal of Finance </w:t>
            </w:r>
            <w:r w:rsidRPr="00441E1F">
              <w:rPr>
                <w:color w:val="auto"/>
                <w:sz w:val="22"/>
                <w:szCs w:val="22"/>
              </w:rPr>
              <w:t xml:space="preserve">63, 2085-2121 </w:t>
            </w:r>
          </w:p>
          <w:p w:rsidR="00441E1F" w:rsidRPr="00441E1F" w:rsidRDefault="00441E1F" w:rsidP="00441E1F">
            <w:pPr>
              <w:pStyle w:val="Default"/>
              <w:rPr>
                <w:color w:val="auto"/>
                <w:sz w:val="22"/>
                <w:szCs w:val="22"/>
              </w:rPr>
            </w:pPr>
            <w:r w:rsidRPr="00441E1F">
              <w:rPr>
                <w:color w:val="auto"/>
                <w:sz w:val="22"/>
                <w:szCs w:val="22"/>
              </w:rPr>
              <w:t xml:space="preserve">(*) </w:t>
            </w:r>
            <w:proofErr w:type="spellStart"/>
            <w:r w:rsidRPr="00441E1F">
              <w:rPr>
                <w:color w:val="auto"/>
                <w:sz w:val="22"/>
                <w:szCs w:val="22"/>
              </w:rPr>
              <w:t>Cunat</w:t>
            </w:r>
            <w:proofErr w:type="spellEnd"/>
            <w:r w:rsidRPr="00441E1F">
              <w:rPr>
                <w:color w:val="auto"/>
                <w:sz w:val="22"/>
                <w:szCs w:val="22"/>
              </w:rPr>
              <w:t xml:space="preserve">, V, M. </w:t>
            </w:r>
            <w:proofErr w:type="spellStart"/>
            <w:r w:rsidRPr="00441E1F">
              <w:rPr>
                <w:color w:val="auto"/>
                <w:sz w:val="22"/>
                <w:szCs w:val="22"/>
              </w:rPr>
              <w:t>Gine</w:t>
            </w:r>
            <w:proofErr w:type="spellEnd"/>
            <w:r w:rsidRPr="00441E1F">
              <w:rPr>
                <w:color w:val="auto"/>
                <w:sz w:val="22"/>
                <w:szCs w:val="22"/>
              </w:rPr>
              <w:t xml:space="preserve">, and M. Guadalupe, 2012, “The Vote Is Cast: The Effect of Corporate Governance on Shareholder Value,” </w:t>
            </w:r>
            <w:r w:rsidRPr="00441E1F">
              <w:rPr>
                <w:i/>
                <w:iCs/>
                <w:color w:val="auto"/>
                <w:sz w:val="22"/>
                <w:szCs w:val="22"/>
              </w:rPr>
              <w:t xml:space="preserve">Journal of Finance </w:t>
            </w:r>
            <w:r w:rsidRPr="00441E1F">
              <w:rPr>
                <w:color w:val="auto"/>
                <w:sz w:val="22"/>
                <w:szCs w:val="22"/>
              </w:rPr>
              <w:t xml:space="preserve">67, 1943-1977. </w:t>
            </w:r>
          </w:p>
          <w:p w:rsidR="00441E1F" w:rsidRPr="00441E1F" w:rsidRDefault="00441E1F" w:rsidP="00441E1F">
            <w:pPr>
              <w:pStyle w:val="Default"/>
              <w:rPr>
                <w:color w:val="auto"/>
                <w:sz w:val="22"/>
                <w:szCs w:val="22"/>
              </w:rPr>
            </w:pPr>
            <w:proofErr w:type="spellStart"/>
            <w:r w:rsidRPr="00441E1F">
              <w:rPr>
                <w:color w:val="auto"/>
                <w:sz w:val="22"/>
                <w:szCs w:val="22"/>
              </w:rPr>
              <w:t>Dehejia</w:t>
            </w:r>
            <w:proofErr w:type="spellEnd"/>
            <w:r w:rsidRPr="00441E1F">
              <w:rPr>
                <w:color w:val="auto"/>
                <w:sz w:val="22"/>
                <w:szCs w:val="22"/>
              </w:rPr>
              <w:t xml:space="preserve">, R. and S. </w:t>
            </w:r>
            <w:proofErr w:type="spellStart"/>
            <w:r w:rsidRPr="00441E1F">
              <w:rPr>
                <w:color w:val="auto"/>
                <w:sz w:val="22"/>
                <w:szCs w:val="22"/>
              </w:rPr>
              <w:t>Wahba</w:t>
            </w:r>
            <w:proofErr w:type="spellEnd"/>
            <w:r w:rsidRPr="00441E1F">
              <w:rPr>
                <w:color w:val="auto"/>
                <w:sz w:val="22"/>
                <w:szCs w:val="22"/>
              </w:rPr>
              <w:t xml:space="preserve">, 1999, “Causal Effects in </w:t>
            </w:r>
            <w:proofErr w:type="spellStart"/>
            <w:r w:rsidRPr="00441E1F">
              <w:rPr>
                <w:color w:val="auto"/>
                <w:sz w:val="22"/>
                <w:szCs w:val="22"/>
              </w:rPr>
              <w:t>Nonexperimental</w:t>
            </w:r>
            <w:proofErr w:type="spellEnd"/>
            <w:r w:rsidRPr="00441E1F">
              <w:rPr>
                <w:color w:val="auto"/>
                <w:sz w:val="22"/>
                <w:szCs w:val="22"/>
              </w:rPr>
              <w:t xml:space="preserve"> Studies: </w:t>
            </w:r>
            <w:proofErr w:type="spellStart"/>
            <w:r w:rsidRPr="00441E1F">
              <w:rPr>
                <w:color w:val="auto"/>
                <w:sz w:val="22"/>
                <w:szCs w:val="22"/>
              </w:rPr>
              <w:t>Reevaluating</w:t>
            </w:r>
            <w:proofErr w:type="spellEnd"/>
            <w:r w:rsidRPr="00441E1F">
              <w:rPr>
                <w:color w:val="auto"/>
                <w:sz w:val="22"/>
                <w:szCs w:val="22"/>
              </w:rPr>
              <w:t xml:space="preserve"> the Evaluation of Training Programs,” </w:t>
            </w:r>
            <w:r w:rsidRPr="00441E1F">
              <w:rPr>
                <w:i/>
                <w:iCs/>
                <w:color w:val="auto"/>
                <w:sz w:val="22"/>
                <w:szCs w:val="22"/>
              </w:rPr>
              <w:t xml:space="preserve">JASA </w:t>
            </w:r>
            <w:r w:rsidRPr="00441E1F">
              <w:rPr>
                <w:color w:val="auto"/>
                <w:sz w:val="22"/>
                <w:szCs w:val="22"/>
              </w:rPr>
              <w:t xml:space="preserve">94, 1053-1062. </w:t>
            </w:r>
          </w:p>
          <w:p w:rsidR="00441E1F" w:rsidRPr="00441E1F" w:rsidRDefault="00441E1F" w:rsidP="00441E1F">
            <w:pPr>
              <w:pStyle w:val="Default"/>
              <w:rPr>
                <w:color w:val="auto"/>
                <w:sz w:val="22"/>
                <w:szCs w:val="22"/>
              </w:rPr>
            </w:pPr>
            <w:r w:rsidRPr="00441E1F">
              <w:rPr>
                <w:color w:val="auto"/>
                <w:sz w:val="22"/>
                <w:szCs w:val="22"/>
              </w:rPr>
              <w:t xml:space="preserve">(*) </w:t>
            </w:r>
            <w:proofErr w:type="spellStart"/>
            <w:r w:rsidRPr="00441E1F">
              <w:rPr>
                <w:color w:val="auto"/>
                <w:sz w:val="22"/>
                <w:szCs w:val="22"/>
              </w:rPr>
              <w:t>DiNardo</w:t>
            </w:r>
            <w:proofErr w:type="spellEnd"/>
            <w:r w:rsidRPr="00441E1F">
              <w:rPr>
                <w:color w:val="auto"/>
                <w:sz w:val="22"/>
                <w:szCs w:val="22"/>
              </w:rPr>
              <w:t xml:space="preserve">, J. and D. Lee, 2004, “Economic Impacts of New Unionization on Private Sector Employers: 1984-2001,” </w:t>
            </w:r>
            <w:r w:rsidRPr="00441E1F">
              <w:rPr>
                <w:i/>
                <w:iCs/>
                <w:color w:val="auto"/>
                <w:sz w:val="22"/>
                <w:szCs w:val="22"/>
              </w:rPr>
              <w:t xml:space="preserve">Quarterly Journal of Economics </w:t>
            </w:r>
            <w:r w:rsidRPr="00441E1F">
              <w:rPr>
                <w:color w:val="auto"/>
                <w:sz w:val="22"/>
                <w:szCs w:val="22"/>
              </w:rPr>
              <w:t xml:space="preserve">119, 1383-1442. </w:t>
            </w:r>
          </w:p>
          <w:p w:rsidR="00441E1F" w:rsidRPr="00441E1F" w:rsidRDefault="00441E1F" w:rsidP="00441E1F">
            <w:pPr>
              <w:pStyle w:val="Default"/>
              <w:rPr>
                <w:color w:val="auto"/>
                <w:sz w:val="22"/>
                <w:szCs w:val="22"/>
              </w:rPr>
            </w:pPr>
            <w:r w:rsidRPr="00441E1F">
              <w:rPr>
                <w:color w:val="auto"/>
                <w:sz w:val="22"/>
                <w:szCs w:val="22"/>
              </w:rPr>
              <w:t xml:space="preserve">Hahn, J, P., Todd, and W. van der </w:t>
            </w:r>
            <w:proofErr w:type="spellStart"/>
            <w:r w:rsidRPr="00441E1F">
              <w:rPr>
                <w:color w:val="auto"/>
                <w:sz w:val="22"/>
                <w:szCs w:val="22"/>
              </w:rPr>
              <w:t>Klaauw</w:t>
            </w:r>
            <w:proofErr w:type="spellEnd"/>
            <w:r w:rsidRPr="00441E1F">
              <w:rPr>
                <w:color w:val="auto"/>
                <w:sz w:val="22"/>
                <w:szCs w:val="22"/>
              </w:rPr>
              <w:t xml:space="preserve">, 2001, “Identification and Estimation of Treatment Effects with a Regression-Discontinuity Design,” </w:t>
            </w:r>
            <w:proofErr w:type="spellStart"/>
            <w:r w:rsidRPr="00441E1F">
              <w:rPr>
                <w:i/>
                <w:iCs/>
                <w:color w:val="auto"/>
                <w:sz w:val="22"/>
                <w:szCs w:val="22"/>
              </w:rPr>
              <w:t>Econometrica</w:t>
            </w:r>
            <w:proofErr w:type="spellEnd"/>
            <w:r w:rsidRPr="00441E1F">
              <w:rPr>
                <w:i/>
                <w:iCs/>
                <w:color w:val="auto"/>
                <w:sz w:val="22"/>
                <w:szCs w:val="22"/>
              </w:rPr>
              <w:t xml:space="preserve"> </w:t>
            </w:r>
            <w:r w:rsidRPr="00441E1F">
              <w:rPr>
                <w:color w:val="auto"/>
                <w:sz w:val="22"/>
                <w:szCs w:val="22"/>
              </w:rPr>
              <w:t xml:space="preserve">69, 201-209. </w:t>
            </w:r>
          </w:p>
          <w:p w:rsidR="00441E1F" w:rsidRPr="00441E1F" w:rsidRDefault="00441E1F" w:rsidP="00441E1F">
            <w:pPr>
              <w:pStyle w:val="Default"/>
              <w:rPr>
                <w:color w:val="auto"/>
                <w:sz w:val="22"/>
                <w:szCs w:val="22"/>
              </w:rPr>
            </w:pPr>
            <w:r w:rsidRPr="00441E1F">
              <w:rPr>
                <w:color w:val="auto"/>
                <w:sz w:val="22"/>
                <w:szCs w:val="22"/>
              </w:rPr>
              <w:t xml:space="preserve">(*) </w:t>
            </w:r>
            <w:proofErr w:type="spellStart"/>
            <w:r w:rsidRPr="00441E1F">
              <w:rPr>
                <w:color w:val="auto"/>
                <w:sz w:val="22"/>
                <w:szCs w:val="22"/>
              </w:rPr>
              <w:t>Iliev</w:t>
            </w:r>
            <w:proofErr w:type="spellEnd"/>
            <w:r w:rsidRPr="00441E1F">
              <w:rPr>
                <w:color w:val="auto"/>
                <w:sz w:val="22"/>
                <w:szCs w:val="22"/>
              </w:rPr>
              <w:t xml:space="preserve">, P., 2010, “The Effect of SOX Section 404: Costs, Earnings Quality, and Stock Prices,” </w:t>
            </w:r>
            <w:r w:rsidRPr="00441E1F">
              <w:rPr>
                <w:i/>
                <w:iCs/>
                <w:color w:val="auto"/>
                <w:sz w:val="22"/>
                <w:szCs w:val="22"/>
              </w:rPr>
              <w:t xml:space="preserve">Journal of Finance </w:t>
            </w:r>
            <w:r w:rsidRPr="00441E1F">
              <w:rPr>
                <w:color w:val="auto"/>
                <w:sz w:val="22"/>
                <w:szCs w:val="22"/>
              </w:rPr>
              <w:t xml:space="preserve">65, 1163-1196. </w:t>
            </w:r>
          </w:p>
          <w:p w:rsidR="00441E1F" w:rsidRPr="00441E1F" w:rsidRDefault="00441E1F" w:rsidP="00441E1F">
            <w:pPr>
              <w:pStyle w:val="Default"/>
              <w:rPr>
                <w:color w:val="auto"/>
                <w:sz w:val="22"/>
                <w:szCs w:val="22"/>
              </w:rPr>
            </w:pPr>
            <w:proofErr w:type="spellStart"/>
            <w:r w:rsidRPr="00441E1F">
              <w:rPr>
                <w:color w:val="auto"/>
                <w:sz w:val="22"/>
                <w:szCs w:val="22"/>
              </w:rPr>
              <w:t>Imbens</w:t>
            </w:r>
            <w:proofErr w:type="spellEnd"/>
            <w:r w:rsidRPr="00441E1F">
              <w:rPr>
                <w:color w:val="auto"/>
                <w:sz w:val="22"/>
                <w:szCs w:val="22"/>
              </w:rPr>
              <w:t xml:space="preserve">, G. and T. Lemieux, 2008, “Regression Discontinuity Designs: A Guide to Practice,” </w:t>
            </w:r>
            <w:r w:rsidRPr="00441E1F">
              <w:rPr>
                <w:i/>
                <w:iCs/>
                <w:color w:val="auto"/>
                <w:sz w:val="22"/>
                <w:szCs w:val="22"/>
              </w:rPr>
              <w:t xml:space="preserve">Journal of Econometrics </w:t>
            </w:r>
            <w:r w:rsidRPr="00441E1F">
              <w:rPr>
                <w:color w:val="auto"/>
                <w:sz w:val="22"/>
                <w:szCs w:val="22"/>
              </w:rPr>
              <w:t xml:space="preserve">142, 615-635. </w:t>
            </w:r>
          </w:p>
          <w:p w:rsidR="00441E1F" w:rsidRPr="00441E1F" w:rsidRDefault="00441E1F" w:rsidP="00441E1F">
            <w:pPr>
              <w:pStyle w:val="Default"/>
              <w:rPr>
                <w:color w:val="auto"/>
                <w:sz w:val="22"/>
                <w:szCs w:val="22"/>
              </w:rPr>
            </w:pPr>
            <w:r w:rsidRPr="00441E1F">
              <w:rPr>
                <w:color w:val="auto"/>
                <w:sz w:val="22"/>
                <w:szCs w:val="22"/>
              </w:rPr>
              <w:lastRenderedPageBreak/>
              <w:t xml:space="preserve">Lee, D. and T. Lemieux, 2010, “Regression Discontinuity Designs in Economics,” </w:t>
            </w:r>
            <w:r w:rsidRPr="00441E1F">
              <w:rPr>
                <w:i/>
                <w:iCs/>
                <w:color w:val="auto"/>
                <w:sz w:val="22"/>
                <w:szCs w:val="22"/>
              </w:rPr>
              <w:t xml:space="preserve">Journal of Economic Literature </w:t>
            </w:r>
            <w:r w:rsidRPr="00441E1F">
              <w:rPr>
                <w:color w:val="auto"/>
                <w:sz w:val="22"/>
                <w:szCs w:val="22"/>
              </w:rPr>
              <w:t xml:space="preserve">48, 281-355. </w:t>
            </w:r>
          </w:p>
          <w:p w:rsidR="00441E1F" w:rsidRPr="00441E1F" w:rsidRDefault="00441E1F" w:rsidP="00441E1F">
            <w:pPr>
              <w:pStyle w:val="Default"/>
              <w:rPr>
                <w:color w:val="auto"/>
                <w:sz w:val="22"/>
                <w:szCs w:val="22"/>
              </w:rPr>
            </w:pPr>
            <w:r w:rsidRPr="00441E1F">
              <w:rPr>
                <w:color w:val="auto"/>
                <w:sz w:val="22"/>
                <w:szCs w:val="22"/>
              </w:rPr>
              <w:t xml:space="preserve">(*) Lee, D., 2008, “Randomized Experiments from Non-Random Selection in U.S. House Elections,” </w:t>
            </w:r>
            <w:r w:rsidRPr="00441E1F">
              <w:rPr>
                <w:i/>
                <w:iCs/>
                <w:color w:val="auto"/>
                <w:sz w:val="22"/>
                <w:szCs w:val="22"/>
              </w:rPr>
              <w:t xml:space="preserve">Journal of Econometrics </w:t>
            </w:r>
            <w:r w:rsidRPr="00441E1F">
              <w:rPr>
                <w:color w:val="auto"/>
                <w:sz w:val="22"/>
                <w:szCs w:val="22"/>
              </w:rPr>
              <w:t xml:space="preserve">142, 675-697. </w:t>
            </w:r>
          </w:p>
          <w:p w:rsidR="00441E1F" w:rsidRPr="00441E1F" w:rsidRDefault="00441E1F" w:rsidP="00441E1F">
            <w:pPr>
              <w:pStyle w:val="Default"/>
              <w:rPr>
                <w:color w:val="auto"/>
                <w:sz w:val="22"/>
                <w:szCs w:val="22"/>
              </w:rPr>
            </w:pPr>
            <w:r w:rsidRPr="00441E1F">
              <w:rPr>
                <w:color w:val="auto"/>
                <w:sz w:val="22"/>
                <w:szCs w:val="22"/>
              </w:rPr>
              <w:t xml:space="preserve">(*) </w:t>
            </w:r>
            <w:proofErr w:type="spellStart"/>
            <w:r w:rsidRPr="00441E1F">
              <w:rPr>
                <w:color w:val="auto"/>
                <w:sz w:val="22"/>
                <w:szCs w:val="22"/>
              </w:rPr>
              <w:t>Malmendier</w:t>
            </w:r>
            <w:proofErr w:type="spellEnd"/>
            <w:r w:rsidRPr="00441E1F">
              <w:rPr>
                <w:color w:val="auto"/>
                <w:sz w:val="22"/>
                <w:szCs w:val="22"/>
              </w:rPr>
              <w:t xml:space="preserve">, U. and G. Tate, 2009, “Superstar CEOs,” </w:t>
            </w:r>
            <w:r w:rsidRPr="00441E1F">
              <w:rPr>
                <w:i/>
                <w:iCs/>
                <w:color w:val="auto"/>
                <w:sz w:val="22"/>
                <w:szCs w:val="22"/>
              </w:rPr>
              <w:t xml:space="preserve">Quarterly Journal of Economics </w:t>
            </w:r>
            <w:r w:rsidRPr="00441E1F">
              <w:rPr>
                <w:color w:val="auto"/>
                <w:sz w:val="22"/>
                <w:szCs w:val="22"/>
              </w:rPr>
              <w:t>124, 1593-1638</w:t>
            </w:r>
            <w:r w:rsidRPr="00441E1F">
              <w:rPr>
                <w:i/>
                <w:iCs/>
                <w:color w:val="auto"/>
                <w:sz w:val="22"/>
                <w:szCs w:val="22"/>
              </w:rPr>
              <w:t xml:space="preserve">. </w:t>
            </w:r>
          </w:p>
          <w:p w:rsidR="00441E1F" w:rsidRPr="00441E1F" w:rsidRDefault="00441E1F" w:rsidP="00441E1F">
            <w:pPr>
              <w:pStyle w:val="Default"/>
              <w:rPr>
                <w:color w:val="auto"/>
                <w:sz w:val="22"/>
                <w:szCs w:val="22"/>
              </w:rPr>
            </w:pPr>
            <w:r w:rsidRPr="00441E1F">
              <w:rPr>
                <w:color w:val="auto"/>
                <w:sz w:val="22"/>
                <w:szCs w:val="22"/>
              </w:rPr>
              <w:t xml:space="preserve">(*) </w:t>
            </w:r>
            <w:proofErr w:type="spellStart"/>
            <w:r w:rsidRPr="00441E1F">
              <w:rPr>
                <w:color w:val="auto"/>
                <w:sz w:val="22"/>
                <w:szCs w:val="22"/>
              </w:rPr>
              <w:t>Popdadak</w:t>
            </w:r>
            <w:proofErr w:type="spellEnd"/>
            <w:r w:rsidRPr="00441E1F">
              <w:rPr>
                <w:color w:val="auto"/>
                <w:sz w:val="22"/>
                <w:szCs w:val="22"/>
              </w:rPr>
              <w:t xml:space="preserve">, J., 2014, “A Corporate Culture Channel: How Increased Shareholder Governance Reduces Firm Value,” Working Paper, Duke University </w:t>
            </w:r>
          </w:p>
          <w:p w:rsidR="00441E1F" w:rsidRPr="00441E1F" w:rsidRDefault="00441E1F" w:rsidP="00441E1F">
            <w:pPr>
              <w:pStyle w:val="Default"/>
              <w:rPr>
                <w:color w:val="auto"/>
                <w:sz w:val="22"/>
                <w:szCs w:val="22"/>
              </w:rPr>
            </w:pPr>
            <w:r w:rsidRPr="00441E1F">
              <w:rPr>
                <w:color w:val="auto"/>
                <w:sz w:val="22"/>
                <w:szCs w:val="22"/>
              </w:rPr>
              <w:t xml:space="preserve">(*) </w:t>
            </w:r>
            <w:proofErr w:type="spellStart"/>
            <w:r w:rsidRPr="00441E1F">
              <w:rPr>
                <w:color w:val="auto"/>
                <w:sz w:val="22"/>
                <w:szCs w:val="22"/>
              </w:rPr>
              <w:t>Rauh</w:t>
            </w:r>
            <w:proofErr w:type="spellEnd"/>
            <w:r w:rsidRPr="00441E1F">
              <w:rPr>
                <w:color w:val="auto"/>
                <w:sz w:val="22"/>
                <w:szCs w:val="22"/>
              </w:rPr>
              <w:t xml:space="preserve">, J., 2006, “Investment and Financing Constraints: Evidence from the Funding of Corporate Pension Plans.” </w:t>
            </w:r>
            <w:r w:rsidRPr="00441E1F">
              <w:rPr>
                <w:i/>
                <w:iCs/>
                <w:color w:val="auto"/>
                <w:sz w:val="22"/>
                <w:szCs w:val="22"/>
              </w:rPr>
              <w:t xml:space="preserve">Journal of Finance </w:t>
            </w:r>
            <w:r w:rsidRPr="00441E1F">
              <w:rPr>
                <w:color w:val="auto"/>
                <w:sz w:val="22"/>
                <w:szCs w:val="22"/>
              </w:rPr>
              <w:t>61</w:t>
            </w:r>
            <w:r w:rsidRPr="00441E1F">
              <w:rPr>
                <w:i/>
                <w:iCs/>
                <w:color w:val="auto"/>
                <w:sz w:val="22"/>
                <w:szCs w:val="22"/>
              </w:rPr>
              <w:t xml:space="preserve">, </w:t>
            </w:r>
            <w:r w:rsidRPr="00441E1F">
              <w:rPr>
                <w:color w:val="auto"/>
                <w:sz w:val="22"/>
                <w:szCs w:val="22"/>
              </w:rPr>
              <w:t xml:space="preserve">33-71. </w:t>
            </w:r>
          </w:p>
          <w:p w:rsidR="00441E1F" w:rsidRPr="00441E1F" w:rsidRDefault="00441E1F" w:rsidP="00441E1F">
            <w:pPr>
              <w:pStyle w:val="Default"/>
              <w:rPr>
                <w:color w:val="auto"/>
                <w:sz w:val="22"/>
                <w:szCs w:val="22"/>
              </w:rPr>
            </w:pPr>
            <w:r w:rsidRPr="00441E1F">
              <w:rPr>
                <w:color w:val="auto"/>
                <w:sz w:val="22"/>
                <w:szCs w:val="22"/>
              </w:rPr>
              <w:t xml:space="preserve">Rosembaum, P. and D. Rubin, 1983, “The Central Role of the Propensity Score in Observational Studies for Causal Effects,” </w:t>
            </w:r>
            <w:proofErr w:type="spellStart"/>
            <w:r w:rsidRPr="00441E1F">
              <w:rPr>
                <w:i/>
                <w:iCs/>
                <w:color w:val="auto"/>
                <w:sz w:val="22"/>
                <w:szCs w:val="22"/>
              </w:rPr>
              <w:t>Biometrika</w:t>
            </w:r>
            <w:proofErr w:type="spellEnd"/>
            <w:r w:rsidRPr="00441E1F">
              <w:rPr>
                <w:i/>
                <w:iCs/>
                <w:color w:val="auto"/>
                <w:sz w:val="22"/>
                <w:szCs w:val="22"/>
              </w:rPr>
              <w:t xml:space="preserve"> </w:t>
            </w:r>
            <w:r w:rsidRPr="00441E1F">
              <w:rPr>
                <w:color w:val="auto"/>
                <w:sz w:val="22"/>
                <w:szCs w:val="22"/>
              </w:rPr>
              <w:t xml:space="preserve">70, 41-55. </w:t>
            </w:r>
          </w:p>
          <w:p w:rsidR="00441E1F" w:rsidRPr="00441E1F" w:rsidRDefault="00441E1F" w:rsidP="00441E1F">
            <w:r w:rsidRPr="00441E1F">
              <w:t xml:space="preserve">Van der </w:t>
            </w:r>
            <w:proofErr w:type="spellStart"/>
            <w:r w:rsidRPr="00441E1F">
              <w:t>Klaauw</w:t>
            </w:r>
            <w:proofErr w:type="spellEnd"/>
            <w:r w:rsidRPr="00441E1F">
              <w:t xml:space="preserve">, W., 2008, “Regression-Discontinuity Analysis: A Survey of Recent Developments in Economics,” </w:t>
            </w:r>
            <w:r w:rsidRPr="00441E1F">
              <w:rPr>
                <w:i/>
                <w:iCs/>
              </w:rPr>
              <w:t xml:space="preserve">LABOUR </w:t>
            </w:r>
            <w:r w:rsidRPr="00441E1F">
              <w:t>22, 219-245.</w:t>
            </w:r>
          </w:p>
          <w:p w:rsidR="00441E1F" w:rsidRPr="00441E1F" w:rsidRDefault="00441E1F" w:rsidP="00441E1F">
            <w:pPr>
              <w:rPr>
                <w:rFonts w:cstheme="minorHAnsi"/>
              </w:rPr>
            </w:pPr>
          </w:p>
          <w:p w:rsidR="0073782A" w:rsidRPr="00441E1F" w:rsidRDefault="0073782A" w:rsidP="0073782A">
            <w:pPr>
              <w:rPr>
                <w:rFonts w:cstheme="minorHAnsi"/>
              </w:rPr>
            </w:pPr>
          </w:p>
        </w:tc>
      </w:tr>
      <w:tr w:rsidR="00441E1F" w:rsidRPr="00441E1F" w:rsidTr="00345BBB">
        <w:trPr>
          <w:trHeight w:val="328"/>
        </w:trPr>
        <w:tc>
          <w:tcPr>
            <w:tcW w:w="9669" w:type="dxa"/>
            <w:gridSpan w:val="3"/>
            <w:shd w:val="clear" w:color="auto" w:fill="7030A0"/>
          </w:tcPr>
          <w:p w:rsidR="00B76C82" w:rsidRPr="00441E1F" w:rsidRDefault="00B76C82" w:rsidP="00D42AA1">
            <w:pPr>
              <w:ind w:right="-70"/>
              <w:rPr>
                <w:rFonts w:ascii="Arial" w:hAnsi="Arial" w:cs="Arial"/>
                <w:b/>
                <w:sz w:val="24"/>
                <w:szCs w:val="24"/>
              </w:rPr>
            </w:pPr>
            <w:r w:rsidRPr="00441E1F">
              <w:rPr>
                <w:rFonts w:ascii="Arial" w:hAnsi="Arial" w:cs="Arial"/>
                <w:b/>
                <w:sz w:val="24"/>
                <w:szCs w:val="24"/>
              </w:rPr>
              <w:lastRenderedPageBreak/>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441E1F" w:rsidRPr="00441E1F" w:rsidTr="006A15A6">
        <w:tc>
          <w:tcPr>
            <w:tcW w:w="5217" w:type="dxa"/>
            <w:shd w:val="clear" w:color="auto" w:fill="D9D9D9" w:themeFill="background1" w:themeFillShade="D9"/>
            <w:vAlign w:val="center"/>
          </w:tcPr>
          <w:p w:rsidR="002F7643" w:rsidRPr="00441E1F"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sidRPr="00441E1F">
              <w:rPr>
                <w:rFonts w:ascii="Calibri" w:eastAsia="Batang" w:hAnsi="Calibri" w:cs="Calibri"/>
                <w:b/>
                <w:sz w:val="24"/>
                <w:szCs w:val="24"/>
                <w:lang w:eastAsia="ko-KR"/>
              </w:rPr>
              <w:t>Mode of Assessment</w:t>
            </w:r>
          </w:p>
        </w:tc>
        <w:tc>
          <w:tcPr>
            <w:tcW w:w="1984" w:type="dxa"/>
            <w:shd w:val="clear" w:color="auto" w:fill="D9D9D9" w:themeFill="background1" w:themeFillShade="D9"/>
          </w:tcPr>
          <w:p w:rsidR="002F7643" w:rsidRPr="00441E1F"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441E1F">
              <w:rPr>
                <w:rFonts w:ascii="Calibri" w:eastAsia="Batang" w:hAnsi="Calibri" w:cs="Calibri"/>
                <w:b/>
                <w:bCs/>
                <w:sz w:val="24"/>
                <w:szCs w:val="24"/>
                <w:lang w:eastAsia="ko-KR"/>
              </w:rPr>
              <w:t>Length required</w:t>
            </w:r>
          </w:p>
        </w:tc>
        <w:tc>
          <w:tcPr>
            <w:tcW w:w="2439" w:type="dxa"/>
            <w:shd w:val="clear" w:color="auto" w:fill="D9D9D9" w:themeFill="background1" w:themeFillShade="D9"/>
          </w:tcPr>
          <w:p w:rsidR="002F7643" w:rsidRPr="00441E1F"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441E1F">
              <w:rPr>
                <w:rFonts w:ascii="Calibri" w:eastAsia="Batang" w:hAnsi="Calibri" w:cs="Calibri"/>
                <w:b/>
                <w:bCs/>
                <w:sz w:val="24"/>
                <w:szCs w:val="24"/>
                <w:lang w:eastAsia="ko-KR"/>
              </w:rPr>
              <w:t>Weighting within unit</w:t>
            </w:r>
          </w:p>
        </w:tc>
      </w:tr>
      <w:tr w:rsidR="00441E1F" w:rsidRPr="00441E1F" w:rsidTr="00345BBB">
        <w:tc>
          <w:tcPr>
            <w:tcW w:w="5217" w:type="dxa"/>
          </w:tcPr>
          <w:p w:rsidR="0073782A" w:rsidRPr="00441E1F" w:rsidRDefault="0073782A" w:rsidP="0073782A">
            <w:pPr>
              <w:pStyle w:val="Default"/>
              <w:rPr>
                <w:color w:val="auto"/>
                <w:sz w:val="23"/>
                <w:szCs w:val="23"/>
              </w:rPr>
            </w:pPr>
            <w:r w:rsidRPr="00441E1F">
              <w:rPr>
                <w:color w:val="auto"/>
                <w:sz w:val="23"/>
                <w:szCs w:val="23"/>
              </w:rPr>
              <w:t xml:space="preserve">Students will prepare one term paper based on the ideas and techniques discussed in the course. Additional details about the grading administration will be provided by </w:t>
            </w:r>
            <w:proofErr w:type="spellStart"/>
            <w:r w:rsidRPr="00441E1F">
              <w:rPr>
                <w:color w:val="auto"/>
                <w:sz w:val="23"/>
                <w:szCs w:val="23"/>
              </w:rPr>
              <w:t>Prof.</w:t>
            </w:r>
            <w:proofErr w:type="spellEnd"/>
            <w:r w:rsidRPr="00441E1F">
              <w:rPr>
                <w:color w:val="auto"/>
                <w:sz w:val="23"/>
                <w:szCs w:val="23"/>
              </w:rPr>
              <w:t xml:space="preserve"> Maria Marchica and available in Blackboard. </w:t>
            </w:r>
          </w:p>
          <w:p w:rsidR="002F7643" w:rsidRPr="00441E1F" w:rsidRDefault="002F7643" w:rsidP="00345BBB">
            <w:pPr>
              <w:autoSpaceDE w:val="0"/>
              <w:autoSpaceDN w:val="0"/>
              <w:spacing w:before="120" w:after="120" w:line="240" w:lineRule="auto"/>
              <w:rPr>
                <w:rFonts w:eastAsia="Batang" w:cs="Palatino Linotype"/>
                <w:lang w:eastAsia="ko-KR"/>
              </w:rPr>
            </w:pPr>
          </w:p>
        </w:tc>
        <w:tc>
          <w:tcPr>
            <w:tcW w:w="1984" w:type="dxa"/>
          </w:tcPr>
          <w:p w:rsidR="002F7643" w:rsidRPr="00441E1F" w:rsidRDefault="0073782A" w:rsidP="002F7643">
            <w:pPr>
              <w:autoSpaceDE w:val="0"/>
              <w:autoSpaceDN w:val="0"/>
              <w:spacing w:before="120" w:after="120" w:line="240" w:lineRule="auto"/>
              <w:jc w:val="center"/>
              <w:rPr>
                <w:rFonts w:eastAsia="Batang" w:cs="Palatino Linotype"/>
                <w:lang w:eastAsia="ko-KR"/>
              </w:rPr>
            </w:pPr>
            <w:r w:rsidRPr="00441E1F">
              <w:rPr>
                <w:rFonts w:eastAsia="Batang" w:cs="Palatino Linotype"/>
                <w:lang w:eastAsia="ko-KR"/>
              </w:rPr>
              <w:t>2,000</w:t>
            </w:r>
          </w:p>
        </w:tc>
        <w:tc>
          <w:tcPr>
            <w:tcW w:w="2439" w:type="dxa"/>
          </w:tcPr>
          <w:p w:rsidR="002F7643" w:rsidRPr="00441E1F" w:rsidRDefault="0073782A" w:rsidP="002F7643">
            <w:pPr>
              <w:autoSpaceDE w:val="0"/>
              <w:autoSpaceDN w:val="0"/>
              <w:spacing w:before="120" w:after="120" w:line="240" w:lineRule="auto"/>
              <w:jc w:val="center"/>
              <w:rPr>
                <w:rFonts w:eastAsia="Batang" w:cs="Palatino Linotype"/>
                <w:lang w:eastAsia="ko-KR"/>
              </w:rPr>
            </w:pPr>
            <w:r w:rsidRPr="00441E1F">
              <w:rPr>
                <w:rFonts w:eastAsia="Batang" w:cs="Palatino Linotype"/>
                <w:lang w:eastAsia="ko-KR"/>
              </w:rPr>
              <w:t>100%</w:t>
            </w:r>
          </w:p>
        </w:tc>
      </w:tr>
      <w:tr w:rsidR="00441E1F" w:rsidRPr="00441E1F" w:rsidTr="00345BBB">
        <w:tc>
          <w:tcPr>
            <w:tcW w:w="5217" w:type="dxa"/>
          </w:tcPr>
          <w:p w:rsidR="002F7643" w:rsidRPr="00441E1F" w:rsidRDefault="002F7643" w:rsidP="0073782A">
            <w:pPr>
              <w:spacing w:after="0" w:line="240" w:lineRule="auto"/>
            </w:pPr>
            <w:r w:rsidRPr="00441E1F">
              <w:rPr>
                <w:rFonts w:eastAsia="Batang" w:cs="Palatino Linotype"/>
                <w:b/>
                <w:lang w:eastAsia="ko-KR"/>
              </w:rPr>
              <w:t>Resits</w:t>
            </w:r>
            <w:r w:rsidRPr="00441E1F">
              <w:rPr>
                <w:rFonts w:eastAsia="Batang" w:cs="Palatino Linotype"/>
                <w:lang w:eastAsia="ko-KR"/>
              </w:rPr>
              <w:t xml:space="preserve">: </w:t>
            </w:r>
          </w:p>
          <w:p w:rsidR="0073782A" w:rsidRPr="00441E1F" w:rsidRDefault="0073782A" w:rsidP="0073782A">
            <w:pPr>
              <w:pStyle w:val="Default"/>
              <w:rPr>
                <w:color w:val="auto"/>
                <w:sz w:val="23"/>
                <w:szCs w:val="23"/>
              </w:rPr>
            </w:pPr>
            <w:r w:rsidRPr="00441E1F">
              <w:rPr>
                <w:color w:val="auto"/>
                <w:sz w:val="23"/>
                <w:szCs w:val="23"/>
              </w:rPr>
              <w:t xml:space="preserve">One term paper based on the ideas and techniques discussed in the course. </w:t>
            </w:r>
          </w:p>
          <w:p w:rsidR="0073782A" w:rsidRPr="00441E1F" w:rsidRDefault="0073782A" w:rsidP="0073782A">
            <w:pPr>
              <w:spacing w:after="0" w:line="240" w:lineRule="auto"/>
            </w:pPr>
          </w:p>
          <w:p w:rsidR="0073782A" w:rsidRPr="00441E1F" w:rsidRDefault="0073782A" w:rsidP="0073782A">
            <w:pPr>
              <w:spacing w:after="0" w:line="240" w:lineRule="auto"/>
            </w:pPr>
          </w:p>
        </w:tc>
        <w:tc>
          <w:tcPr>
            <w:tcW w:w="1984" w:type="dxa"/>
          </w:tcPr>
          <w:p w:rsidR="002F7643" w:rsidRPr="00441E1F" w:rsidRDefault="00441E1F" w:rsidP="002F7643">
            <w:pPr>
              <w:autoSpaceDE w:val="0"/>
              <w:autoSpaceDN w:val="0"/>
              <w:spacing w:before="120" w:after="120" w:line="240" w:lineRule="auto"/>
              <w:jc w:val="center"/>
              <w:rPr>
                <w:rFonts w:eastAsia="Batang" w:cs="Palatino Linotype"/>
                <w:lang w:eastAsia="ko-KR"/>
              </w:rPr>
            </w:pPr>
            <w:r w:rsidRPr="00441E1F">
              <w:rPr>
                <w:rFonts w:eastAsia="Batang" w:cs="Palatino Linotype"/>
                <w:lang w:eastAsia="ko-KR"/>
              </w:rPr>
              <w:t>2,000</w:t>
            </w:r>
          </w:p>
        </w:tc>
        <w:tc>
          <w:tcPr>
            <w:tcW w:w="2439" w:type="dxa"/>
          </w:tcPr>
          <w:p w:rsidR="002F7643" w:rsidRPr="00441E1F" w:rsidRDefault="00441E1F" w:rsidP="002F7643">
            <w:pPr>
              <w:autoSpaceDE w:val="0"/>
              <w:autoSpaceDN w:val="0"/>
              <w:spacing w:before="120" w:after="120" w:line="240" w:lineRule="auto"/>
              <w:jc w:val="center"/>
              <w:rPr>
                <w:rFonts w:eastAsia="Batang" w:cs="Palatino Linotype"/>
                <w:lang w:eastAsia="ko-KR"/>
              </w:rPr>
            </w:pPr>
            <w:r w:rsidRPr="00441E1F">
              <w:rPr>
                <w:rFonts w:eastAsia="Batang" w:cs="Palatino Linotype"/>
                <w:lang w:eastAsia="ko-KR"/>
              </w:rPr>
              <w:t>100%</w:t>
            </w:r>
          </w:p>
        </w:tc>
      </w:tr>
    </w:tbl>
    <w:tbl>
      <w:tblPr>
        <w:tblStyle w:val="TableGrid"/>
        <w:tblW w:w="9640" w:type="dxa"/>
        <w:tblInd w:w="-147" w:type="dxa"/>
        <w:tblLook w:val="04A0" w:firstRow="1" w:lastRow="0" w:firstColumn="1" w:lastColumn="0" w:noHBand="0" w:noVBand="1"/>
      </w:tblPr>
      <w:tblGrid>
        <w:gridCol w:w="9640"/>
      </w:tblGrid>
      <w:tr w:rsidR="00441E1F" w:rsidRPr="00441E1F" w:rsidTr="00345BBB">
        <w:tc>
          <w:tcPr>
            <w:tcW w:w="9640" w:type="dxa"/>
            <w:shd w:val="clear" w:color="auto" w:fill="7030A0"/>
          </w:tcPr>
          <w:p w:rsidR="009526CA" w:rsidRPr="00441E1F" w:rsidRDefault="009526CA" w:rsidP="003A0F8F">
            <w:pPr>
              <w:rPr>
                <w:rFonts w:ascii="Arial" w:hAnsi="Arial" w:cs="Arial"/>
                <w:b/>
                <w:sz w:val="24"/>
                <w:szCs w:val="24"/>
              </w:rPr>
            </w:pPr>
            <w:r w:rsidRPr="00441E1F">
              <w:rPr>
                <w:rFonts w:ascii="Arial" w:hAnsi="Arial" w:cs="Arial"/>
                <w:b/>
                <w:sz w:val="24"/>
                <w:szCs w:val="24"/>
              </w:rPr>
              <w:t>Feedback</w:t>
            </w:r>
            <w:r w:rsidR="00A25907" w:rsidRPr="00441E1F">
              <w:rPr>
                <w:rFonts w:ascii="Arial" w:hAnsi="Arial" w:cs="Arial"/>
                <w:b/>
                <w:sz w:val="24"/>
                <w:szCs w:val="24"/>
              </w:rPr>
              <w:t xml:space="preserve"> methods</w:t>
            </w:r>
          </w:p>
        </w:tc>
      </w:tr>
      <w:tr w:rsidR="00441E1F" w:rsidRPr="00207404" w:rsidTr="00345BBB">
        <w:tc>
          <w:tcPr>
            <w:tcW w:w="9640" w:type="dxa"/>
          </w:tcPr>
          <w:p w:rsidR="00441E1F" w:rsidRPr="00207404" w:rsidRDefault="00441E1F" w:rsidP="00441E1F">
            <w:pPr>
              <w:pStyle w:val="Default"/>
              <w:rPr>
                <w:color w:val="auto"/>
                <w:sz w:val="22"/>
                <w:szCs w:val="22"/>
              </w:rPr>
            </w:pPr>
            <w:bookmarkStart w:id="0" w:name="_GoBack"/>
            <w:proofErr w:type="gramStart"/>
            <w:r w:rsidRPr="00207404">
              <w:rPr>
                <w:color w:val="auto"/>
                <w:sz w:val="22"/>
                <w:szCs w:val="22"/>
              </w:rPr>
              <w:t>Feedback will be provided by student’s supervisors along with the final mark on the assessment</w:t>
            </w:r>
            <w:proofErr w:type="gramEnd"/>
            <w:r w:rsidRPr="00207404">
              <w:rPr>
                <w:color w:val="auto"/>
                <w:sz w:val="22"/>
                <w:szCs w:val="22"/>
              </w:rPr>
              <w:t xml:space="preserve">. </w:t>
            </w:r>
          </w:p>
          <w:p w:rsidR="00B274A6" w:rsidRPr="00207404" w:rsidRDefault="00441E1F" w:rsidP="00441E1F">
            <w:pPr>
              <w:rPr>
                <w:rFonts w:ascii="Palatino Linotype" w:hAnsi="Palatino Linotype" w:cstheme="minorHAnsi"/>
              </w:rPr>
            </w:pPr>
            <w:r w:rsidRPr="00207404">
              <w:rPr>
                <w:rFonts w:ascii="Palatino Linotype" w:hAnsi="Palatino Linotype"/>
              </w:rPr>
              <w:t xml:space="preserve">Students may provide feedback on this course by writing an email to </w:t>
            </w:r>
            <w:proofErr w:type="spellStart"/>
            <w:r w:rsidRPr="00207404">
              <w:rPr>
                <w:rFonts w:ascii="Palatino Linotype" w:hAnsi="Palatino Linotype"/>
              </w:rPr>
              <w:t>Prof.</w:t>
            </w:r>
            <w:proofErr w:type="spellEnd"/>
            <w:r w:rsidRPr="00207404">
              <w:rPr>
                <w:rFonts w:ascii="Palatino Linotype" w:hAnsi="Palatino Linotype"/>
              </w:rPr>
              <w:t xml:space="preserve"> Maria Marchica. </w:t>
            </w:r>
          </w:p>
          <w:p w:rsidR="00A25907" w:rsidRPr="00207404" w:rsidRDefault="00A25907" w:rsidP="004003EA">
            <w:pPr>
              <w:rPr>
                <w:rFonts w:ascii="Palatino Linotype" w:hAnsi="Palatino Linotype" w:cs="Arial"/>
                <w:sz w:val="24"/>
                <w:szCs w:val="24"/>
              </w:rPr>
            </w:pPr>
          </w:p>
        </w:tc>
      </w:tr>
    </w:tbl>
    <w:bookmarkEnd w:id="0"/>
    <w:p w:rsidR="009526CA" w:rsidRPr="00441E1F" w:rsidRDefault="009526CA" w:rsidP="00D42AA1">
      <w:pPr>
        <w:spacing w:after="0" w:line="240" w:lineRule="auto"/>
        <w:ind w:left="-142" w:right="-188"/>
        <w:rPr>
          <w:rFonts w:ascii="Arial" w:hAnsi="Arial" w:cs="Arial"/>
          <w:b/>
          <w:sz w:val="24"/>
          <w:szCs w:val="24"/>
        </w:rPr>
      </w:pPr>
      <w:r w:rsidRPr="00441E1F">
        <w:t xml:space="preserve"> </w:t>
      </w:r>
    </w:p>
    <w:sectPr w:rsidR="009526CA" w:rsidRPr="00441E1F" w:rsidSect="00D42AA1">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8DF" w:rsidRDefault="00A678DF" w:rsidP="00A678DF">
      <w:pPr>
        <w:spacing w:after="0" w:line="240" w:lineRule="auto"/>
      </w:pPr>
      <w:r>
        <w:separator/>
      </w:r>
    </w:p>
  </w:endnote>
  <w:endnote w:type="continuationSeparator" w:id="0">
    <w:p w:rsidR="00A678DF" w:rsidRDefault="00A678DF"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8DF" w:rsidRDefault="00A678DF" w:rsidP="00A678DF">
      <w:pPr>
        <w:spacing w:after="0" w:line="240" w:lineRule="auto"/>
      </w:pPr>
      <w:r>
        <w:separator/>
      </w:r>
    </w:p>
  </w:footnote>
  <w:footnote w:type="continuationSeparator" w:id="0">
    <w:p w:rsidR="00A678DF" w:rsidRDefault="00A678DF"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DF" w:rsidRDefault="00A678DF" w:rsidP="00A678DF">
    <w:pPr>
      <w:pStyle w:val="Header"/>
      <w:jc w:val="center"/>
      <w:rPr>
        <w:rFonts w:ascii="Arial" w:hAnsi="Arial" w:cs="Arial"/>
        <w:b/>
      </w:rPr>
    </w:pPr>
    <w:r>
      <w:rPr>
        <w:rFonts w:ascii="Arial" w:hAnsi="Arial" w:cs="Arial"/>
        <w:b/>
      </w:rPr>
      <w:t>Alliance Manchester Business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C56BC"/>
    <w:rsid w:val="00207404"/>
    <w:rsid w:val="00290A4D"/>
    <w:rsid w:val="002F7643"/>
    <w:rsid w:val="00303944"/>
    <w:rsid w:val="00345BBB"/>
    <w:rsid w:val="00347F27"/>
    <w:rsid w:val="00396F3E"/>
    <w:rsid w:val="003E0908"/>
    <w:rsid w:val="004003EA"/>
    <w:rsid w:val="00411312"/>
    <w:rsid w:val="004274AD"/>
    <w:rsid w:val="00441E1F"/>
    <w:rsid w:val="004B1E88"/>
    <w:rsid w:val="00536D49"/>
    <w:rsid w:val="0056006D"/>
    <w:rsid w:val="00591BAF"/>
    <w:rsid w:val="00622D16"/>
    <w:rsid w:val="0063304D"/>
    <w:rsid w:val="006A15A6"/>
    <w:rsid w:val="006B2ECC"/>
    <w:rsid w:val="0073782A"/>
    <w:rsid w:val="007420AC"/>
    <w:rsid w:val="0079253C"/>
    <w:rsid w:val="008B64AE"/>
    <w:rsid w:val="009526CA"/>
    <w:rsid w:val="009A0B09"/>
    <w:rsid w:val="009A2688"/>
    <w:rsid w:val="00A25907"/>
    <w:rsid w:val="00A678DF"/>
    <w:rsid w:val="00AA2E20"/>
    <w:rsid w:val="00B274A6"/>
    <w:rsid w:val="00B46E87"/>
    <w:rsid w:val="00B76C82"/>
    <w:rsid w:val="00BC4684"/>
    <w:rsid w:val="00C7344D"/>
    <w:rsid w:val="00CF3EFD"/>
    <w:rsid w:val="00D0285D"/>
    <w:rsid w:val="00D42AA1"/>
    <w:rsid w:val="00D52A0A"/>
    <w:rsid w:val="00D57CBE"/>
    <w:rsid w:val="00EB7A93"/>
    <w:rsid w:val="00F4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7F8A"/>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82A"/>
    <w:rPr>
      <w:color w:val="0000FF" w:themeColor="hyperlink"/>
      <w:u w:val="single"/>
    </w:rPr>
  </w:style>
  <w:style w:type="paragraph" w:customStyle="1" w:styleId="Default">
    <w:name w:val="Default"/>
    <w:rsid w:val="0073782A"/>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a.marchica@manchester.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6E479-2EE5-4C93-BBAB-86A742D1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Maria Marchica</cp:lastModifiedBy>
  <cp:revision>4</cp:revision>
  <dcterms:created xsi:type="dcterms:W3CDTF">2021-08-26T13:08:00Z</dcterms:created>
  <dcterms:modified xsi:type="dcterms:W3CDTF">2021-08-26T19:35:00Z</dcterms:modified>
</cp:coreProperties>
</file>