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6C5D2" w14:textId="6321ED10" w:rsidR="001512A2" w:rsidRPr="00593D7D" w:rsidRDefault="00593D7D" w:rsidP="00593D7D">
      <w:pPr>
        <w:pStyle w:val="ListParagraph"/>
        <w:numPr>
          <w:ilvl w:val="0"/>
          <w:numId w:val="2"/>
        </w:numPr>
        <w:spacing w:after="0" w:line="240" w:lineRule="auto"/>
        <w:rPr>
          <w:rFonts w:ascii="Segoe UI" w:hAnsi="Segoe UI" w:cs="Segoe UI"/>
          <w:b/>
        </w:rPr>
      </w:pPr>
      <w:r w:rsidRPr="00593D7D">
        <w:rPr>
          <w:rFonts w:ascii="Segoe UI" w:hAnsi="Segoe UI" w:cs="Segoe UI"/>
          <w:b/>
        </w:rPr>
        <w:t>L</w:t>
      </w:r>
      <w:r w:rsidR="003C5A39" w:rsidRPr="00593D7D">
        <w:rPr>
          <w:rFonts w:ascii="Segoe UI" w:hAnsi="Segoe UI" w:cs="Segoe UI"/>
          <w:b/>
        </w:rPr>
        <w:t>oans of physical items by month</w:t>
      </w:r>
      <w:r w:rsidR="002D3902" w:rsidRPr="00593D7D">
        <w:rPr>
          <w:rFonts w:ascii="Segoe UI" w:hAnsi="Segoe UI" w:cs="Segoe UI"/>
          <w:b/>
        </w:rPr>
        <w:t xml:space="preserve"> and year (January 2018 to</w:t>
      </w:r>
      <w:r w:rsidR="003C5A39" w:rsidRPr="00593D7D">
        <w:rPr>
          <w:rFonts w:ascii="Segoe UI" w:hAnsi="Segoe UI" w:cs="Segoe UI"/>
          <w:b/>
        </w:rPr>
        <w:t xml:space="preserve"> February 2021)</w:t>
      </w:r>
      <w:bookmarkStart w:id="0" w:name="_GoBack"/>
      <w:bookmarkEnd w:id="0"/>
    </w:p>
    <w:p w14:paraId="24971DA3" w14:textId="36DF297A" w:rsidR="00D61C88" w:rsidRDefault="002D3902" w:rsidP="003C5A39">
      <w:pPr>
        <w:pStyle w:val="NoSpacing"/>
        <w:rPr>
          <w:sz w:val="16"/>
          <w:szCs w:val="16"/>
        </w:rPr>
      </w:pPr>
      <w:r w:rsidRPr="002D3902">
        <w:rPr>
          <w:rFonts w:ascii="Segoe UI" w:hAnsi="Segoe UI" w:cs="Segoe UI"/>
          <w:sz w:val="16"/>
          <w:szCs w:val="16"/>
        </w:rPr>
        <w:t xml:space="preserve">Loans of all physical items are shown, including loans of equipment such as laptops. In-house loans are not included; renewals are not included. The data source is Alma Analytics and further details can be found on the </w:t>
      </w:r>
      <w:hyperlink r:id="rId11" w:tgtFrame="_blank" w:history="1">
        <w:r w:rsidRPr="002D3902">
          <w:rPr>
            <w:rStyle w:val="Hyperlink"/>
            <w:rFonts w:ascii="Segoe UI" w:hAnsi="Segoe UI" w:cs="Segoe UI"/>
            <w:sz w:val="16"/>
            <w:szCs w:val="16"/>
          </w:rPr>
          <w:t>Library</w:t>
        </w:r>
      </w:hyperlink>
      <w:r w:rsidRPr="002D3902">
        <w:rPr>
          <w:rFonts w:ascii="Segoe UI" w:hAnsi="Segoe UI" w:cs="Segoe UI"/>
          <w:sz w:val="16"/>
          <w:szCs w:val="16"/>
        </w:rPr>
        <w:t xml:space="preserve"> </w:t>
      </w:r>
      <w:hyperlink r:id="rId12" w:tgtFrame="_blank" w:history="1">
        <w:r w:rsidRPr="002D3902">
          <w:rPr>
            <w:rStyle w:val="Hyperlink"/>
            <w:rFonts w:ascii="Segoe UI" w:hAnsi="Segoe UI" w:cs="Segoe UI"/>
            <w:sz w:val="16"/>
            <w:szCs w:val="16"/>
          </w:rPr>
          <w:t>Planning app</w:t>
        </w:r>
      </w:hyperlink>
      <w:r w:rsidRPr="002D3902">
        <w:rPr>
          <w:rFonts w:ascii="Segoe UI" w:hAnsi="Segoe UI" w:cs="Segoe UI"/>
          <w:sz w:val="16"/>
          <w:szCs w:val="16"/>
        </w:rPr>
        <w:t>. Data are as at the end of February 2021.</w:t>
      </w:r>
    </w:p>
    <w:p w14:paraId="5458BB4C" w14:textId="77777777" w:rsidR="003C5A39" w:rsidRDefault="003C5A39" w:rsidP="003C5A39">
      <w:pPr>
        <w:pStyle w:val="NoSpacing"/>
        <w:rPr>
          <w:sz w:val="16"/>
          <w:szCs w:val="16"/>
        </w:rPr>
      </w:pPr>
    </w:p>
    <w:p w14:paraId="6B163E94" w14:textId="77777777" w:rsidR="00D61C88" w:rsidRDefault="002D3902" w:rsidP="003C5A39">
      <w:pPr>
        <w:pStyle w:val="NoSpacing"/>
        <w:rPr>
          <w:sz w:val="16"/>
          <w:szCs w:val="16"/>
        </w:rPr>
      </w:pPr>
      <w:r w:rsidRPr="002D3902">
        <w:rPr>
          <w:noProof/>
          <w:sz w:val="16"/>
          <w:szCs w:val="16"/>
          <w:lang w:eastAsia="en-GB"/>
        </w:rPr>
        <w:drawing>
          <wp:inline distT="0" distB="0" distL="0" distR="0" wp14:anchorId="20398396" wp14:editId="2CCAF7C9">
            <wp:extent cx="6956755" cy="2755888"/>
            <wp:effectExtent l="0" t="0" r="0" b="6985"/>
            <wp:docPr id="1" name="Picture 1" descr="A line chart showing loans by month and year. 2020 saw a substantial drop in loans compared with previous years.  Loans were higher in 2018 than in 2019." title="Loans by Month and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986236" cy="2767567"/>
                    </a:xfrm>
                    <a:prstGeom prst="rect">
                      <a:avLst/>
                    </a:prstGeom>
                  </pic:spPr>
                </pic:pic>
              </a:graphicData>
            </a:graphic>
          </wp:inline>
        </w:drawing>
      </w:r>
      <w:r w:rsidR="00286DDF">
        <w:rPr>
          <w:sz w:val="16"/>
          <w:szCs w:val="16"/>
        </w:rPr>
        <w:tab/>
      </w:r>
      <w:r w:rsidR="0018575B" w:rsidRPr="0018575B">
        <w:rPr>
          <w:noProof/>
          <w:sz w:val="16"/>
          <w:szCs w:val="16"/>
          <w:lang w:eastAsia="en-GB"/>
        </w:rPr>
        <w:drawing>
          <wp:inline distT="0" distB="0" distL="0" distR="0" wp14:anchorId="39089A9C" wp14:editId="4EBC78EA">
            <wp:extent cx="2221515" cy="2726741"/>
            <wp:effectExtent l="0" t="0" r="7620" b="0"/>
            <wp:docPr id="2" name="Picture 2" descr="A bar chart showing loans by year, with 2018 having 244,908 loans, 2019 having 199,118 loans, 2020 having 63,692 loans and 2021 having 7,365 loans so far." title="Loans by Year 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221515" cy="2726741"/>
                    </a:xfrm>
                    <a:prstGeom prst="rect">
                      <a:avLst/>
                    </a:prstGeom>
                  </pic:spPr>
                </pic:pic>
              </a:graphicData>
            </a:graphic>
          </wp:inline>
        </w:drawing>
      </w:r>
      <w:r w:rsidR="00286DDF">
        <w:rPr>
          <w:sz w:val="16"/>
          <w:szCs w:val="16"/>
        </w:rPr>
        <w:tab/>
      </w:r>
    </w:p>
    <w:p w14:paraId="4F6BAA27" w14:textId="77777777" w:rsidR="00D61C88" w:rsidRDefault="00D61C88" w:rsidP="003C5A39">
      <w:pPr>
        <w:pStyle w:val="NoSpacing"/>
        <w:rPr>
          <w:sz w:val="16"/>
          <w:szCs w:val="16"/>
        </w:rPr>
      </w:pPr>
    </w:p>
    <w:p w14:paraId="706B73B4" w14:textId="379877A7" w:rsidR="00CC33D3" w:rsidRDefault="0018575B" w:rsidP="003C5A39">
      <w:pPr>
        <w:pStyle w:val="NoSpacing"/>
        <w:rPr>
          <w:sz w:val="16"/>
          <w:szCs w:val="16"/>
        </w:rPr>
      </w:pPr>
      <w:r w:rsidRPr="0018575B">
        <w:rPr>
          <w:noProof/>
          <w:sz w:val="16"/>
          <w:szCs w:val="16"/>
          <w:lang w:eastAsia="en-GB"/>
        </w:rPr>
        <w:drawing>
          <wp:inline distT="0" distB="0" distL="0" distR="0" wp14:anchorId="6F3300FB" wp14:editId="01BC87FF">
            <wp:extent cx="9777730" cy="1847850"/>
            <wp:effectExtent l="0" t="0" r="0" b="0"/>
            <wp:docPr id="9" name="Picture 9" descr="A bar chart showing the percentage of loans from each library, with Main Library having 76.2% of loans, Joule with 4.8% and AGLC with 4.5% over the period 2018 to 2021 so far." title="Loans by Library ba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777730" cy="1847850"/>
                    </a:xfrm>
                    <a:prstGeom prst="rect">
                      <a:avLst/>
                    </a:prstGeom>
                  </pic:spPr>
                </pic:pic>
              </a:graphicData>
            </a:graphic>
          </wp:inline>
        </w:drawing>
      </w:r>
    </w:p>
    <w:p w14:paraId="6542C2EA" w14:textId="77777777" w:rsidR="00CC33D3" w:rsidRDefault="00CC33D3">
      <w:pPr>
        <w:rPr>
          <w:sz w:val="16"/>
          <w:szCs w:val="16"/>
        </w:rPr>
      </w:pPr>
      <w:r>
        <w:rPr>
          <w:sz w:val="16"/>
          <w:szCs w:val="16"/>
        </w:rPr>
        <w:br w:type="page"/>
      </w:r>
    </w:p>
    <w:p w14:paraId="4D3C7508" w14:textId="7EE290D6" w:rsidR="00AF457F" w:rsidRPr="0018575B" w:rsidRDefault="00AF457F" w:rsidP="00593D7D">
      <w:pPr>
        <w:pStyle w:val="ListParagraph"/>
        <w:numPr>
          <w:ilvl w:val="0"/>
          <w:numId w:val="2"/>
        </w:numPr>
        <w:spacing w:after="0" w:line="240" w:lineRule="auto"/>
        <w:rPr>
          <w:rFonts w:ascii="Segoe UI" w:hAnsi="Segoe UI" w:cs="Segoe UI"/>
          <w:b/>
        </w:rPr>
      </w:pPr>
      <w:r w:rsidRPr="0018575B">
        <w:rPr>
          <w:rFonts w:ascii="Segoe UI" w:hAnsi="Segoe UI" w:cs="Segoe UI"/>
          <w:b/>
        </w:rPr>
        <w:lastRenderedPageBreak/>
        <w:t>Loans of physical items by year</w:t>
      </w:r>
      <w:r w:rsidR="00A10A72" w:rsidRPr="0018575B">
        <w:rPr>
          <w:rFonts w:ascii="Segoe UI" w:hAnsi="Segoe UI" w:cs="Segoe UI"/>
          <w:b/>
        </w:rPr>
        <w:t xml:space="preserve"> and by library</w:t>
      </w:r>
      <w:r w:rsidRPr="0018575B">
        <w:rPr>
          <w:rFonts w:ascii="Segoe UI" w:hAnsi="Segoe UI" w:cs="Segoe UI"/>
          <w:b/>
        </w:rPr>
        <w:t xml:space="preserve"> (excluding Main Library)</w:t>
      </w:r>
    </w:p>
    <w:p w14:paraId="170448A4" w14:textId="39F769F4" w:rsidR="00AF457F" w:rsidRDefault="0018575B" w:rsidP="00AF457F">
      <w:pPr>
        <w:pStyle w:val="NoSpacing"/>
        <w:rPr>
          <w:rFonts w:ascii="Segoe UI" w:hAnsi="Segoe UI" w:cs="Segoe UI"/>
          <w:sz w:val="16"/>
          <w:szCs w:val="16"/>
        </w:rPr>
      </w:pPr>
      <w:r w:rsidRPr="0018575B">
        <w:rPr>
          <w:rFonts w:ascii="Segoe UI" w:hAnsi="Segoe UI" w:cs="Segoe UI"/>
          <w:sz w:val="16"/>
          <w:szCs w:val="16"/>
        </w:rPr>
        <w:t>Loans of all physical items between 2018 and 2020 are shown, including loans of equipment such as laptops. In-house loans are not included; renewals are not included. Loans from Main Library are excluded to allow the number of loans from other libraries to be seen in more detail.</w:t>
      </w:r>
    </w:p>
    <w:p w14:paraId="63A89579" w14:textId="77777777" w:rsidR="0018575B" w:rsidRDefault="0018575B" w:rsidP="00AF457F">
      <w:pPr>
        <w:pStyle w:val="NoSpacing"/>
        <w:rPr>
          <w:rFonts w:ascii="Segoe UI" w:hAnsi="Segoe UI" w:cs="Segoe UI"/>
          <w:sz w:val="16"/>
          <w:szCs w:val="16"/>
        </w:rPr>
      </w:pPr>
    </w:p>
    <w:p w14:paraId="25CC226B" w14:textId="1829E170" w:rsidR="0018575B" w:rsidRDefault="0018575B" w:rsidP="00AF457F">
      <w:pPr>
        <w:pStyle w:val="NoSpacing"/>
        <w:rPr>
          <w:rFonts w:ascii="Segoe UI" w:hAnsi="Segoe UI" w:cs="Segoe UI"/>
          <w:sz w:val="16"/>
          <w:szCs w:val="16"/>
        </w:rPr>
      </w:pPr>
      <w:r w:rsidRPr="0018575B">
        <w:rPr>
          <w:rFonts w:ascii="Segoe UI" w:hAnsi="Segoe UI" w:cs="Segoe UI"/>
          <w:noProof/>
          <w:sz w:val="16"/>
          <w:szCs w:val="16"/>
          <w:lang w:eastAsia="en-GB"/>
        </w:rPr>
        <w:drawing>
          <wp:inline distT="0" distB="0" distL="0" distR="0" wp14:anchorId="737329D4" wp14:editId="5535CE19">
            <wp:extent cx="9777730" cy="3523615"/>
            <wp:effectExtent l="0" t="0" r="0" b="635"/>
            <wp:docPr id="10" name="Picture 10" descr="A ribon chart showing the number of loans from each library in 2018, 2019 and 2020, excluding Main Library. In 2018 the Precinct Library had the most loans with 14.7K. In 2019 the Eddie Davies Library had the most loans with 10.6K. In 2020 Eddie Davies also had the most loans, with 3.1K." title="Loans by year and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9777730" cy="3523615"/>
                    </a:xfrm>
                    <a:prstGeom prst="rect">
                      <a:avLst/>
                    </a:prstGeom>
                  </pic:spPr>
                </pic:pic>
              </a:graphicData>
            </a:graphic>
          </wp:inline>
        </w:drawing>
      </w:r>
    </w:p>
    <w:p w14:paraId="19BA47B4" w14:textId="24B18F47" w:rsidR="004F5E4B" w:rsidRDefault="004F5E4B" w:rsidP="00AF457F">
      <w:pPr>
        <w:pStyle w:val="NoSpacing"/>
        <w:rPr>
          <w:rFonts w:ascii="Segoe UI" w:hAnsi="Segoe UI" w:cs="Segoe UI"/>
          <w:sz w:val="16"/>
          <w:szCs w:val="16"/>
        </w:rPr>
      </w:pPr>
    </w:p>
    <w:p w14:paraId="4AD25907" w14:textId="77777777" w:rsidR="004F5E4B" w:rsidRPr="00CC33D3" w:rsidRDefault="004F5E4B" w:rsidP="00AF457F">
      <w:pPr>
        <w:pStyle w:val="NoSpacing"/>
        <w:rPr>
          <w:rFonts w:ascii="Segoe UI" w:hAnsi="Segoe UI" w:cs="Segoe UI"/>
          <w:sz w:val="16"/>
          <w:szCs w:val="16"/>
        </w:rPr>
      </w:pPr>
    </w:p>
    <w:p w14:paraId="72E852F2" w14:textId="6B6E98D0" w:rsidR="00CC33D3" w:rsidRDefault="004F5E4B" w:rsidP="003C5A39">
      <w:pPr>
        <w:pStyle w:val="NoSpacing"/>
        <w:rPr>
          <w:sz w:val="16"/>
          <w:szCs w:val="16"/>
        </w:rPr>
      </w:pPr>
      <w:r w:rsidRPr="004F5E4B">
        <w:rPr>
          <w:noProof/>
          <w:sz w:val="16"/>
          <w:szCs w:val="16"/>
          <w:lang w:eastAsia="en-GB"/>
        </w:rPr>
        <w:drawing>
          <wp:inline distT="0" distB="0" distL="0" distR="0" wp14:anchorId="5147C04A" wp14:editId="1D600900">
            <wp:extent cx="9777730" cy="1297305"/>
            <wp:effectExtent l="0" t="0" r="0" b="0"/>
            <wp:docPr id="11" name="Picture 11" descr="A bar chart showing the percentage of loans from each library (excluding Main Library). Joule has the largest share with 22.2%, AGLC has 21.3%, Precinct has 13.4%, Eddie Davies has 12.5%, Stopford has 7.1% and lenagan has 5.3%." title="Loans by library (2018 t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777730" cy="1297305"/>
                    </a:xfrm>
                    <a:prstGeom prst="rect">
                      <a:avLst/>
                    </a:prstGeom>
                  </pic:spPr>
                </pic:pic>
              </a:graphicData>
            </a:graphic>
          </wp:inline>
        </w:drawing>
      </w:r>
    </w:p>
    <w:p w14:paraId="55C3116A" w14:textId="77777777" w:rsidR="00CC33D3" w:rsidRDefault="00CC33D3">
      <w:pPr>
        <w:rPr>
          <w:sz w:val="16"/>
          <w:szCs w:val="16"/>
        </w:rPr>
      </w:pPr>
      <w:r>
        <w:rPr>
          <w:sz w:val="16"/>
          <w:szCs w:val="16"/>
        </w:rPr>
        <w:br w:type="page"/>
      </w:r>
    </w:p>
    <w:p w14:paraId="377FE0F5" w14:textId="08BCCBEE" w:rsidR="00AF457F" w:rsidRPr="00DD33E0" w:rsidRDefault="00AF457F" w:rsidP="00593D7D">
      <w:pPr>
        <w:pStyle w:val="ListParagraph"/>
        <w:numPr>
          <w:ilvl w:val="0"/>
          <w:numId w:val="2"/>
        </w:numPr>
        <w:spacing w:after="0" w:line="240" w:lineRule="auto"/>
        <w:rPr>
          <w:rFonts w:ascii="Segoe UI" w:hAnsi="Segoe UI" w:cs="Segoe UI"/>
          <w:b/>
        </w:rPr>
      </w:pPr>
      <w:r w:rsidRPr="00DD33E0">
        <w:rPr>
          <w:rFonts w:ascii="Segoe UI" w:hAnsi="Segoe UI" w:cs="Segoe UI"/>
          <w:b/>
        </w:rPr>
        <w:t xml:space="preserve">Loans of physical items by </w:t>
      </w:r>
      <w:r w:rsidR="00A10A72" w:rsidRPr="00DD33E0">
        <w:rPr>
          <w:rFonts w:ascii="Segoe UI" w:hAnsi="Segoe UI" w:cs="Segoe UI"/>
          <w:b/>
        </w:rPr>
        <w:t>month and by library</w:t>
      </w:r>
      <w:r w:rsidRPr="00DD33E0">
        <w:rPr>
          <w:rFonts w:ascii="Segoe UI" w:hAnsi="Segoe UI" w:cs="Segoe UI"/>
          <w:b/>
        </w:rPr>
        <w:t xml:space="preserve"> (excluding Main Library)</w:t>
      </w:r>
    </w:p>
    <w:p w14:paraId="702224FF" w14:textId="5667CD2B" w:rsidR="00AF457F" w:rsidRDefault="00DD33E0" w:rsidP="003C5A39">
      <w:pPr>
        <w:pStyle w:val="NoSpacing"/>
        <w:rPr>
          <w:rFonts w:ascii="Segoe UI" w:hAnsi="Segoe UI" w:cs="Segoe UI"/>
          <w:sz w:val="16"/>
          <w:szCs w:val="16"/>
        </w:rPr>
      </w:pPr>
      <w:r w:rsidRPr="00DD33E0">
        <w:rPr>
          <w:rFonts w:ascii="Segoe UI" w:hAnsi="Segoe UI" w:cs="Segoe UI"/>
          <w:sz w:val="16"/>
          <w:szCs w:val="16"/>
        </w:rPr>
        <w:t>Loans of all physical items are shown, including loans of equipment such as laptops and laptop chargers. In-house loans are not included; renewals are not included. Loans from Main Library are excluded to allow the number of loans from other libraries to be seen in more detail. Data are shown for 2019 only (since 2020 was atypical for loans).</w:t>
      </w:r>
    </w:p>
    <w:p w14:paraId="6736DF48" w14:textId="77777777" w:rsidR="00DD33E0" w:rsidRDefault="00DD33E0" w:rsidP="003C5A39">
      <w:pPr>
        <w:pStyle w:val="NoSpacing"/>
        <w:rPr>
          <w:sz w:val="16"/>
          <w:szCs w:val="16"/>
        </w:rPr>
      </w:pPr>
    </w:p>
    <w:p w14:paraId="68F23BA0" w14:textId="14EEFAE1" w:rsidR="00A10A72" w:rsidRDefault="00DD33E0" w:rsidP="003C5A39">
      <w:pPr>
        <w:pStyle w:val="NoSpacing"/>
        <w:rPr>
          <w:sz w:val="16"/>
          <w:szCs w:val="16"/>
        </w:rPr>
      </w:pPr>
      <w:r w:rsidRPr="00DD33E0">
        <w:rPr>
          <w:noProof/>
          <w:sz w:val="16"/>
          <w:szCs w:val="16"/>
          <w:lang w:eastAsia="en-GB"/>
        </w:rPr>
        <w:drawing>
          <wp:inline distT="0" distB="0" distL="0" distR="0" wp14:anchorId="0C541585" wp14:editId="6318BA6B">
            <wp:extent cx="9777730" cy="3354070"/>
            <wp:effectExtent l="0" t="0" r="0" b="0"/>
            <wp:docPr id="12" name="Picture 12" descr="A ribbon chart showing the pattern of loans by month throughout the year of 2019. In January and February Eddie Davies Library had the highest number of loans, but in March, April and May it was the AGLC with the highest number (includes laptop and charger loans). In October Joule had the most loans (1.4K)." title="Loans by Month and Library (2019 only, excluding Main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9777730" cy="3354070"/>
                    </a:xfrm>
                    <a:prstGeom prst="rect">
                      <a:avLst/>
                    </a:prstGeom>
                  </pic:spPr>
                </pic:pic>
              </a:graphicData>
            </a:graphic>
          </wp:inline>
        </w:drawing>
      </w:r>
    </w:p>
    <w:p w14:paraId="2F1B3952" w14:textId="77777777" w:rsidR="00DD33E0" w:rsidRDefault="00DD33E0" w:rsidP="003C5A39">
      <w:pPr>
        <w:pStyle w:val="NoSpacing"/>
        <w:rPr>
          <w:sz w:val="16"/>
          <w:szCs w:val="16"/>
        </w:rPr>
      </w:pPr>
    </w:p>
    <w:p w14:paraId="6D54CA2D" w14:textId="77777777" w:rsidR="00DD33E0" w:rsidRDefault="00DD33E0" w:rsidP="003C5A39">
      <w:pPr>
        <w:pStyle w:val="NoSpacing"/>
        <w:rPr>
          <w:sz w:val="16"/>
          <w:szCs w:val="16"/>
        </w:rPr>
      </w:pPr>
    </w:p>
    <w:p w14:paraId="531210A3" w14:textId="4AD9FC79" w:rsidR="00CC33D3" w:rsidRDefault="00DD33E0" w:rsidP="003C5A39">
      <w:pPr>
        <w:pStyle w:val="NoSpacing"/>
        <w:rPr>
          <w:sz w:val="16"/>
          <w:szCs w:val="16"/>
        </w:rPr>
      </w:pPr>
      <w:r w:rsidRPr="00DD33E0">
        <w:rPr>
          <w:noProof/>
          <w:sz w:val="16"/>
          <w:szCs w:val="16"/>
          <w:lang w:eastAsia="en-GB"/>
        </w:rPr>
        <w:drawing>
          <wp:inline distT="0" distB="0" distL="0" distR="0" wp14:anchorId="6CAC84E3" wp14:editId="115FF3A8">
            <wp:extent cx="9777730" cy="1342390"/>
            <wp:effectExtent l="0" t="0" r="0" b="0"/>
            <wp:docPr id="13" name="Picture 13" descr="A bar chart showing the percentage of loans from each library. Eddie Davies Librray has the largest percentage of loans (24.1%), followed by the AGLC with 23.4%, Joule with 21.1% and then Stopford with 7.4%." title="Loans by library (2019 only, excluding Main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9777730" cy="1342390"/>
                    </a:xfrm>
                    <a:prstGeom prst="rect">
                      <a:avLst/>
                    </a:prstGeom>
                  </pic:spPr>
                </pic:pic>
              </a:graphicData>
            </a:graphic>
          </wp:inline>
        </w:drawing>
      </w:r>
    </w:p>
    <w:p w14:paraId="27B77F55" w14:textId="77777777" w:rsidR="00273FF1" w:rsidRPr="003C5A39" w:rsidRDefault="00273FF1" w:rsidP="003C5A39">
      <w:pPr>
        <w:pStyle w:val="NoSpacing"/>
        <w:rPr>
          <w:sz w:val="16"/>
          <w:szCs w:val="16"/>
        </w:rPr>
      </w:pPr>
    </w:p>
    <w:sectPr w:rsidR="00273FF1" w:rsidRPr="003C5A39" w:rsidSect="00286DDF">
      <w:headerReference w:type="default" r:id="rId20"/>
      <w:pgSz w:w="16838" w:h="11906" w:orient="landscape"/>
      <w:pgMar w:top="567" w:right="720" w:bottom="567"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16519" w14:textId="77777777" w:rsidR="003C5A39" w:rsidRDefault="003C5A39" w:rsidP="003C5A39">
      <w:pPr>
        <w:spacing w:after="0" w:line="240" w:lineRule="auto"/>
      </w:pPr>
      <w:r>
        <w:separator/>
      </w:r>
    </w:p>
  </w:endnote>
  <w:endnote w:type="continuationSeparator" w:id="0">
    <w:p w14:paraId="7DF416CE" w14:textId="77777777" w:rsidR="003C5A39" w:rsidRDefault="003C5A39" w:rsidP="003C5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0892E" w14:textId="77777777" w:rsidR="003C5A39" w:rsidRDefault="003C5A39" w:rsidP="003C5A39">
      <w:pPr>
        <w:spacing w:after="0" w:line="240" w:lineRule="auto"/>
      </w:pPr>
      <w:r>
        <w:separator/>
      </w:r>
    </w:p>
  </w:footnote>
  <w:footnote w:type="continuationSeparator" w:id="0">
    <w:p w14:paraId="66A668AC" w14:textId="77777777" w:rsidR="003C5A39" w:rsidRDefault="003C5A39" w:rsidP="003C5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40AC2" w14:textId="3CFD2229" w:rsidR="00593D7D" w:rsidRDefault="00593D7D" w:rsidP="00593D7D">
    <w:pPr>
      <w:pStyle w:val="Header"/>
      <w:jc w:val="right"/>
    </w:pPr>
    <w:r w:rsidRPr="00593D7D">
      <w:rPr>
        <w:b/>
      </w:rPr>
      <w:t>Loans of physical items |</w:t>
    </w:r>
    <w:r>
      <w:t xml:space="preserve"> University of Manchester Library</w:t>
    </w:r>
    <w:r w:rsidR="003F5994">
      <w:t xml:space="preserve"> | </w:t>
    </w:r>
    <w:r w:rsidR="003F5994" w:rsidRPr="003F5994">
      <w:rPr>
        <w:sz w:val="18"/>
        <w:szCs w:val="18"/>
      </w:rPr>
      <w:t>Feb 2021</w:t>
    </w:r>
  </w:p>
  <w:p w14:paraId="7D77B758" w14:textId="1D974523" w:rsidR="003C5A39" w:rsidRDefault="003C5A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906A6D"/>
    <w:multiLevelType w:val="hybridMultilevel"/>
    <w:tmpl w:val="3F8AF73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A081E3C"/>
    <w:multiLevelType w:val="hybridMultilevel"/>
    <w:tmpl w:val="06DEEC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A39"/>
    <w:rsid w:val="001512A2"/>
    <w:rsid w:val="0018575B"/>
    <w:rsid w:val="00273FF1"/>
    <w:rsid w:val="00286DDF"/>
    <w:rsid w:val="002D3902"/>
    <w:rsid w:val="003C5A39"/>
    <w:rsid w:val="003F5994"/>
    <w:rsid w:val="004F5E4B"/>
    <w:rsid w:val="00520A55"/>
    <w:rsid w:val="00593D7D"/>
    <w:rsid w:val="009E4D79"/>
    <w:rsid w:val="00A10A72"/>
    <w:rsid w:val="00AF457F"/>
    <w:rsid w:val="00B15206"/>
    <w:rsid w:val="00CA674D"/>
    <w:rsid w:val="00CC33D3"/>
    <w:rsid w:val="00D61C88"/>
    <w:rsid w:val="00DD33E0"/>
    <w:rsid w:val="00E43458"/>
    <w:rsid w:val="00F92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18D3FE"/>
  <w15:chartTrackingRefBased/>
  <w15:docId w15:val="{F5E90284-A44F-46F6-851F-232CB6C4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C5A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C5A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5A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A39"/>
  </w:style>
  <w:style w:type="paragraph" w:styleId="Footer">
    <w:name w:val="footer"/>
    <w:basedOn w:val="Normal"/>
    <w:link w:val="FooterChar"/>
    <w:uiPriority w:val="99"/>
    <w:unhideWhenUsed/>
    <w:rsid w:val="003C5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A39"/>
  </w:style>
  <w:style w:type="character" w:customStyle="1" w:styleId="Heading1Char">
    <w:name w:val="Heading 1 Char"/>
    <w:basedOn w:val="DefaultParagraphFont"/>
    <w:link w:val="Heading1"/>
    <w:uiPriority w:val="9"/>
    <w:rsid w:val="003C5A3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C5A39"/>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3C5A3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C5A39"/>
    <w:rPr>
      <w:rFonts w:eastAsiaTheme="minorEastAsia"/>
      <w:color w:val="5A5A5A" w:themeColor="text1" w:themeTint="A5"/>
      <w:spacing w:val="15"/>
    </w:rPr>
  </w:style>
  <w:style w:type="paragraph" w:styleId="NoSpacing">
    <w:name w:val="No Spacing"/>
    <w:uiPriority w:val="1"/>
    <w:qFormat/>
    <w:rsid w:val="003C5A39"/>
    <w:pPr>
      <w:spacing w:after="0" w:line="240" w:lineRule="auto"/>
    </w:pPr>
  </w:style>
  <w:style w:type="character" w:styleId="Hyperlink">
    <w:name w:val="Hyperlink"/>
    <w:basedOn w:val="DefaultParagraphFont"/>
    <w:uiPriority w:val="99"/>
    <w:unhideWhenUsed/>
    <w:rsid w:val="002D3902"/>
    <w:rPr>
      <w:color w:val="0563C1" w:themeColor="hyperlink"/>
      <w:u w:val="single"/>
    </w:rPr>
  </w:style>
  <w:style w:type="paragraph" w:styleId="ListParagraph">
    <w:name w:val="List Paragraph"/>
    <w:basedOn w:val="Normal"/>
    <w:uiPriority w:val="34"/>
    <w:qFormat/>
    <w:rsid w:val="002D3902"/>
    <w:pPr>
      <w:ind w:left="720"/>
      <w:contextualSpacing/>
    </w:pPr>
  </w:style>
  <w:style w:type="paragraph" w:styleId="Caption">
    <w:name w:val="caption"/>
    <w:basedOn w:val="Normal"/>
    <w:next w:val="Normal"/>
    <w:uiPriority w:val="35"/>
    <w:semiHidden/>
    <w:unhideWhenUsed/>
    <w:qFormat/>
    <w:rsid w:val="0018575B"/>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app.powerbi.com/Redirect?action=OpenApp&amp;appId=0411bfda-ad88-43b0-a7e0-86b3cdf9bca3&amp;ctid=c152cb07-614e-4abb-818a-f035cfa91a77"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powerbi.com/Redirect?action=OpenApp&amp;appId=0411bfda-ad88-43b0-a7e0-86b3cdf9bca3&amp;ctid=c152cb07-614e-4abb-818a-f035cfa91a77"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872A29568AAB449F58148B64408FB2" ma:contentTypeVersion="11" ma:contentTypeDescription="Create a new document." ma:contentTypeScope="" ma:versionID="93edab1fb9462d6cb9129192eb7a9702">
  <xsd:schema xmlns:xsd="http://www.w3.org/2001/XMLSchema" xmlns:xs="http://www.w3.org/2001/XMLSchema" xmlns:p="http://schemas.microsoft.com/office/2006/metadata/properties" xmlns:ns3="a32bc7e6-0875-4a59-9cc2-01e88dd84543" xmlns:ns4="dfcf8a1c-23cf-4028-9473-44ab9565f686" targetNamespace="http://schemas.microsoft.com/office/2006/metadata/properties" ma:root="true" ma:fieldsID="d65c093b4f19550fa2f9fbe74d5ce55b" ns3:_="" ns4:_="">
    <xsd:import namespace="a32bc7e6-0875-4a59-9cc2-01e88dd84543"/>
    <xsd:import namespace="dfcf8a1c-23cf-4028-9473-44ab9565f68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2bc7e6-0875-4a59-9cc2-01e88dd845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cf8a1c-23cf-4028-9473-44ab9565f68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77EE6-1F85-4DA8-B1A5-FAEAD5444EBE}">
  <ds:schemaRefs>
    <ds:schemaRef ds:uri="http://schemas.microsoft.com/office/2006/documentManagement/types"/>
    <ds:schemaRef ds:uri="a32bc7e6-0875-4a59-9cc2-01e88dd84543"/>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dfcf8a1c-23cf-4028-9473-44ab9565f686"/>
    <ds:schemaRef ds:uri="http://www.w3.org/XML/1998/namespace"/>
  </ds:schemaRefs>
</ds:datastoreItem>
</file>

<file path=customXml/itemProps2.xml><?xml version="1.0" encoding="utf-8"?>
<ds:datastoreItem xmlns:ds="http://schemas.openxmlformats.org/officeDocument/2006/customXml" ds:itemID="{4F0AA82E-92C3-4B18-9248-A66AF5B07D5B}">
  <ds:schemaRefs>
    <ds:schemaRef ds:uri="http://schemas.microsoft.com/sharepoint/v3/contenttype/forms"/>
  </ds:schemaRefs>
</ds:datastoreItem>
</file>

<file path=customXml/itemProps3.xml><?xml version="1.0" encoding="utf-8"?>
<ds:datastoreItem xmlns:ds="http://schemas.openxmlformats.org/officeDocument/2006/customXml" ds:itemID="{E67F8AAC-887E-4C2A-99BA-BFACA0407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2bc7e6-0875-4a59-9cc2-01e88dd84543"/>
    <ds:schemaRef ds:uri="dfcf8a1c-23cf-4028-9473-44ab9565f6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346189-8410-410C-BAB9-3DD52AA99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Loans of physical items | University of Manchester Library</vt:lpstr>
    </vt:vector>
  </TitlesOfParts>
  <Company>University of Manchester</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Loans of physical items | University of Manchester Library</dc:title>
  <dc:subject/>
  <dc:creator>Katie Mcgrother</dc:creator>
  <cp:keywords/>
  <dc:description/>
  <cp:lastModifiedBy>Katie Mcgrother</cp:lastModifiedBy>
  <cp:revision>1</cp:revision>
  <dcterms:created xsi:type="dcterms:W3CDTF">2021-03-08T13:23:00Z</dcterms:created>
  <dcterms:modified xsi:type="dcterms:W3CDTF">2021-03-09T10:36:00Z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0x010100F6872A29568AAB449F58148B64408FB2</vt:lpwstr>
  </property>
</Properties>
</file>