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6D9E" w14:textId="77777777" w:rsidR="006C11E3" w:rsidRPr="00E14B01" w:rsidRDefault="006C11E3" w:rsidP="00517DE8">
      <w:pPr>
        <w:jc w:val="right"/>
        <w:rPr>
          <w:rFonts w:asciiTheme="minorHAnsi" w:hAnsiTheme="minorHAnsi" w:cstheme="minorHAnsi"/>
          <w:b/>
          <w:sz w:val="22"/>
          <w:szCs w:val="22"/>
        </w:rPr>
      </w:pPr>
      <w:bookmarkStart w:id="0" w:name="_GoBack"/>
      <w:bookmarkEnd w:id="0"/>
      <w:r w:rsidRPr="00E14B01">
        <w:rPr>
          <w:rFonts w:asciiTheme="minorHAnsi" w:hAnsiTheme="minorHAnsi" w:cstheme="minorHAnsi"/>
          <w:noProof/>
          <w:sz w:val="22"/>
          <w:szCs w:val="22"/>
          <w:lang w:eastAsia="en-GB"/>
        </w:rPr>
        <w:drawing>
          <wp:anchor distT="0" distB="0" distL="114300" distR="114300" simplePos="0" relativeHeight="251662336" behindDoc="1" locked="0" layoutInCell="1" allowOverlap="1" wp14:anchorId="1AC3EF1A" wp14:editId="69B86E78">
            <wp:simplePos x="0" y="0"/>
            <wp:positionH relativeFrom="margin">
              <wp:align>left</wp:align>
            </wp:positionH>
            <wp:positionV relativeFrom="paragraph">
              <wp:posOffset>8255</wp:posOffset>
            </wp:positionV>
            <wp:extent cx="1658620" cy="701675"/>
            <wp:effectExtent l="0" t="0" r="0" b="3175"/>
            <wp:wrapTight wrapText="bothSides">
              <wp:wrapPolygon edited="0">
                <wp:start x="0" y="0"/>
                <wp:lineTo x="0" y="21111"/>
                <wp:lineTo x="21335" y="21111"/>
                <wp:lineTo x="21335" y="0"/>
                <wp:lineTo x="0" y="0"/>
              </wp:wrapPolygon>
            </wp:wrapTight>
            <wp:docPr id="1" name="Picture 1"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693" w:rsidRPr="00E14B01">
        <w:rPr>
          <w:rFonts w:asciiTheme="minorHAnsi" w:hAnsiTheme="minorHAnsi" w:cstheme="minorHAnsi"/>
          <w:b/>
          <w:sz w:val="22"/>
          <w:szCs w:val="22"/>
        </w:rPr>
        <w:t xml:space="preserve">; </w:t>
      </w:r>
    </w:p>
    <w:p w14:paraId="04E4112E" w14:textId="77777777" w:rsidR="006C11E3" w:rsidRPr="00E14B01" w:rsidRDefault="006C11E3" w:rsidP="00517DE8">
      <w:pPr>
        <w:jc w:val="right"/>
        <w:rPr>
          <w:rFonts w:asciiTheme="minorHAnsi" w:hAnsiTheme="minorHAnsi" w:cstheme="minorHAnsi"/>
          <w:b/>
          <w:sz w:val="22"/>
          <w:szCs w:val="22"/>
        </w:rPr>
      </w:pPr>
    </w:p>
    <w:p w14:paraId="3C73CFD4" w14:textId="77777777" w:rsidR="006C11E3" w:rsidRPr="00E14B01" w:rsidRDefault="006C11E3" w:rsidP="00517DE8">
      <w:pPr>
        <w:jc w:val="right"/>
        <w:rPr>
          <w:rFonts w:asciiTheme="minorHAnsi" w:hAnsiTheme="minorHAnsi" w:cstheme="minorHAnsi"/>
          <w:b/>
          <w:sz w:val="22"/>
          <w:szCs w:val="22"/>
        </w:rPr>
      </w:pPr>
    </w:p>
    <w:p w14:paraId="41F8C1BF" w14:textId="77777777" w:rsidR="006C11E3" w:rsidRPr="00E14B01" w:rsidRDefault="006C11E3" w:rsidP="00517DE8">
      <w:pPr>
        <w:jc w:val="right"/>
        <w:rPr>
          <w:rFonts w:asciiTheme="minorHAnsi" w:hAnsiTheme="minorHAnsi" w:cstheme="minorHAnsi"/>
          <w:b/>
          <w:sz w:val="22"/>
          <w:szCs w:val="22"/>
        </w:rPr>
      </w:pPr>
    </w:p>
    <w:p w14:paraId="7F2D8C08" w14:textId="77777777" w:rsidR="006C11E3" w:rsidRPr="00E14B01" w:rsidRDefault="006C11E3" w:rsidP="00517DE8">
      <w:pPr>
        <w:jc w:val="right"/>
        <w:rPr>
          <w:rFonts w:asciiTheme="minorHAnsi" w:hAnsiTheme="minorHAnsi" w:cstheme="minorHAnsi"/>
          <w:b/>
          <w:sz w:val="22"/>
          <w:szCs w:val="22"/>
        </w:rPr>
      </w:pPr>
    </w:p>
    <w:p w14:paraId="11621255" w14:textId="77777777" w:rsidR="00AF389B" w:rsidRPr="00E14B01" w:rsidRDefault="007D7693" w:rsidP="00517DE8">
      <w:pPr>
        <w:rPr>
          <w:rFonts w:asciiTheme="minorHAnsi" w:hAnsiTheme="minorHAnsi" w:cstheme="minorHAnsi"/>
          <w:b/>
          <w:sz w:val="22"/>
          <w:szCs w:val="22"/>
        </w:rPr>
      </w:pPr>
      <w:r w:rsidRPr="00E14B01">
        <w:rPr>
          <w:rFonts w:asciiTheme="minorHAnsi" w:hAnsiTheme="minorHAnsi" w:cstheme="minorHAnsi"/>
          <w:b/>
          <w:sz w:val="22"/>
          <w:szCs w:val="22"/>
        </w:rPr>
        <w:t xml:space="preserve">Impact of the Hong Kong Security Law </w:t>
      </w:r>
      <w:r w:rsidR="000C1E32" w:rsidRPr="00E14B01">
        <w:rPr>
          <w:rFonts w:asciiTheme="minorHAnsi" w:hAnsiTheme="minorHAnsi" w:cstheme="minorHAnsi"/>
          <w:b/>
          <w:sz w:val="22"/>
          <w:szCs w:val="22"/>
        </w:rPr>
        <w:t xml:space="preserve">on </w:t>
      </w:r>
      <w:r w:rsidRPr="00E14B01">
        <w:rPr>
          <w:rFonts w:asciiTheme="minorHAnsi" w:hAnsiTheme="minorHAnsi" w:cstheme="minorHAnsi"/>
          <w:b/>
          <w:sz w:val="22"/>
          <w:szCs w:val="22"/>
        </w:rPr>
        <w:t>academic freedom and the safety of staff and students</w:t>
      </w:r>
      <w:r w:rsidRPr="00E14B01">
        <w:rPr>
          <w:rFonts w:asciiTheme="minorHAnsi" w:hAnsiTheme="minorHAnsi" w:cstheme="minorHAnsi"/>
          <w:b/>
          <w:sz w:val="22"/>
          <w:szCs w:val="22"/>
        </w:rPr>
        <w:br/>
      </w:r>
    </w:p>
    <w:p w14:paraId="7A66116E" w14:textId="77777777" w:rsidR="00A9052A" w:rsidRPr="00E14B01" w:rsidRDefault="0013717A" w:rsidP="00517DE8">
      <w:pPr>
        <w:rPr>
          <w:rFonts w:asciiTheme="minorHAnsi" w:hAnsiTheme="minorHAnsi" w:cstheme="minorHAnsi"/>
          <w:b/>
          <w:sz w:val="22"/>
          <w:szCs w:val="22"/>
        </w:rPr>
      </w:pPr>
      <w:r w:rsidRPr="00E14B01">
        <w:rPr>
          <w:rFonts w:asciiTheme="minorHAnsi" w:hAnsiTheme="minorHAnsi" w:cstheme="minorHAnsi"/>
          <w:b/>
          <w:sz w:val="22"/>
          <w:szCs w:val="22"/>
        </w:rPr>
        <w:t xml:space="preserve">EXECUTIVE </w:t>
      </w:r>
      <w:r w:rsidR="0086413D" w:rsidRPr="00E14B01">
        <w:rPr>
          <w:rFonts w:asciiTheme="minorHAnsi" w:hAnsiTheme="minorHAnsi" w:cstheme="minorHAnsi"/>
          <w:b/>
          <w:sz w:val="22"/>
          <w:szCs w:val="22"/>
        </w:rPr>
        <w:t>SUMMARY</w:t>
      </w:r>
      <w:r w:rsidR="00192481" w:rsidRPr="00E14B01">
        <w:rPr>
          <w:rFonts w:asciiTheme="minorHAnsi" w:hAnsiTheme="minorHAnsi" w:cstheme="minorHAnsi"/>
          <w:b/>
          <w:sz w:val="22"/>
          <w:szCs w:val="22"/>
        </w:rPr>
        <w:br/>
      </w:r>
    </w:p>
    <w:p w14:paraId="38B79EE6" w14:textId="21B3C154" w:rsidR="0086413D" w:rsidRPr="00E14B01" w:rsidRDefault="0086413D" w:rsidP="00517DE8">
      <w:pPr>
        <w:rPr>
          <w:rFonts w:asciiTheme="minorHAnsi" w:hAnsiTheme="minorHAnsi" w:cstheme="minorHAnsi"/>
          <w:sz w:val="22"/>
          <w:szCs w:val="22"/>
        </w:rPr>
      </w:pPr>
      <w:r w:rsidRPr="00E14B01">
        <w:rPr>
          <w:rFonts w:asciiTheme="minorHAnsi" w:hAnsiTheme="minorHAnsi" w:cstheme="minorHAnsi"/>
          <w:sz w:val="22"/>
          <w:szCs w:val="22"/>
        </w:rPr>
        <w:t xml:space="preserve">This </w:t>
      </w:r>
      <w:r w:rsidR="00E418EA" w:rsidRPr="00E14B01">
        <w:rPr>
          <w:rFonts w:asciiTheme="minorHAnsi" w:hAnsiTheme="minorHAnsi" w:cstheme="minorHAnsi"/>
          <w:sz w:val="22"/>
          <w:szCs w:val="22"/>
        </w:rPr>
        <w:t xml:space="preserve">paper </w:t>
      </w:r>
      <w:r w:rsidR="007D7693" w:rsidRPr="00E14B01">
        <w:rPr>
          <w:rFonts w:asciiTheme="minorHAnsi" w:hAnsiTheme="minorHAnsi" w:cstheme="minorHAnsi"/>
          <w:sz w:val="22"/>
          <w:szCs w:val="22"/>
        </w:rPr>
        <w:t xml:space="preserve">assesses the risks to staff and students in relation to the passing of a new National </w:t>
      </w:r>
      <w:r w:rsidR="002B5BD9" w:rsidRPr="00E14B01">
        <w:rPr>
          <w:rFonts w:asciiTheme="minorHAnsi" w:hAnsiTheme="minorHAnsi" w:cstheme="minorHAnsi"/>
          <w:sz w:val="22"/>
          <w:szCs w:val="22"/>
        </w:rPr>
        <w:t xml:space="preserve">Security Law in Hong Kong </w:t>
      </w:r>
      <w:r w:rsidR="000F5A77" w:rsidRPr="00E14B01">
        <w:rPr>
          <w:rFonts w:asciiTheme="minorHAnsi" w:hAnsiTheme="minorHAnsi" w:cstheme="minorHAnsi"/>
          <w:sz w:val="22"/>
          <w:szCs w:val="22"/>
        </w:rPr>
        <w:t>in July 2020</w:t>
      </w:r>
      <w:r w:rsidR="002B5BD9" w:rsidRPr="00E14B01">
        <w:rPr>
          <w:rFonts w:asciiTheme="minorHAnsi" w:hAnsiTheme="minorHAnsi" w:cstheme="minorHAnsi"/>
          <w:sz w:val="22"/>
          <w:szCs w:val="22"/>
        </w:rPr>
        <w:t xml:space="preserve">, and makes recommendations </w:t>
      </w:r>
      <w:r w:rsidR="001F12BE" w:rsidRPr="00E14B01">
        <w:rPr>
          <w:rFonts w:asciiTheme="minorHAnsi" w:hAnsiTheme="minorHAnsi" w:cstheme="minorHAnsi"/>
          <w:sz w:val="22"/>
          <w:szCs w:val="22"/>
        </w:rPr>
        <w:t>to</w:t>
      </w:r>
      <w:r w:rsidR="00192481" w:rsidRPr="00E14B01">
        <w:rPr>
          <w:rFonts w:asciiTheme="minorHAnsi" w:hAnsiTheme="minorHAnsi" w:cstheme="minorHAnsi"/>
          <w:sz w:val="22"/>
          <w:szCs w:val="22"/>
        </w:rPr>
        <w:t xml:space="preserve"> TLG to</w:t>
      </w:r>
      <w:r w:rsidR="001F12BE" w:rsidRPr="00E14B01">
        <w:rPr>
          <w:rFonts w:asciiTheme="minorHAnsi" w:hAnsiTheme="minorHAnsi" w:cstheme="minorHAnsi"/>
          <w:sz w:val="22"/>
          <w:szCs w:val="22"/>
        </w:rPr>
        <w:t xml:space="preserve"> mitigate </w:t>
      </w:r>
      <w:r w:rsidR="00F765AB" w:rsidRPr="00E14B01">
        <w:rPr>
          <w:rFonts w:asciiTheme="minorHAnsi" w:hAnsiTheme="minorHAnsi" w:cstheme="minorHAnsi"/>
          <w:sz w:val="22"/>
          <w:szCs w:val="22"/>
        </w:rPr>
        <w:t xml:space="preserve">its </w:t>
      </w:r>
      <w:r w:rsidR="001F12BE" w:rsidRPr="00E14B01">
        <w:rPr>
          <w:rFonts w:asciiTheme="minorHAnsi" w:hAnsiTheme="minorHAnsi" w:cstheme="minorHAnsi"/>
          <w:sz w:val="22"/>
          <w:szCs w:val="22"/>
        </w:rPr>
        <w:t xml:space="preserve">impact on </w:t>
      </w:r>
      <w:r w:rsidR="00F765AB" w:rsidRPr="00E14B01">
        <w:rPr>
          <w:rFonts w:asciiTheme="minorHAnsi" w:hAnsiTheme="minorHAnsi" w:cstheme="minorHAnsi"/>
          <w:sz w:val="22"/>
          <w:szCs w:val="22"/>
        </w:rPr>
        <w:t>research, teaching</w:t>
      </w:r>
      <w:r w:rsidR="000F5A77" w:rsidRPr="00E14B01">
        <w:rPr>
          <w:rFonts w:asciiTheme="minorHAnsi" w:hAnsiTheme="minorHAnsi" w:cstheme="minorHAnsi"/>
          <w:sz w:val="22"/>
          <w:szCs w:val="22"/>
        </w:rPr>
        <w:t>,</w:t>
      </w:r>
      <w:r w:rsidR="00F765AB" w:rsidRPr="00E14B01">
        <w:rPr>
          <w:rFonts w:asciiTheme="minorHAnsi" w:hAnsiTheme="minorHAnsi" w:cstheme="minorHAnsi"/>
          <w:sz w:val="22"/>
          <w:szCs w:val="22"/>
        </w:rPr>
        <w:t xml:space="preserve"> and learning</w:t>
      </w:r>
      <w:r w:rsidR="0098376A" w:rsidRPr="00E14B01">
        <w:rPr>
          <w:rFonts w:asciiTheme="minorHAnsi" w:hAnsiTheme="minorHAnsi" w:cstheme="minorHAnsi"/>
          <w:sz w:val="22"/>
          <w:szCs w:val="22"/>
        </w:rPr>
        <w:t>.</w:t>
      </w:r>
      <w:r w:rsidR="0036031E" w:rsidRPr="00E14B01">
        <w:rPr>
          <w:rFonts w:asciiTheme="minorHAnsi" w:hAnsiTheme="minorHAnsi" w:cstheme="minorHAnsi"/>
          <w:sz w:val="22"/>
          <w:szCs w:val="22"/>
        </w:rPr>
        <w:t xml:space="preserve"> In parallel to review and discussion at TLG this paper will also be taken to MDCSG for assessment of specific risks relating to PGRs.</w:t>
      </w:r>
    </w:p>
    <w:p w14:paraId="7757B3CB" w14:textId="77777777" w:rsidR="00F765AB" w:rsidRPr="00E14B01" w:rsidRDefault="00F765AB" w:rsidP="00517DE8">
      <w:pPr>
        <w:rPr>
          <w:rFonts w:asciiTheme="minorHAnsi" w:hAnsiTheme="minorHAnsi" w:cstheme="minorHAnsi"/>
          <w:b/>
          <w:sz w:val="22"/>
          <w:szCs w:val="22"/>
        </w:rPr>
      </w:pPr>
    </w:p>
    <w:p w14:paraId="7A997591" w14:textId="77777777" w:rsidR="00F765AB" w:rsidRPr="00E14B01" w:rsidRDefault="00F765AB" w:rsidP="00517DE8">
      <w:pPr>
        <w:rPr>
          <w:rFonts w:asciiTheme="minorHAnsi" w:hAnsiTheme="minorHAnsi" w:cstheme="minorHAnsi"/>
          <w:sz w:val="22"/>
          <w:szCs w:val="22"/>
        </w:rPr>
      </w:pPr>
      <w:r w:rsidRPr="00E14B01">
        <w:rPr>
          <w:rFonts w:asciiTheme="minorHAnsi" w:hAnsiTheme="minorHAnsi" w:cstheme="minorHAnsi"/>
          <w:sz w:val="22"/>
          <w:szCs w:val="22"/>
        </w:rPr>
        <w:t xml:space="preserve">Article 38 of the National Security Law </w:t>
      </w:r>
      <w:r w:rsidR="00BE4DAF" w:rsidRPr="00E14B01">
        <w:rPr>
          <w:rFonts w:asciiTheme="minorHAnsi" w:hAnsiTheme="minorHAnsi" w:cstheme="minorHAnsi"/>
          <w:sz w:val="22"/>
          <w:szCs w:val="22"/>
        </w:rPr>
        <w:t xml:space="preserve">has the potential to </w:t>
      </w:r>
      <w:r w:rsidR="00E35839" w:rsidRPr="00E14B01">
        <w:rPr>
          <w:rFonts w:asciiTheme="minorHAnsi" w:hAnsiTheme="minorHAnsi" w:cstheme="minorHAnsi"/>
          <w:sz w:val="22"/>
          <w:szCs w:val="22"/>
        </w:rPr>
        <w:t>see</w:t>
      </w:r>
      <w:r w:rsidRPr="00E14B01">
        <w:rPr>
          <w:rFonts w:asciiTheme="minorHAnsi" w:hAnsiTheme="minorHAnsi" w:cstheme="minorHAnsi"/>
          <w:sz w:val="22"/>
          <w:szCs w:val="22"/>
        </w:rPr>
        <w:t xml:space="preserve"> foreign nationals</w:t>
      </w:r>
      <w:r w:rsidR="00BE4DAF" w:rsidRPr="00E14B01">
        <w:rPr>
          <w:rFonts w:asciiTheme="minorHAnsi" w:hAnsiTheme="minorHAnsi" w:cstheme="minorHAnsi"/>
          <w:sz w:val="22"/>
          <w:szCs w:val="22"/>
        </w:rPr>
        <w:t xml:space="preserve"> prosecuted upon entry to Hong Kong or Mainland China for a broadly defined set of offences </w:t>
      </w:r>
      <w:r w:rsidR="00E35839" w:rsidRPr="00E14B01">
        <w:rPr>
          <w:rFonts w:asciiTheme="minorHAnsi" w:hAnsiTheme="minorHAnsi" w:cstheme="minorHAnsi"/>
          <w:sz w:val="22"/>
          <w:szCs w:val="22"/>
        </w:rPr>
        <w:t>which</w:t>
      </w:r>
      <w:r w:rsidR="00BE4DAF" w:rsidRPr="00E14B01">
        <w:rPr>
          <w:rFonts w:asciiTheme="minorHAnsi" w:hAnsiTheme="minorHAnsi" w:cstheme="minorHAnsi"/>
          <w:sz w:val="22"/>
          <w:szCs w:val="22"/>
        </w:rPr>
        <w:t xml:space="preserve"> encompass </w:t>
      </w:r>
      <w:r w:rsidR="00202117" w:rsidRPr="00E14B01">
        <w:rPr>
          <w:rFonts w:asciiTheme="minorHAnsi" w:hAnsiTheme="minorHAnsi" w:cstheme="minorHAnsi"/>
          <w:sz w:val="22"/>
          <w:szCs w:val="22"/>
        </w:rPr>
        <w:t xml:space="preserve">some aspects of </w:t>
      </w:r>
      <w:r w:rsidR="00BE4DAF" w:rsidRPr="00E14B01">
        <w:rPr>
          <w:rFonts w:asciiTheme="minorHAnsi" w:hAnsiTheme="minorHAnsi" w:cstheme="minorHAnsi"/>
          <w:sz w:val="22"/>
          <w:szCs w:val="22"/>
        </w:rPr>
        <w:t>what ha</w:t>
      </w:r>
      <w:r w:rsidR="00E35839" w:rsidRPr="00E14B01">
        <w:rPr>
          <w:rFonts w:asciiTheme="minorHAnsi" w:hAnsiTheme="minorHAnsi" w:cstheme="minorHAnsi"/>
          <w:sz w:val="22"/>
          <w:szCs w:val="22"/>
        </w:rPr>
        <w:t>d</w:t>
      </w:r>
      <w:r w:rsidR="00BE4DAF" w:rsidRPr="00E14B01">
        <w:rPr>
          <w:rFonts w:asciiTheme="minorHAnsi" w:hAnsiTheme="minorHAnsi" w:cstheme="minorHAnsi"/>
          <w:sz w:val="22"/>
          <w:szCs w:val="22"/>
        </w:rPr>
        <w:t xml:space="preserve"> previously been considered protected speech. The extraterritorial nature of the Law and the broad definition of </w:t>
      </w:r>
      <w:r w:rsidR="00E35839" w:rsidRPr="00E14B01">
        <w:rPr>
          <w:rFonts w:asciiTheme="minorHAnsi" w:hAnsiTheme="minorHAnsi" w:cstheme="minorHAnsi"/>
          <w:sz w:val="22"/>
          <w:szCs w:val="22"/>
        </w:rPr>
        <w:t>offences it covers</w:t>
      </w:r>
      <w:r w:rsidR="00BE4DAF" w:rsidRPr="00E14B01">
        <w:rPr>
          <w:rFonts w:asciiTheme="minorHAnsi" w:hAnsiTheme="minorHAnsi" w:cstheme="minorHAnsi"/>
          <w:sz w:val="22"/>
          <w:szCs w:val="22"/>
        </w:rPr>
        <w:t xml:space="preserve"> </w:t>
      </w:r>
      <w:r w:rsidR="00E35839" w:rsidRPr="00E14B01">
        <w:rPr>
          <w:rFonts w:asciiTheme="minorHAnsi" w:hAnsiTheme="minorHAnsi" w:cstheme="minorHAnsi"/>
          <w:sz w:val="22"/>
          <w:szCs w:val="22"/>
        </w:rPr>
        <w:t>creates the potential to impact on academic freedom and debate.</w:t>
      </w:r>
    </w:p>
    <w:p w14:paraId="6C404192" w14:textId="77777777" w:rsidR="007E71F2" w:rsidRPr="00E14B01" w:rsidRDefault="007E71F2" w:rsidP="00517DE8">
      <w:pPr>
        <w:contextualSpacing/>
        <w:rPr>
          <w:rFonts w:asciiTheme="minorHAnsi" w:hAnsiTheme="minorHAnsi" w:cstheme="minorHAnsi"/>
          <w:sz w:val="22"/>
          <w:szCs w:val="22"/>
        </w:rPr>
      </w:pPr>
    </w:p>
    <w:p w14:paraId="78206EA7" w14:textId="77777777" w:rsidR="002B5BD9" w:rsidRPr="00E14B01" w:rsidRDefault="002B5BD9" w:rsidP="00517DE8">
      <w:pPr>
        <w:pStyle w:val="ListParagraph"/>
        <w:numPr>
          <w:ilvl w:val="0"/>
          <w:numId w:val="21"/>
        </w:numPr>
        <w:spacing w:line="240" w:lineRule="auto"/>
        <w:rPr>
          <w:rFonts w:asciiTheme="minorHAnsi" w:hAnsiTheme="minorHAnsi" w:cstheme="minorHAnsi"/>
          <w:b/>
        </w:rPr>
      </w:pPr>
      <w:r w:rsidRPr="00E14B01">
        <w:rPr>
          <w:rFonts w:asciiTheme="minorHAnsi" w:hAnsiTheme="minorHAnsi" w:cstheme="minorHAnsi"/>
          <w:b/>
        </w:rPr>
        <w:t xml:space="preserve">Risks to staff and students </w:t>
      </w:r>
    </w:p>
    <w:p w14:paraId="0F41FD2C" w14:textId="4E8DC06E" w:rsidR="00F765AB" w:rsidRPr="00E14B01" w:rsidRDefault="00365DF6" w:rsidP="00517DE8">
      <w:pPr>
        <w:rPr>
          <w:rFonts w:asciiTheme="minorHAnsi" w:hAnsiTheme="minorHAnsi" w:cstheme="minorHAnsi"/>
          <w:sz w:val="22"/>
          <w:szCs w:val="22"/>
        </w:rPr>
      </w:pPr>
      <w:r w:rsidRPr="00E14B01">
        <w:rPr>
          <w:rFonts w:asciiTheme="minorHAnsi" w:hAnsiTheme="minorHAnsi" w:cstheme="minorHAnsi"/>
          <w:sz w:val="22"/>
          <w:szCs w:val="22"/>
        </w:rPr>
        <w:t xml:space="preserve">The National Security Law allows for prosecution where activities are deemed by the </w:t>
      </w:r>
      <w:r w:rsidR="00E14B01">
        <w:rPr>
          <w:rFonts w:asciiTheme="minorHAnsi" w:hAnsiTheme="minorHAnsi" w:cstheme="minorHAnsi"/>
          <w:sz w:val="22"/>
          <w:szCs w:val="22"/>
        </w:rPr>
        <w:t>administration</w:t>
      </w:r>
      <w:r w:rsidR="00E14B01" w:rsidRPr="00E14B01">
        <w:rPr>
          <w:rFonts w:asciiTheme="minorHAnsi" w:hAnsiTheme="minorHAnsi" w:cstheme="minorHAnsi"/>
          <w:sz w:val="22"/>
          <w:szCs w:val="22"/>
        </w:rPr>
        <w:t xml:space="preserve"> </w:t>
      </w:r>
      <w:r w:rsidRPr="00E14B01">
        <w:rPr>
          <w:rFonts w:asciiTheme="minorHAnsi" w:hAnsiTheme="minorHAnsi" w:cstheme="minorHAnsi"/>
          <w:sz w:val="22"/>
          <w:szCs w:val="22"/>
        </w:rPr>
        <w:t xml:space="preserve">in Hong Kong to promote ideas they consider to be promoting the secession of Hong Kong, subverting the power or authority of China’s central government, promoting terrorism or collusion with foreign or external forces. </w:t>
      </w:r>
      <w:r w:rsidR="00F765AB" w:rsidRPr="00E14B01">
        <w:rPr>
          <w:rFonts w:asciiTheme="minorHAnsi" w:hAnsiTheme="minorHAnsi" w:cstheme="minorHAnsi"/>
          <w:sz w:val="22"/>
          <w:szCs w:val="22"/>
        </w:rPr>
        <w:t>Academic</w:t>
      </w:r>
      <w:r w:rsidR="00221C0F" w:rsidRPr="00E14B01">
        <w:rPr>
          <w:rFonts w:asciiTheme="minorHAnsi" w:hAnsiTheme="minorHAnsi" w:cstheme="minorHAnsi"/>
          <w:sz w:val="22"/>
          <w:szCs w:val="22"/>
        </w:rPr>
        <w:t xml:space="preserve"> </w:t>
      </w:r>
      <w:r w:rsidR="00F765AB" w:rsidRPr="00E14B01">
        <w:rPr>
          <w:rFonts w:asciiTheme="minorHAnsi" w:hAnsiTheme="minorHAnsi" w:cstheme="minorHAnsi"/>
          <w:sz w:val="22"/>
          <w:szCs w:val="22"/>
        </w:rPr>
        <w:t>s</w:t>
      </w:r>
      <w:r w:rsidR="00221C0F" w:rsidRPr="00E14B01">
        <w:rPr>
          <w:rFonts w:asciiTheme="minorHAnsi" w:hAnsiTheme="minorHAnsi" w:cstheme="minorHAnsi"/>
          <w:sz w:val="22"/>
          <w:szCs w:val="22"/>
        </w:rPr>
        <w:t>taff and students</w:t>
      </w:r>
      <w:r w:rsidR="00F765AB" w:rsidRPr="00E14B01">
        <w:rPr>
          <w:rFonts w:asciiTheme="minorHAnsi" w:hAnsiTheme="minorHAnsi" w:cstheme="minorHAnsi"/>
          <w:sz w:val="22"/>
          <w:szCs w:val="22"/>
        </w:rPr>
        <w:t xml:space="preserve"> may</w:t>
      </w:r>
      <w:r w:rsidRPr="00E14B01">
        <w:rPr>
          <w:rFonts w:asciiTheme="minorHAnsi" w:hAnsiTheme="minorHAnsi" w:cstheme="minorHAnsi"/>
          <w:sz w:val="22"/>
          <w:szCs w:val="22"/>
        </w:rPr>
        <w:t>, therefore,</w:t>
      </w:r>
      <w:r w:rsidR="00F765AB" w:rsidRPr="00E14B01">
        <w:rPr>
          <w:rFonts w:asciiTheme="minorHAnsi" w:hAnsiTheme="minorHAnsi" w:cstheme="minorHAnsi"/>
          <w:sz w:val="22"/>
          <w:szCs w:val="22"/>
        </w:rPr>
        <w:t xml:space="preserve"> be at risk of prosecution or detention due to comments made during lectures and seminars if they are</w:t>
      </w:r>
      <w:r w:rsidR="00E35839" w:rsidRPr="00E14B01">
        <w:rPr>
          <w:rFonts w:asciiTheme="minorHAnsi" w:hAnsiTheme="minorHAnsi" w:cstheme="minorHAnsi"/>
          <w:sz w:val="22"/>
          <w:szCs w:val="22"/>
        </w:rPr>
        <w:t xml:space="preserve"> subsequently</w:t>
      </w:r>
      <w:r w:rsidRPr="00E14B01">
        <w:rPr>
          <w:rFonts w:asciiTheme="minorHAnsi" w:hAnsiTheme="minorHAnsi" w:cstheme="minorHAnsi"/>
          <w:sz w:val="22"/>
          <w:szCs w:val="22"/>
        </w:rPr>
        <w:t xml:space="preserve"> reported to the relevant authorities</w:t>
      </w:r>
      <w:r w:rsidR="00A6379A" w:rsidRPr="00E14B01">
        <w:rPr>
          <w:rFonts w:asciiTheme="minorHAnsi" w:hAnsiTheme="minorHAnsi" w:cstheme="minorHAnsi"/>
          <w:sz w:val="22"/>
          <w:szCs w:val="22"/>
        </w:rPr>
        <w:t>.</w:t>
      </w:r>
      <w:r w:rsidR="007F6813" w:rsidRPr="00E14B01">
        <w:rPr>
          <w:rFonts w:asciiTheme="minorHAnsi" w:hAnsiTheme="minorHAnsi" w:cstheme="minorHAnsi"/>
          <w:sz w:val="22"/>
          <w:szCs w:val="22"/>
        </w:rPr>
        <w:t xml:space="preserve"> Students at the University may feel impeded in academic discussion</w:t>
      </w:r>
      <w:r w:rsidR="00E35839" w:rsidRPr="00E14B01">
        <w:rPr>
          <w:rFonts w:asciiTheme="minorHAnsi" w:hAnsiTheme="minorHAnsi" w:cstheme="minorHAnsi"/>
          <w:sz w:val="22"/>
          <w:szCs w:val="22"/>
        </w:rPr>
        <w:t xml:space="preserve"> due to the risk of being reported to the Chinese Government</w:t>
      </w:r>
      <w:r w:rsidR="007F6813" w:rsidRPr="00E14B01">
        <w:rPr>
          <w:rFonts w:asciiTheme="minorHAnsi" w:hAnsiTheme="minorHAnsi" w:cstheme="minorHAnsi"/>
          <w:sz w:val="22"/>
          <w:szCs w:val="22"/>
        </w:rPr>
        <w:t>, a risk that is more pronounced for students from Mainland China, the majority of whom will return to China upon graduation.</w:t>
      </w:r>
      <w:r w:rsidRPr="00E14B01">
        <w:rPr>
          <w:rFonts w:asciiTheme="minorHAnsi" w:hAnsiTheme="minorHAnsi" w:cstheme="minorHAnsi"/>
          <w:sz w:val="22"/>
          <w:szCs w:val="22"/>
        </w:rPr>
        <w:t xml:space="preserve"> S</w:t>
      </w:r>
      <w:r w:rsidR="002C2024" w:rsidRPr="00E14B01">
        <w:rPr>
          <w:rFonts w:asciiTheme="minorHAnsi" w:hAnsiTheme="minorHAnsi" w:cstheme="minorHAnsi"/>
          <w:sz w:val="22"/>
          <w:szCs w:val="22"/>
        </w:rPr>
        <w:t xml:space="preserve">taff </w:t>
      </w:r>
      <w:r w:rsidRPr="00E14B01">
        <w:rPr>
          <w:rFonts w:asciiTheme="minorHAnsi" w:hAnsiTheme="minorHAnsi" w:cstheme="minorHAnsi"/>
          <w:sz w:val="22"/>
          <w:szCs w:val="22"/>
        </w:rPr>
        <w:t xml:space="preserve">and PGRs </w:t>
      </w:r>
      <w:r w:rsidR="002C2024" w:rsidRPr="00E14B01">
        <w:rPr>
          <w:rFonts w:asciiTheme="minorHAnsi" w:hAnsiTheme="minorHAnsi" w:cstheme="minorHAnsi"/>
          <w:sz w:val="22"/>
          <w:szCs w:val="22"/>
        </w:rPr>
        <w:t>with research interests in areas deemed sensitive by the Chinese Government</w:t>
      </w:r>
      <w:r w:rsidR="007F6813" w:rsidRPr="00E14B01">
        <w:rPr>
          <w:rFonts w:asciiTheme="minorHAnsi" w:hAnsiTheme="minorHAnsi" w:cstheme="minorHAnsi"/>
          <w:sz w:val="22"/>
          <w:szCs w:val="22"/>
        </w:rPr>
        <w:t>,</w:t>
      </w:r>
      <w:r w:rsidR="002C2024" w:rsidRPr="00E14B01">
        <w:rPr>
          <w:rFonts w:asciiTheme="minorHAnsi" w:hAnsiTheme="minorHAnsi" w:cstheme="minorHAnsi"/>
          <w:sz w:val="22"/>
          <w:szCs w:val="22"/>
        </w:rPr>
        <w:t xml:space="preserve"> may be subject to prosecution on entry to China. Staff supervising PhD candidates in sensitive areas</w:t>
      </w:r>
      <w:r w:rsidR="0052639F" w:rsidRPr="00E14B01">
        <w:rPr>
          <w:rFonts w:asciiTheme="minorHAnsi" w:hAnsiTheme="minorHAnsi" w:cstheme="minorHAnsi"/>
          <w:sz w:val="22"/>
          <w:szCs w:val="22"/>
        </w:rPr>
        <w:t>, as well as the students themselves,</w:t>
      </w:r>
      <w:r w:rsidR="002C2024" w:rsidRPr="00E14B01">
        <w:rPr>
          <w:rFonts w:asciiTheme="minorHAnsi" w:hAnsiTheme="minorHAnsi" w:cstheme="minorHAnsi"/>
          <w:sz w:val="22"/>
          <w:szCs w:val="22"/>
        </w:rPr>
        <w:t xml:space="preserve"> may be subject to </w:t>
      </w:r>
      <w:r w:rsidR="00EC6B36" w:rsidRPr="00E14B01">
        <w:rPr>
          <w:rFonts w:asciiTheme="minorHAnsi" w:hAnsiTheme="minorHAnsi" w:cstheme="minorHAnsi"/>
          <w:sz w:val="22"/>
          <w:szCs w:val="22"/>
        </w:rPr>
        <w:t>prosecution in Hong Kong</w:t>
      </w:r>
      <w:r w:rsidR="00221C0F" w:rsidRPr="00E14B01">
        <w:rPr>
          <w:rFonts w:asciiTheme="minorHAnsi" w:hAnsiTheme="minorHAnsi" w:cstheme="minorHAnsi"/>
          <w:sz w:val="22"/>
          <w:szCs w:val="22"/>
        </w:rPr>
        <w:t>.</w:t>
      </w:r>
    </w:p>
    <w:p w14:paraId="719A483D" w14:textId="77777777" w:rsidR="003400F9" w:rsidRPr="00E14B01" w:rsidRDefault="003400F9" w:rsidP="00517DE8">
      <w:pPr>
        <w:rPr>
          <w:rFonts w:asciiTheme="minorHAnsi" w:hAnsiTheme="minorHAnsi" w:cstheme="minorHAnsi"/>
          <w:sz w:val="22"/>
          <w:szCs w:val="22"/>
        </w:rPr>
      </w:pPr>
    </w:p>
    <w:p w14:paraId="46D24266" w14:textId="77777777" w:rsidR="00720DB0" w:rsidRPr="00E14B01" w:rsidRDefault="00E35839" w:rsidP="00517DE8">
      <w:pPr>
        <w:pStyle w:val="ListParagraph"/>
        <w:numPr>
          <w:ilvl w:val="0"/>
          <w:numId w:val="21"/>
        </w:numPr>
        <w:spacing w:line="240" w:lineRule="auto"/>
        <w:rPr>
          <w:rFonts w:asciiTheme="minorHAnsi" w:hAnsiTheme="minorHAnsi" w:cstheme="minorHAnsi"/>
          <w:b/>
        </w:rPr>
      </w:pPr>
      <w:r w:rsidRPr="00E14B01">
        <w:rPr>
          <w:rFonts w:asciiTheme="minorHAnsi" w:hAnsiTheme="minorHAnsi" w:cstheme="minorHAnsi"/>
          <w:b/>
        </w:rPr>
        <w:t xml:space="preserve">Assessment and </w:t>
      </w:r>
      <w:r w:rsidR="001F12BE" w:rsidRPr="00E14B01">
        <w:rPr>
          <w:rFonts w:asciiTheme="minorHAnsi" w:hAnsiTheme="minorHAnsi" w:cstheme="minorHAnsi"/>
          <w:b/>
        </w:rPr>
        <w:t xml:space="preserve">Mitigation of risks </w:t>
      </w:r>
    </w:p>
    <w:p w14:paraId="0B4A0ED0" w14:textId="3412B78B" w:rsidR="00AA6508" w:rsidRPr="00E14B01" w:rsidRDefault="00720DB0" w:rsidP="00517DE8">
      <w:pPr>
        <w:rPr>
          <w:rFonts w:asciiTheme="minorHAnsi" w:hAnsiTheme="minorHAnsi" w:cstheme="minorHAnsi"/>
          <w:b/>
          <w:sz w:val="22"/>
          <w:szCs w:val="22"/>
        </w:rPr>
      </w:pPr>
      <w:r w:rsidRPr="00E14B01">
        <w:rPr>
          <w:rFonts w:asciiTheme="minorHAnsi" w:hAnsiTheme="minorHAnsi" w:cstheme="minorHAnsi"/>
          <w:sz w:val="22"/>
          <w:szCs w:val="22"/>
        </w:rPr>
        <w:t>T</w:t>
      </w:r>
      <w:r w:rsidR="00AA6508" w:rsidRPr="00E14B01">
        <w:rPr>
          <w:rFonts w:asciiTheme="minorHAnsi" w:hAnsiTheme="minorHAnsi" w:cstheme="minorHAnsi"/>
          <w:sz w:val="22"/>
          <w:szCs w:val="22"/>
        </w:rPr>
        <w:t xml:space="preserve">he broad scope of the provisions are uncertain and leave room for interpretation. The hope is that they will be reserved for serious cases </w:t>
      </w:r>
      <w:r w:rsidR="00A6379A" w:rsidRPr="00E14B01">
        <w:rPr>
          <w:rFonts w:asciiTheme="minorHAnsi" w:hAnsiTheme="minorHAnsi" w:cstheme="minorHAnsi"/>
          <w:sz w:val="22"/>
          <w:szCs w:val="22"/>
        </w:rPr>
        <w:t xml:space="preserve">where national security is a genuine concern </w:t>
      </w:r>
      <w:r w:rsidR="00AA6508" w:rsidRPr="00E14B01">
        <w:rPr>
          <w:rFonts w:asciiTheme="minorHAnsi" w:hAnsiTheme="minorHAnsi" w:cstheme="minorHAnsi"/>
          <w:sz w:val="22"/>
          <w:szCs w:val="22"/>
        </w:rPr>
        <w:t>and will not be used to impede academic discussion, though the risk of self-censorship is apparent.</w:t>
      </w:r>
      <w:r w:rsidR="00AA6508" w:rsidRPr="00E14B01">
        <w:rPr>
          <w:rFonts w:asciiTheme="minorHAnsi" w:hAnsiTheme="minorHAnsi" w:cstheme="minorHAnsi"/>
          <w:i/>
          <w:sz w:val="22"/>
          <w:szCs w:val="22"/>
        </w:rPr>
        <w:t xml:space="preserve"> </w:t>
      </w:r>
      <w:r w:rsidR="009A1A9D" w:rsidRPr="00E14B01">
        <w:rPr>
          <w:rFonts w:asciiTheme="minorHAnsi" w:hAnsiTheme="minorHAnsi" w:cstheme="minorHAnsi"/>
          <w:sz w:val="22"/>
          <w:szCs w:val="22"/>
        </w:rPr>
        <w:t xml:space="preserve"> Application of the law by the Hong Kong courts gives some reassurance</w:t>
      </w:r>
      <w:r w:rsidR="00F24A44" w:rsidRPr="00E14B01">
        <w:rPr>
          <w:rFonts w:asciiTheme="minorHAnsi" w:hAnsiTheme="minorHAnsi" w:cstheme="minorHAnsi"/>
          <w:sz w:val="22"/>
          <w:szCs w:val="22"/>
        </w:rPr>
        <w:t xml:space="preserve"> that the laws will be interpreted and applied fairly</w:t>
      </w:r>
      <w:r w:rsidRPr="00E14B01">
        <w:rPr>
          <w:rFonts w:asciiTheme="minorHAnsi" w:hAnsiTheme="minorHAnsi" w:cstheme="minorHAnsi"/>
          <w:sz w:val="22"/>
          <w:szCs w:val="22"/>
        </w:rPr>
        <w:t>, but there are concerns that these cases can only be handled by judges specially designated by the Hong Kong Chief Executive.</w:t>
      </w:r>
      <w:r w:rsidR="00F24A44" w:rsidRPr="00E14B01">
        <w:rPr>
          <w:rFonts w:asciiTheme="minorHAnsi" w:hAnsiTheme="minorHAnsi" w:cstheme="minorHAnsi"/>
          <w:sz w:val="22"/>
          <w:szCs w:val="22"/>
        </w:rPr>
        <w:t xml:space="preserve"> </w:t>
      </w:r>
      <w:r w:rsidRPr="00E14B01">
        <w:rPr>
          <w:rFonts w:asciiTheme="minorHAnsi" w:hAnsiTheme="minorHAnsi" w:cstheme="minorHAnsi"/>
          <w:sz w:val="22"/>
          <w:szCs w:val="22"/>
        </w:rPr>
        <w:t xml:space="preserve">There are also situations where the </w:t>
      </w:r>
      <w:r w:rsidRPr="00E14B01">
        <w:rPr>
          <w:rFonts w:asciiTheme="minorHAnsi" w:hAnsiTheme="minorHAnsi" w:cstheme="minorHAnsi"/>
          <w:color w:val="111111"/>
          <w:sz w:val="22"/>
          <w:szCs w:val="22"/>
          <w:shd w:val="clear" w:color="auto" w:fill="FFFFFF"/>
        </w:rPr>
        <w:t>Office for Safeguarding National Security of the Central People’s Government in the Hong Kon</w:t>
      </w:r>
      <w:r w:rsidR="00EF60A3" w:rsidRPr="00E14B01">
        <w:rPr>
          <w:rFonts w:asciiTheme="minorHAnsi" w:hAnsiTheme="minorHAnsi" w:cstheme="minorHAnsi"/>
          <w:color w:val="111111"/>
          <w:sz w:val="22"/>
          <w:szCs w:val="22"/>
          <w:shd w:val="clear" w:color="auto" w:fill="FFFFFF"/>
        </w:rPr>
        <w:t xml:space="preserve">g Special Administrative Region </w:t>
      </w:r>
      <w:r w:rsidRPr="00E14B01">
        <w:rPr>
          <w:rFonts w:asciiTheme="minorHAnsi" w:hAnsiTheme="minorHAnsi" w:cstheme="minorHAnsi"/>
          <w:color w:val="111111"/>
          <w:sz w:val="22"/>
          <w:szCs w:val="22"/>
          <w:shd w:val="clear" w:color="auto" w:fill="FFFFFF"/>
        </w:rPr>
        <w:t>can take over the case and the case can be heard by a court appointed by the Supreme People’s Court.</w:t>
      </w:r>
      <w:r w:rsidR="00F24A44" w:rsidRPr="00E14B01">
        <w:rPr>
          <w:rFonts w:asciiTheme="minorHAnsi" w:hAnsiTheme="minorHAnsi" w:cstheme="minorHAnsi"/>
          <w:color w:val="111111"/>
          <w:sz w:val="22"/>
          <w:szCs w:val="22"/>
          <w:shd w:val="clear" w:color="auto" w:fill="FFFFFF"/>
        </w:rPr>
        <w:t xml:space="preserve"> Thus, whilst it is likely that the law will not be used to stifle academic discussion that risk cannot be entirely excluded.</w:t>
      </w:r>
      <w:r w:rsidR="00A6379A" w:rsidRPr="00E14B01">
        <w:rPr>
          <w:rFonts w:asciiTheme="minorHAnsi" w:hAnsiTheme="minorHAnsi" w:cstheme="minorHAnsi"/>
          <w:sz w:val="22"/>
          <w:szCs w:val="22"/>
        </w:rPr>
        <w:t xml:space="preserve"> </w:t>
      </w:r>
      <w:r w:rsidR="00365DF6" w:rsidRPr="00E14B01">
        <w:rPr>
          <w:rFonts w:asciiTheme="minorHAnsi" w:hAnsiTheme="minorHAnsi" w:cstheme="minorHAnsi"/>
          <w:sz w:val="22"/>
          <w:szCs w:val="22"/>
        </w:rPr>
        <w:t>F</w:t>
      </w:r>
      <w:r w:rsidR="00A6379A" w:rsidRPr="00E14B01">
        <w:rPr>
          <w:rFonts w:asciiTheme="minorHAnsi" w:hAnsiTheme="minorHAnsi" w:cstheme="minorHAnsi"/>
          <w:sz w:val="22"/>
          <w:szCs w:val="22"/>
        </w:rPr>
        <w:t xml:space="preserve">or the vast majority of academics travelling to HK engaged in teaching </w:t>
      </w:r>
      <w:r w:rsidR="00EF60A3" w:rsidRPr="00E14B01">
        <w:rPr>
          <w:rFonts w:asciiTheme="minorHAnsi" w:hAnsiTheme="minorHAnsi" w:cstheme="minorHAnsi"/>
          <w:sz w:val="22"/>
          <w:szCs w:val="22"/>
        </w:rPr>
        <w:t xml:space="preserve">or </w:t>
      </w:r>
      <w:r w:rsidR="00A6379A" w:rsidRPr="00E14B01">
        <w:rPr>
          <w:rFonts w:asciiTheme="minorHAnsi" w:hAnsiTheme="minorHAnsi" w:cstheme="minorHAnsi"/>
          <w:sz w:val="22"/>
          <w:szCs w:val="22"/>
        </w:rPr>
        <w:t>research which does not specifically reference areas of obvious sensitivity, the risk is minimal.</w:t>
      </w:r>
    </w:p>
    <w:p w14:paraId="3326E72D" w14:textId="77777777" w:rsidR="007F6813" w:rsidRPr="00E14B01" w:rsidRDefault="007F6813" w:rsidP="00517DE8">
      <w:pPr>
        <w:pStyle w:val="ListParagraph"/>
        <w:spacing w:line="240" w:lineRule="auto"/>
        <w:ind w:left="360"/>
        <w:rPr>
          <w:rFonts w:asciiTheme="minorHAnsi" w:hAnsiTheme="minorHAnsi" w:cstheme="minorHAnsi"/>
          <w:b/>
        </w:rPr>
      </w:pPr>
    </w:p>
    <w:p w14:paraId="767F8A3A" w14:textId="1261BB34" w:rsidR="00192481" w:rsidRPr="00E14B01" w:rsidRDefault="001F12BE" w:rsidP="00517DE8">
      <w:pPr>
        <w:pStyle w:val="ListParagraph"/>
        <w:numPr>
          <w:ilvl w:val="0"/>
          <w:numId w:val="21"/>
        </w:numPr>
        <w:spacing w:line="240" w:lineRule="auto"/>
        <w:rPr>
          <w:rFonts w:asciiTheme="minorHAnsi" w:hAnsiTheme="minorHAnsi" w:cstheme="minorHAnsi"/>
        </w:rPr>
      </w:pPr>
      <w:r w:rsidRPr="00E14B01">
        <w:rPr>
          <w:rFonts w:asciiTheme="minorHAnsi" w:hAnsiTheme="minorHAnsi" w:cstheme="minorHAnsi"/>
          <w:b/>
        </w:rPr>
        <w:t>Proposed changes to academic policy and practice</w:t>
      </w:r>
      <w:r w:rsidRPr="00E14B01">
        <w:rPr>
          <w:rFonts w:asciiTheme="minorHAnsi" w:hAnsiTheme="minorHAnsi" w:cstheme="minorHAnsi"/>
          <w:b/>
        </w:rPr>
        <w:br/>
      </w:r>
      <w:r w:rsidRPr="00E14B01">
        <w:rPr>
          <w:rFonts w:asciiTheme="minorHAnsi" w:hAnsiTheme="minorHAnsi" w:cstheme="minorHAnsi"/>
          <w:b/>
        </w:rPr>
        <w:br/>
        <w:t xml:space="preserve">3.1 </w:t>
      </w:r>
      <w:r w:rsidR="00192481" w:rsidRPr="00E14B01">
        <w:rPr>
          <w:rFonts w:asciiTheme="minorHAnsi" w:hAnsiTheme="minorHAnsi" w:cstheme="minorHAnsi"/>
          <w:b/>
        </w:rPr>
        <w:t>University</w:t>
      </w:r>
      <w:r w:rsidR="007F6813" w:rsidRPr="00E14B01">
        <w:rPr>
          <w:rFonts w:asciiTheme="minorHAnsi" w:hAnsiTheme="minorHAnsi" w:cstheme="minorHAnsi"/>
          <w:b/>
        </w:rPr>
        <w:t xml:space="preserve"> commitment to academic freedom: </w:t>
      </w:r>
      <w:r w:rsidR="00192481" w:rsidRPr="00E14B01">
        <w:rPr>
          <w:rFonts w:asciiTheme="minorHAnsi" w:hAnsiTheme="minorHAnsi" w:cstheme="minorHAnsi"/>
        </w:rPr>
        <w:t xml:space="preserve">The university </w:t>
      </w:r>
      <w:r w:rsidR="00E35839" w:rsidRPr="00E14B01">
        <w:rPr>
          <w:rFonts w:asciiTheme="minorHAnsi" w:hAnsiTheme="minorHAnsi" w:cstheme="minorHAnsi"/>
        </w:rPr>
        <w:t xml:space="preserve">is advised to endorse an </w:t>
      </w:r>
      <w:r w:rsidR="00E35839" w:rsidRPr="00E14B01">
        <w:rPr>
          <w:rFonts w:asciiTheme="minorHAnsi" w:hAnsiTheme="minorHAnsi" w:cstheme="minorHAnsi"/>
        </w:rPr>
        <w:lastRenderedPageBreak/>
        <w:t xml:space="preserve">unequivocal commitment to </w:t>
      </w:r>
      <w:r w:rsidR="00DB1DEE" w:rsidRPr="00E14B01">
        <w:rPr>
          <w:rFonts w:asciiTheme="minorHAnsi" w:hAnsiTheme="minorHAnsi" w:cstheme="minorHAnsi"/>
        </w:rPr>
        <w:t>ac</w:t>
      </w:r>
      <w:r w:rsidR="00E35839" w:rsidRPr="00E14B01">
        <w:rPr>
          <w:rFonts w:asciiTheme="minorHAnsi" w:hAnsiTheme="minorHAnsi" w:cstheme="minorHAnsi"/>
        </w:rPr>
        <w:t xml:space="preserve">ademic </w:t>
      </w:r>
      <w:r w:rsidR="00DB1DEE" w:rsidRPr="00E14B01">
        <w:rPr>
          <w:rFonts w:asciiTheme="minorHAnsi" w:hAnsiTheme="minorHAnsi" w:cstheme="minorHAnsi"/>
        </w:rPr>
        <w:t>f</w:t>
      </w:r>
      <w:r w:rsidR="00E35839" w:rsidRPr="00E14B01">
        <w:rPr>
          <w:rFonts w:asciiTheme="minorHAnsi" w:hAnsiTheme="minorHAnsi" w:cstheme="minorHAnsi"/>
        </w:rPr>
        <w:t>reedom of discussion and enquiry in relation to the new Law</w:t>
      </w:r>
      <w:r w:rsidR="00192481" w:rsidRPr="00E14B01">
        <w:rPr>
          <w:rFonts w:asciiTheme="minorHAnsi" w:hAnsiTheme="minorHAnsi" w:cstheme="minorHAnsi"/>
        </w:rPr>
        <w:t xml:space="preserve"> via a communication to staff and students</w:t>
      </w:r>
      <w:r w:rsidR="0036031E" w:rsidRPr="00E14B01">
        <w:rPr>
          <w:rFonts w:asciiTheme="minorHAnsi" w:hAnsiTheme="minorHAnsi" w:cstheme="minorHAnsi"/>
        </w:rPr>
        <w:t xml:space="preserve"> in programme areas most immediately impacted by the new law</w:t>
      </w:r>
      <w:r w:rsidR="00083E6B">
        <w:rPr>
          <w:rFonts w:asciiTheme="minorHAnsi" w:hAnsiTheme="minorHAnsi" w:cstheme="minorHAnsi"/>
        </w:rPr>
        <w:t>. This communication is currently being looked at within SEED.</w:t>
      </w:r>
    </w:p>
    <w:p w14:paraId="15E6CDF5" w14:textId="77777777" w:rsidR="00365DF6" w:rsidRPr="00E14B01" w:rsidRDefault="007F6813" w:rsidP="00517DE8">
      <w:pPr>
        <w:pStyle w:val="ListParagraph"/>
        <w:spacing w:line="240" w:lineRule="auto"/>
        <w:ind w:left="360"/>
        <w:rPr>
          <w:rFonts w:asciiTheme="minorHAnsi" w:hAnsiTheme="minorHAnsi" w:cstheme="minorHAnsi"/>
        </w:rPr>
      </w:pPr>
      <w:r w:rsidRPr="00E14B01">
        <w:rPr>
          <w:rFonts w:asciiTheme="minorHAnsi" w:hAnsiTheme="minorHAnsi" w:cstheme="minorHAnsi"/>
          <w:b/>
        </w:rPr>
        <w:br/>
        <w:t>3.2</w:t>
      </w:r>
      <w:r w:rsidR="00E436B5" w:rsidRPr="00E14B01">
        <w:rPr>
          <w:rFonts w:asciiTheme="minorHAnsi" w:hAnsiTheme="minorHAnsi" w:cstheme="minorHAnsi"/>
          <w:b/>
        </w:rPr>
        <w:t xml:space="preserve"> </w:t>
      </w:r>
      <w:r w:rsidR="00FB56B7" w:rsidRPr="00E14B01">
        <w:rPr>
          <w:rFonts w:asciiTheme="minorHAnsi" w:hAnsiTheme="minorHAnsi" w:cstheme="minorHAnsi"/>
          <w:b/>
        </w:rPr>
        <w:t>U</w:t>
      </w:r>
      <w:r w:rsidR="001F12BE" w:rsidRPr="00E14B01">
        <w:rPr>
          <w:rFonts w:asciiTheme="minorHAnsi" w:hAnsiTheme="minorHAnsi" w:cstheme="minorHAnsi"/>
          <w:b/>
        </w:rPr>
        <w:t xml:space="preserve">se of </w:t>
      </w:r>
      <w:r w:rsidR="00333A0C" w:rsidRPr="00E14B01">
        <w:rPr>
          <w:rFonts w:asciiTheme="minorHAnsi" w:hAnsiTheme="minorHAnsi" w:cstheme="minorHAnsi"/>
          <w:b/>
        </w:rPr>
        <w:t>brief “political risk disclosure”</w:t>
      </w:r>
      <w:r w:rsidR="00333A0C" w:rsidRPr="00E14B01">
        <w:rPr>
          <w:rFonts w:asciiTheme="minorHAnsi" w:hAnsiTheme="minorHAnsi" w:cstheme="minorHAnsi"/>
        </w:rPr>
        <w:t xml:space="preserve"> </w:t>
      </w:r>
      <w:r w:rsidR="001F12BE" w:rsidRPr="00E14B01">
        <w:rPr>
          <w:rFonts w:asciiTheme="minorHAnsi" w:hAnsiTheme="minorHAnsi" w:cstheme="minorHAnsi"/>
          <w:b/>
        </w:rPr>
        <w:t>statements in seminars and lectures:</w:t>
      </w:r>
    </w:p>
    <w:p w14:paraId="5277DF48" w14:textId="77777777" w:rsidR="00FB56B7" w:rsidRPr="00E14B01" w:rsidRDefault="00365DF6" w:rsidP="00517DE8">
      <w:pPr>
        <w:ind w:left="360"/>
        <w:rPr>
          <w:rFonts w:asciiTheme="minorHAnsi" w:hAnsiTheme="minorHAnsi" w:cstheme="minorHAnsi"/>
          <w:sz w:val="22"/>
          <w:szCs w:val="22"/>
        </w:rPr>
      </w:pPr>
      <w:r w:rsidRPr="00E14B01">
        <w:rPr>
          <w:rFonts w:asciiTheme="minorHAnsi" w:hAnsiTheme="minorHAnsi" w:cstheme="minorHAnsi"/>
          <w:sz w:val="22"/>
          <w:szCs w:val="22"/>
        </w:rPr>
        <w:t>The statement below can be adapted by academics for use at their discretion prior to lectures or seminar discussions</w:t>
      </w:r>
      <w:r w:rsidR="00192481" w:rsidRPr="00E14B01">
        <w:rPr>
          <w:rFonts w:asciiTheme="minorHAnsi" w:hAnsiTheme="minorHAnsi" w:cstheme="minorHAnsi"/>
          <w:sz w:val="22"/>
          <w:szCs w:val="22"/>
        </w:rPr>
        <w:t>. Academics are advised to use their judgement as to how often it is appropriate to repeat the statement, based on the curriculum content and diversity of nationalities in the cohort. There should be no requirement for academics to use the statement and the draft wording is intended as a resource only:</w:t>
      </w:r>
      <w:r w:rsidRPr="00E14B01">
        <w:rPr>
          <w:rFonts w:asciiTheme="minorHAnsi" w:hAnsiTheme="minorHAnsi" w:cstheme="minorHAnsi"/>
          <w:sz w:val="22"/>
          <w:szCs w:val="22"/>
        </w:rPr>
        <w:br/>
      </w:r>
      <w:r w:rsidR="001F12BE" w:rsidRPr="00E14B01">
        <w:rPr>
          <w:rFonts w:asciiTheme="minorHAnsi" w:hAnsiTheme="minorHAnsi" w:cstheme="minorHAnsi"/>
          <w:b/>
          <w:sz w:val="22"/>
          <w:szCs w:val="22"/>
        </w:rPr>
        <w:t xml:space="preserve"> </w:t>
      </w:r>
    </w:p>
    <w:p w14:paraId="5BBDBE99" w14:textId="4D182355" w:rsidR="00FA0C13" w:rsidRPr="00E14B01" w:rsidRDefault="00333A0C" w:rsidP="00517DE8">
      <w:pPr>
        <w:pStyle w:val="ListParagraph"/>
        <w:numPr>
          <w:ilvl w:val="1"/>
          <w:numId w:val="21"/>
        </w:numPr>
        <w:spacing w:line="240" w:lineRule="auto"/>
        <w:rPr>
          <w:rFonts w:asciiTheme="minorHAnsi" w:hAnsiTheme="minorHAnsi" w:cstheme="minorHAnsi"/>
          <w:i/>
        </w:rPr>
      </w:pPr>
      <w:r w:rsidRPr="00E14B01">
        <w:rPr>
          <w:rFonts w:asciiTheme="minorHAnsi" w:hAnsiTheme="minorHAnsi" w:cstheme="minorHAnsi"/>
          <w:i/>
        </w:rPr>
        <w:t xml:space="preserve">Hong Kong’s July 2020 National Security Law (NSL), </w:t>
      </w:r>
      <w:r w:rsidR="00DB1DEE" w:rsidRPr="00E14B01">
        <w:rPr>
          <w:rFonts w:asciiTheme="minorHAnsi" w:hAnsiTheme="minorHAnsi" w:cstheme="minorHAnsi"/>
          <w:i/>
        </w:rPr>
        <w:t>creates offences carrying potentially length sentences for</w:t>
      </w:r>
      <w:r w:rsidRPr="00E14B01">
        <w:rPr>
          <w:rFonts w:asciiTheme="minorHAnsi" w:hAnsiTheme="minorHAnsi" w:cstheme="minorHAnsi"/>
          <w:i/>
        </w:rPr>
        <w:t xml:space="preserve"> </w:t>
      </w:r>
      <w:r w:rsidR="00DB1DEE" w:rsidRPr="00E14B01">
        <w:rPr>
          <w:rFonts w:asciiTheme="minorHAnsi" w:hAnsiTheme="minorHAnsi" w:cstheme="minorHAnsi"/>
          <w:i/>
        </w:rPr>
        <w:t xml:space="preserve">promoting the secession of Hong </w:t>
      </w:r>
      <w:r w:rsidR="00EF60A3" w:rsidRPr="00E14B01">
        <w:rPr>
          <w:rFonts w:asciiTheme="minorHAnsi" w:hAnsiTheme="minorHAnsi" w:cstheme="minorHAnsi"/>
          <w:i/>
        </w:rPr>
        <w:t>Kong</w:t>
      </w:r>
      <w:r w:rsidR="00DB1DEE" w:rsidRPr="00E14B01">
        <w:rPr>
          <w:rFonts w:asciiTheme="minorHAnsi" w:hAnsiTheme="minorHAnsi" w:cstheme="minorHAnsi"/>
          <w:i/>
        </w:rPr>
        <w:t>, subverting the power or authority of the central government, promoting terrorism or collusion with foreign or external forces.</w:t>
      </w:r>
      <w:r w:rsidRPr="00E14B01">
        <w:rPr>
          <w:rFonts w:asciiTheme="minorHAnsi" w:hAnsiTheme="minorHAnsi" w:cstheme="minorHAnsi"/>
          <w:i/>
        </w:rPr>
        <w:t> </w:t>
      </w:r>
      <w:r w:rsidR="00DB1DEE" w:rsidRPr="00E14B01">
        <w:rPr>
          <w:rFonts w:asciiTheme="minorHAnsi" w:hAnsiTheme="minorHAnsi" w:cstheme="minorHAnsi"/>
          <w:i/>
        </w:rPr>
        <w:t xml:space="preserve">These rules are said to apply </w:t>
      </w:r>
      <w:r w:rsidRPr="00E14B01">
        <w:rPr>
          <w:rFonts w:asciiTheme="minorHAnsi" w:hAnsiTheme="minorHAnsi" w:cstheme="minorHAnsi"/>
          <w:b/>
          <w:bCs/>
          <w:i/>
        </w:rPr>
        <w:t>regardless of your location or citizenship</w:t>
      </w:r>
      <w:r w:rsidR="00FA0C13" w:rsidRPr="00E14B01">
        <w:rPr>
          <w:rFonts w:asciiTheme="minorHAnsi" w:hAnsiTheme="minorHAnsi" w:cstheme="minorHAnsi"/>
          <w:i/>
        </w:rPr>
        <w:t>.</w:t>
      </w:r>
    </w:p>
    <w:p w14:paraId="1945CD93" w14:textId="77777777" w:rsidR="00FA0C13" w:rsidRPr="00E14B01" w:rsidRDefault="00333A0C" w:rsidP="00517DE8">
      <w:pPr>
        <w:pStyle w:val="ListParagraph"/>
        <w:numPr>
          <w:ilvl w:val="1"/>
          <w:numId w:val="21"/>
        </w:numPr>
        <w:spacing w:line="240" w:lineRule="auto"/>
        <w:rPr>
          <w:rFonts w:asciiTheme="minorHAnsi" w:hAnsiTheme="minorHAnsi" w:cstheme="minorHAnsi"/>
          <w:i/>
        </w:rPr>
      </w:pPr>
      <w:r w:rsidRPr="00E14B01">
        <w:rPr>
          <w:rFonts w:asciiTheme="minorHAnsi" w:hAnsiTheme="minorHAnsi" w:cstheme="minorHAnsi"/>
          <w:i/>
        </w:rPr>
        <w:t>This class, like all at UoM, upholds the University’s commitment to </w:t>
      </w:r>
      <w:hyperlink r:id="rId11" w:tooltip="https://www.manchester.ac.uk/discover/vision/" w:history="1">
        <w:r w:rsidR="00DB1DEE" w:rsidRPr="00E14B01">
          <w:rPr>
            <w:rStyle w:val="Hyperlink"/>
            <w:rFonts w:asciiTheme="minorHAnsi" w:hAnsiTheme="minorHAnsi" w:cstheme="minorHAnsi"/>
            <w:b/>
            <w:bCs/>
            <w:i/>
          </w:rPr>
          <w:t>a</w:t>
        </w:r>
        <w:r w:rsidRPr="00E14B01">
          <w:rPr>
            <w:rStyle w:val="Hyperlink"/>
            <w:rFonts w:asciiTheme="minorHAnsi" w:hAnsiTheme="minorHAnsi" w:cstheme="minorHAnsi"/>
            <w:b/>
            <w:bCs/>
            <w:i/>
          </w:rPr>
          <w:t>cademic freedom</w:t>
        </w:r>
      </w:hyperlink>
      <w:r w:rsidRPr="00E14B01">
        <w:rPr>
          <w:rFonts w:asciiTheme="minorHAnsi" w:hAnsiTheme="minorHAnsi" w:cstheme="minorHAnsi"/>
          <w:b/>
          <w:bCs/>
          <w:i/>
        </w:rPr>
        <w:t>: </w:t>
      </w:r>
      <w:r w:rsidRPr="00E14B01">
        <w:rPr>
          <w:rFonts w:asciiTheme="minorHAnsi" w:hAnsiTheme="minorHAnsi" w:cstheme="minorHAnsi"/>
          <w:i/>
        </w:rPr>
        <w:t>the principles of freedom of thought and speech.</w:t>
      </w:r>
    </w:p>
    <w:p w14:paraId="726C6673" w14:textId="010FBC9A" w:rsidR="00FB56B7" w:rsidRPr="00E14B01" w:rsidRDefault="00333A0C" w:rsidP="00EF60A3">
      <w:pPr>
        <w:pStyle w:val="ListParagraph"/>
        <w:numPr>
          <w:ilvl w:val="1"/>
          <w:numId w:val="21"/>
        </w:numPr>
        <w:spacing w:line="240" w:lineRule="auto"/>
        <w:rPr>
          <w:rFonts w:asciiTheme="minorHAnsi" w:hAnsiTheme="minorHAnsi" w:cstheme="minorHAnsi"/>
        </w:rPr>
      </w:pPr>
      <w:r w:rsidRPr="00E14B01">
        <w:rPr>
          <w:rFonts w:asciiTheme="minorHAnsi" w:hAnsiTheme="minorHAnsi" w:cstheme="minorHAnsi"/>
          <w:i/>
        </w:rPr>
        <w:t>We may discuss topics that the C</w:t>
      </w:r>
      <w:r w:rsidR="00DB1DEE" w:rsidRPr="00E14B01">
        <w:rPr>
          <w:rFonts w:asciiTheme="minorHAnsi" w:hAnsiTheme="minorHAnsi" w:cstheme="minorHAnsi"/>
          <w:i/>
        </w:rPr>
        <w:t>hinese G</w:t>
      </w:r>
      <w:r w:rsidR="00AA6508" w:rsidRPr="00E14B01">
        <w:rPr>
          <w:rFonts w:asciiTheme="minorHAnsi" w:hAnsiTheme="minorHAnsi" w:cstheme="minorHAnsi"/>
          <w:i/>
        </w:rPr>
        <w:t>o</w:t>
      </w:r>
      <w:r w:rsidR="00DB1DEE" w:rsidRPr="00E14B01">
        <w:rPr>
          <w:rFonts w:asciiTheme="minorHAnsi" w:hAnsiTheme="minorHAnsi" w:cstheme="minorHAnsi"/>
          <w:i/>
        </w:rPr>
        <w:t>vernment</w:t>
      </w:r>
      <w:r w:rsidR="009E4A2F" w:rsidRPr="00E14B01">
        <w:rPr>
          <w:rFonts w:asciiTheme="minorHAnsi" w:hAnsiTheme="minorHAnsi" w:cstheme="minorHAnsi"/>
          <w:i/>
        </w:rPr>
        <w:t xml:space="preserve"> </w:t>
      </w:r>
      <w:r w:rsidRPr="00E14B01">
        <w:rPr>
          <w:rFonts w:asciiTheme="minorHAnsi" w:hAnsiTheme="minorHAnsi" w:cstheme="minorHAnsi"/>
          <w:i/>
        </w:rPr>
        <w:t>may consider sensitive, such as Taiwan, H</w:t>
      </w:r>
      <w:r w:rsidR="00EF60A3" w:rsidRPr="00E14B01">
        <w:rPr>
          <w:rFonts w:asciiTheme="minorHAnsi" w:hAnsiTheme="minorHAnsi" w:cstheme="minorHAnsi"/>
          <w:i/>
        </w:rPr>
        <w:t xml:space="preserve">ong </w:t>
      </w:r>
      <w:r w:rsidRPr="00E14B01">
        <w:rPr>
          <w:rFonts w:asciiTheme="minorHAnsi" w:hAnsiTheme="minorHAnsi" w:cstheme="minorHAnsi"/>
          <w:i/>
        </w:rPr>
        <w:t>K</w:t>
      </w:r>
      <w:r w:rsidR="00EF60A3" w:rsidRPr="00E14B01">
        <w:rPr>
          <w:rFonts w:asciiTheme="minorHAnsi" w:hAnsiTheme="minorHAnsi" w:cstheme="minorHAnsi"/>
          <w:i/>
        </w:rPr>
        <w:t>ong</w:t>
      </w:r>
      <w:r w:rsidRPr="00E14B01">
        <w:rPr>
          <w:rFonts w:asciiTheme="minorHAnsi" w:hAnsiTheme="minorHAnsi" w:cstheme="minorHAnsi"/>
          <w:i/>
        </w:rPr>
        <w:t>, Tiananmen, Tibet, and Xinjiang</w:t>
      </w:r>
      <w:r w:rsidR="00FA0C13" w:rsidRPr="00E14B01">
        <w:rPr>
          <w:rFonts w:asciiTheme="minorHAnsi" w:hAnsiTheme="minorHAnsi" w:cstheme="minorHAnsi"/>
          <w:i/>
        </w:rPr>
        <w:t xml:space="preserve">. Although British and European privacy laws prohibit the recording and sharing of our class discussions without </w:t>
      </w:r>
      <w:r w:rsidR="004917EF">
        <w:rPr>
          <w:rFonts w:asciiTheme="minorHAnsi" w:hAnsiTheme="minorHAnsi" w:cstheme="minorHAnsi"/>
          <w:i/>
        </w:rPr>
        <w:t xml:space="preserve">a legal basis and the prior knowledge of </w:t>
      </w:r>
      <w:r w:rsidR="00FA0C13" w:rsidRPr="00E14B01">
        <w:rPr>
          <w:rFonts w:asciiTheme="minorHAnsi" w:hAnsiTheme="minorHAnsi" w:cstheme="minorHAnsi"/>
          <w:i/>
        </w:rPr>
        <w:t xml:space="preserve">of all participants, </w:t>
      </w:r>
      <w:r w:rsidR="00EF60A3" w:rsidRPr="00E14B01">
        <w:rPr>
          <w:rFonts w:asciiTheme="minorHAnsi" w:hAnsiTheme="minorHAnsi" w:cstheme="minorHAnsi"/>
          <w:i/>
        </w:rPr>
        <w:t>s</w:t>
      </w:r>
      <w:r w:rsidR="00192481" w:rsidRPr="00E14B01">
        <w:rPr>
          <w:rFonts w:asciiTheme="minorHAnsi" w:hAnsiTheme="minorHAnsi" w:cstheme="minorHAnsi"/>
          <w:i/>
        </w:rPr>
        <w:t>tudent</w:t>
      </w:r>
      <w:r w:rsidR="00EF60A3" w:rsidRPr="00E14B01">
        <w:rPr>
          <w:rFonts w:asciiTheme="minorHAnsi" w:hAnsiTheme="minorHAnsi" w:cstheme="minorHAnsi"/>
          <w:i/>
        </w:rPr>
        <w:t>s</w:t>
      </w:r>
      <w:r w:rsidR="00192481" w:rsidRPr="00E14B01">
        <w:rPr>
          <w:rFonts w:asciiTheme="minorHAnsi" w:hAnsiTheme="minorHAnsi" w:cstheme="minorHAnsi"/>
          <w:i/>
        </w:rPr>
        <w:t xml:space="preserve"> </w:t>
      </w:r>
      <w:r w:rsidRPr="00E14B01">
        <w:rPr>
          <w:rFonts w:asciiTheme="minorHAnsi" w:hAnsiTheme="minorHAnsi" w:cstheme="minorHAnsi"/>
          <w:i/>
        </w:rPr>
        <w:t>should be aware that their participation in class may be monitored</w:t>
      </w:r>
      <w:r w:rsidR="00A6379A" w:rsidRPr="00E14B01">
        <w:rPr>
          <w:rFonts w:asciiTheme="minorHAnsi" w:hAnsiTheme="minorHAnsi" w:cstheme="minorHAnsi"/>
          <w:i/>
        </w:rPr>
        <w:t xml:space="preserve"> and </w:t>
      </w:r>
      <w:r w:rsidR="00192481" w:rsidRPr="00E14B01">
        <w:rPr>
          <w:rFonts w:asciiTheme="minorHAnsi" w:hAnsiTheme="minorHAnsi" w:cstheme="minorHAnsi"/>
          <w:i/>
        </w:rPr>
        <w:t xml:space="preserve">there is a risk that </w:t>
      </w:r>
      <w:r w:rsidR="00A6379A" w:rsidRPr="00E14B01">
        <w:rPr>
          <w:rFonts w:asciiTheme="minorHAnsi" w:hAnsiTheme="minorHAnsi" w:cstheme="minorHAnsi"/>
          <w:i/>
        </w:rPr>
        <w:t>their views</w:t>
      </w:r>
      <w:r w:rsidR="00192481" w:rsidRPr="00E14B01">
        <w:rPr>
          <w:rFonts w:asciiTheme="minorHAnsi" w:hAnsiTheme="minorHAnsi" w:cstheme="minorHAnsi"/>
          <w:i/>
        </w:rPr>
        <w:t xml:space="preserve"> could be</w:t>
      </w:r>
      <w:r w:rsidR="00A6379A" w:rsidRPr="00E14B01">
        <w:rPr>
          <w:rFonts w:asciiTheme="minorHAnsi" w:hAnsiTheme="minorHAnsi" w:cstheme="minorHAnsi"/>
          <w:i/>
        </w:rPr>
        <w:t xml:space="preserve"> reported </w:t>
      </w:r>
      <w:r w:rsidR="00192481" w:rsidRPr="00E14B01">
        <w:rPr>
          <w:rFonts w:asciiTheme="minorHAnsi" w:hAnsiTheme="minorHAnsi" w:cstheme="minorHAnsi"/>
          <w:i/>
        </w:rPr>
        <w:t>by other students to the authorities in China or Hong Kong</w:t>
      </w:r>
      <w:r w:rsidR="00A6379A" w:rsidRPr="00E14B01">
        <w:rPr>
          <w:rFonts w:asciiTheme="minorHAnsi" w:hAnsiTheme="minorHAnsi" w:cstheme="minorHAnsi"/>
          <w:i/>
        </w:rPr>
        <w:t>.</w:t>
      </w:r>
      <w:r w:rsidR="00A6379A" w:rsidRPr="00E14B01" w:rsidDel="00A6379A">
        <w:rPr>
          <w:rFonts w:asciiTheme="minorHAnsi" w:hAnsiTheme="minorHAnsi" w:cstheme="minorHAnsi"/>
          <w:i/>
        </w:rPr>
        <w:t xml:space="preserve"> </w:t>
      </w:r>
      <w:r w:rsidR="00192481" w:rsidRPr="00E14B01">
        <w:rPr>
          <w:rFonts w:asciiTheme="minorHAnsi" w:hAnsiTheme="minorHAnsi" w:cstheme="minorHAnsi"/>
          <w:i/>
        </w:rPr>
        <w:t>In some cases t</w:t>
      </w:r>
      <w:r w:rsidR="00A6379A" w:rsidRPr="00E14B01">
        <w:rPr>
          <w:rFonts w:asciiTheme="minorHAnsi" w:hAnsiTheme="minorHAnsi" w:cstheme="minorHAnsi"/>
          <w:i/>
        </w:rPr>
        <w:t>hey might</w:t>
      </w:r>
      <w:r w:rsidR="00192481" w:rsidRPr="00E14B01">
        <w:rPr>
          <w:rFonts w:asciiTheme="minorHAnsi" w:hAnsiTheme="minorHAnsi" w:cstheme="minorHAnsi"/>
          <w:i/>
        </w:rPr>
        <w:t xml:space="preserve"> subsequently</w:t>
      </w:r>
      <w:r w:rsidR="00A6379A" w:rsidRPr="00E14B01">
        <w:rPr>
          <w:rFonts w:asciiTheme="minorHAnsi" w:hAnsiTheme="minorHAnsi" w:cstheme="minorHAnsi"/>
          <w:i/>
        </w:rPr>
        <w:t xml:space="preserve"> be considered to have breached the NSL.</w:t>
      </w:r>
    </w:p>
    <w:p w14:paraId="43A33F1D" w14:textId="43E4FE70" w:rsidR="001F12BE" w:rsidRPr="00E14B01" w:rsidRDefault="002C2024" w:rsidP="00517DE8">
      <w:pPr>
        <w:pStyle w:val="ListParagraph"/>
        <w:spacing w:line="240" w:lineRule="auto"/>
        <w:ind w:left="360"/>
        <w:rPr>
          <w:rFonts w:asciiTheme="minorHAnsi" w:hAnsiTheme="minorHAnsi" w:cstheme="minorHAnsi"/>
        </w:rPr>
      </w:pPr>
      <w:r w:rsidRPr="00E14B01">
        <w:rPr>
          <w:rFonts w:asciiTheme="minorHAnsi" w:hAnsiTheme="minorHAnsi" w:cstheme="minorHAnsi"/>
          <w:i/>
        </w:rPr>
        <w:br/>
      </w:r>
      <w:r w:rsidRPr="00E14B01">
        <w:rPr>
          <w:rFonts w:asciiTheme="minorHAnsi" w:hAnsiTheme="minorHAnsi" w:cstheme="minorHAnsi"/>
          <w:b/>
        </w:rPr>
        <w:t>3.</w:t>
      </w:r>
      <w:r w:rsidR="007F6813" w:rsidRPr="00E14B01">
        <w:rPr>
          <w:rFonts w:asciiTheme="minorHAnsi" w:hAnsiTheme="minorHAnsi" w:cstheme="minorHAnsi"/>
          <w:b/>
        </w:rPr>
        <w:t>3</w:t>
      </w:r>
      <w:r w:rsidRPr="00E14B01">
        <w:rPr>
          <w:rFonts w:asciiTheme="minorHAnsi" w:hAnsiTheme="minorHAnsi" w:cstheme="minorHAnsi"/>
          <w:b/>
        </w:rPr>
        <w:t xml:space="preserve"> </w:t>
      </w:r>
      <w:r w:rsidR="00EC6B36" w:rsidRPr="00E14B01">
        <w:rPr>
          <w:rFonts w:asciiTheme="minorHAnsi" w:hAnsiTheme="minorHAnsi" w:cstheme="minorHAnsi"/>
          <w:b/>
        </w:rPr>
        <w:t xml:space="preserve">Use </w:t>
      </w:r>
      <w:r w:rsidRPr="00E14B01">
        <w:rPr>
          <w:rFonts w:asciiTheme="minorHAnsi" w:hAnsiTheme="minorHAnsi" w:cstheme="minorHAnsi"/>
          <w:b/>
        </w:rPr>
        <w:t xml:space="preserve">of </w:t>
      </w:r>
      <w:r w:rsidR="007F6813" w:rsidRPr="00E14B01">
        <w:rPr>
          <w:rFonts w:asciiTheme="minorHAnsi" w:hAnsiTheme="minorHAnsi" w:cstheme="minorHAnsi"/>
          <w:b/>
        </w:rPr>
        <w:t xml:space="preserve">academic </w:t>
      </w:r>
      <w:r w:rsidRPr="00E14B01">
        <w:rPr>
          <w:rFonts w:asciiTheme="minorHAnsi" w:hAnsiTheme="minorHAnsi" w:cstheme="minorHAnsi"/>
          <w:b/>
        </w:rPr>
        <w:t>sanctions</w:t>
      </w:r>
      <w:r w:rsidR="007F6813" w:rsidRPr="00E14B01">
        <w:rPr>
          <w:rFonts w:asciiTheme="minorHAnsi" w:hAnsiTheme="minorHAnsi" w:cstheme="minorHAnsi"/>
          <w:b/>
        </w:rPr>
        <w:t xml:space="preserve">: </w:t>
      </w:r>
      <w:r w:rsidR="00192481" w:rsidRPr="00E14B01">
        <w:rPr>
          <w:rFonts w:asciiTheme="minorHAnsi" w:hAnsiTheme="minorHAnsi" w:cstheme="minorHAnsi"/>
        </w:rPr>
        <w:t>TLG</w:t>
      </w:r>
      <w:r w:rsidR="007F6813" w:rsidRPr="00E14B01">
        <w:rPr>
          <w:rFonts w:asciiTheme="minorHAnsi" w:hAnsiTheme="minorHAnsi" w:cstheme="minorHAnsi"/>
        </w:rPr>
        <w:t xml:space="preserve"> is </w:t>
      </w:r>
      <w:r w:rsidR="00EC6B36" w:rsidRPr="00E14B01">
        <w:rPr>
          <w:rFonts w:asciiTheme="minorHAnsi" w:hAnsiTheme="minorHAnsi" w:cstheme="minorHAnsi"/>
        </w:rPr>
        <w:t>asked to support the principle of existing</w:t>
      </w:r>
      <w:r w:rsidR="007F6813" w:rsidRPr="00E14B01">
        <w:rPr>
          <w:rFonts w:asciiTheme="minorHAnsi" w:hAnsiTheme="minorHAnsi" w:cstheme="minorHAnsi"/>
        </w:rPr>
        <w:t xml:space="preserve"> sanctions </w:t>
      </w:r>
      <w:r w:rsidR="00EC6B36" w:rsidRPr="00E14B01">
        <w:rPr>
          <w:rFonts w:asciiTheme="minorHAnsi" w:hAnsiTheme="minorHAnsi" w:cstheme="minorHAnsi"/>
        </w:rPr>
        <w:t xml:space="preserve">under the </w:t>
      </w:r>
      <w:r w:rsidR="006B16E3" w:rsidRPr="00E14B01">
        <w:rPr>
          <w:rFonts w:asciiTheme="minorHAnsi" w:hAnsiTheme="minorHAnsi" w:cstheme="minorHAnsi"/>
        </w:rPr>
        <w:t>Student Conduct and D</w:t>
      </w:r>
      <w:r w:rsidR="00EC6B36" w:rsidRPr="00E14B01">
        <w:rPr>
          <w:rFonts w:asciiTheme="minorHAnsi" w:hAnsiTheme="minorHAnsi" w:cstheme="minorHAnsi"/>
        </w:rPr>
        <w:t xml:space="preserve">iscipline policies for use in seeking to </w:t>
      </w:r>
      <w:r w:rsidR="007F6813" w:rsidRPr="00E14B01">
        <w:rPr>
          <w:rFonts w:asciiTheme="minorHAnsi" w:hAnsiTheme="minorHAnsi" w:cstheme="minorHAnsi"/>
        </w:rPr>
        <w:t>limit the</w:t>
      </w:r>
      <w:r w:rsidRPr="00E14B01">
        <w:rPr>
          <w:rFonts w:asciiTheme="minorHAnsi" w:hAnsiTheme="minorHAnsi" w:cstheme="minorHAnsi"/>
        </w:rPr>
        <w:t xml:space="preserve"> </w:t>
      </w:r>
      <w:r w:rsidR="007F6813" w:rsidRPr="00E14B01">
        <w:rPr>
          <w:rFonts w:asciiTheme="minorHAnsi" w:hAnsiTheme="minorHAnsi" w:cstheme="minorHAnsi"/>
        </w:rPr>
        <w:t xml:space="preserve">use of inappropriate or intimidating language in lectures or seminars </w:t>
      </w:r>
      <w:r w:rsidR="00EC6B36" w:rsidRPr="00E14B01">
        <w:rPr>
          <w:rFonts w:asciiTheme="minorHAnsi" w:hAnsiTheme="minorHAnsi" w:cstheme="minorHAnsi"/>
        </w:rPr>
        <w:t xml:space="preserve">and </w:t>
      </w:r>
      <w:r w:rsidR="007F6813" w:rsidRPr="00E14B01">
        <w:rPr>
          <w:rFonts w:asciiTheme="minorHAnsi" w:hAnsiTheme="minorHAnsi" w:cstheme="minorHAnsi"/>
        </w:rPr>
        <w:t>to reduce the risk of unauthorised recording of lecture or seminar content.</w:t>
      </w:r>
      <w:r w:rsidR="001F12BE" w:rsidRPr="00E14B01">
        <w:rPr>
          <w:rFonts w:asciiTheme="minorHAnsi" w:hAnsiTheme="minorHAnsi" w:cstheme="minorHAnsi"/>
          <w:b/>
        </w:rPr>
        <w:br/>
      </w:r>
    </w:p>
    <w:p w14:paraId="68B926C1" w14:textId="4301F3C4" w:rsidR="006B16E3" w:rsidRPr="00E14B01" w:rsidRDefault="001F12BE" w:rsidP="00517DE8">
      <w:pPr>
        <w:pStyle w:val="ListParagraph"/>
        <w:spacing w:line="240" w:lineRule="auto"/>
        <w:ind w:left="360"/>
        <w:rPr>
          <w:rFonts w:asciiTheme="minorHAnsi" w:hAnsiTheme="minorHAnsi" w:cstheme="minorHAnsi"/>
        </w:rPr>
      </w:pPr>
      <w:r w:rsidRPr="00E14B01">
        <w:rPr>
          <w:rFonts w:asciiTheme="minorHAnsi" w:hAnsiTheme="minorHAnsi" w:cstheme="minorHAnsi"/>
          <w:b/>
        </w:rPr>
        <w:t>3.</w:t>
      </w:r>
      <w:r w:rsidR="007F6813" w:rsidRPr="00E14B01">
        <w:rPr>
          <w:rFonts w:asciiTheme="minorHAnsi" w:hAnsiTheme="minorHAnsi" w:cstheme="minorHAnsi"/>
          <w:b/>
        </w:rPr>
        <w:t>4</w:t>
      </w:r>
      <w:r w:rsidRPr="00E14B01">
        <w:rPr>
          <w:rFonts w:asciiTheme="minorHAnsi" w:hAnsiTheme="minorHAnsi" w:cstheme="minorHAnsi"/>
          <w:b/>
        </w:rPr>
        <w:t xml:space="preserve"> </w:t>
      </w:r>
      <w:r w:rsidR="007F6813" w:rsidRPr="00E14B01">
        <w:rPr>
          <w:rFonts w:asciiTheme="minorHAnsi" w:hAnsiTheme="minorHAnsi" w:cstheme="minorHAnsi"/>
          <w:b/>
        </w:rPr>
        <w:t>Anonymised discussion</w:t>
      </w:r>
      <w:r w:rsidR="007F6813" w:rsidRPr="00E14B01">
        <w:rPr>
          <w:rFonts w:asciiTheme="minorHAnsi" w:hAnsiTheme="minorHAnsi" w:cstheme="minorHAnsi"/>
        </w:rPr>
        <w:t xml:space="preserve">: </w:t>
      </w:r>
      <w:r w:rsidR="00192481" w:rsidRPr="00E14B01">
        <w:rPr>
          <w:rFonts w:asciiTheme="minorHAnsi" w:hAnsiTheme="minorHAnsi" w:cstheme="minorHAnsi"/>
        </w:rPr>
        <w:t>TLG</w:t>
      </w:r>
      <w:r w:rsidR="007F6813" w:rsidRPr="00E14B01">
        <w:rPr>
          <w:rFonts w:asciiTheme="minorHAnsi" w:hAnsiTheme="minorHAnsi" w:cstheme="minorHAnsi"/>
        </w:rPr>
        <w:t xml:space="preserve"> </w:t>
      </w:r>
      <w:r w:rsidR="00EC6B36" w:rsidRPr="00E14B01">
        <w:rPr>
          <w:rFonts w:asciiTheme="minorHAnsi" w:hAnsiTheme="minorHAnsi" w:cstheme="minorHAnsi"/>
        </w:rPr>
        <w:t xml:space="preserve">is asked to support the principle </w:t>
      </w:r>
      <w:r w:rsidR="007F6813" w:rsidRPr="00E14B01">
        <w:rPr>
          <w:rFonts w:asciiTheme="minorHAnsi" w:hAnsiTheme="minorHAnsi" w:cstheme="minorHAnsi"/>
        </w:rPr>
        <w:t>o</w:t>
      </w:r>
      <w:r w:rsidR="00EC6B36" w:rsidRPr="00E14B01">
        <w:rPr>
          <w:rFonts w:asciiTheme="minorHAnsi" w:hAnsiTheme="minorHAnsi" w:cstheme="minorHAnsi"/>
        </w:rPr>
        <w:t>f</w:t>
      </w:r>
      <w:r w:rsidR="007F6813" w:rsidRPr="00E14B01">
        <w:rPr>
          <w:rFonts w:asciiTheme="minorHAnsi" w:hAnsiTheme="minorHAnsi" w:cstheme="minorHAnsi"/>
        </w:rPr>
        <w:t xml:space="preserve"> e</w:t>
      </w:r>
      <w:r w:rsidR="002C2024" w:rsidRPr="00E14B01">
        <w:rPr>
          <w:rFonts w:asciiTheme="minorHAnsi" w:hAnsiTheme="minorHAnsi" w:cstheme="minorHAnsi"/>
        </w:rPr>
        <w:t>nabl</w:t>
      </w:r>
      <w:r w:rsidR="00EC6B36" w:rsidRPr="00E14B01">
        <w:rPr>
          <w:rFonts w:asciiTheme="minorHAnsi" w:hAnsiTheme="minorHAnsi" w:cstheme="minorHAnsi"/>
        </w:rPr>
        <w:t>ing</w:t>
      </w:r>
      <w:r w:rsidR="002C2024" w:rsidRPr="00E14B01">
        <w:rPr>
          <w:rFonts w:asciiTheme="minorHAnsi" w:hAnsiTheme="minorHAnsi" w:cstheme="minorHAnsi"/>
        </w:rPr>
        <w:t xml:space="preserve"> a</w:t>
      </w:r>
      <w:r w:rsidR="00C809FA" w:rsidRPr="00E14B01">
        <w:rPr>
          <w:rFonts w:asciiTheme="minorHAnsi" w:hAnsiTheme="minorHAnsi" w:cstheme="minorHAnsi"/>
        </w:rPr>
        <w:t xml:space="preserve">nonymised discussion </w:t>
      </w:r>
      <w:r w:rsidR="002C2024" w:rsidRPr="00E14B01">
        <w:rPr>
          <w:rFonts w:asciiTheme="minorHAnsi" w:hAnsiTheme="minorHAnsi" w:cstheme="minorHAnsi"/>
        </w:rPr>
        <w:t xml:space="preserve">in a very small number of </w:t>
      </w:r>
      <w:r w:rsidRPr="00E14B01">
        <w:rPr>
          <w:rFonts w:asciiTheme="minorHAnsi" w:hAnsiTheme="minorHAnsi" w:cstheme="minorHAnsi"/>
        </w:rPr>
        <w:t xml:space="preserve">sensitive </w:t>
      </w:r>
      <w:r w:rsidR="002C2024" w:rsidRPr="00E14B01">
        <w:rPr>
          <w:rFonts w:asciiTheme="minorHAnsi" w:hAnsiTheme="minorHAnsi" w:cstheme="minorHAnsi"/>
        </w:rPr>
        <w:t xml:space="preserve">areas where fear of </w:t>
      </w:r>
      <w:r w:rsidR="003D6B8A" w:rsidRPr="00E14B01">
        <w:rPr>
          <w:rFonts w:asciiTheme="minorHAnsi" w:hAnsiTheme="minorHAnsi" w:cstheme="minorHAnsi"/>
        </w:rPr>
        <w:t>surveillance</w:t>
      </w:r>
      <w:r w:rsidR="002C2024" w:rsidRPr="00E14B01">
        <w:rPr>
          <w:rFonts w:asciiTheme="minorHAnsi" w:hAnsiTheme="minorHAnsi" w:cstheme="minorHAnsi"/>
        </w:rPr>
        <w:t xml:space="preserve"> may lead to self-censorship and impede academical</w:t>
      </w:r>
      <w:r w:rsidRPr="00E14B01">
        <w:rPr>
          <w:rFonts w:asciiTheme="minorHAnsi" w:hAnsiTheme="minorHAnsi" w:cstheme="minorHAnsi"/>
        </w:rPr>
        <w:t xml:space="preserve"> </w:t>
      </w:r>
      <w:r w:rsidR="002C2024" w:rsidRPr="00E14B01">
        <w:rPr>
          <w:rFonts w:asciiTheme="minorHAnsi" w:hAnsiTheme="minorHAnsi" w:cstheme="minorHAnsi"/>
        </w:rPr>
        <w:t>enquiry</w:t>
      </w:r>
      <w:r w:rsidR="0038621A" w:rsidRPr="00E14B01">
        <w:rPr>
          <w:rFonts w:asciiTheme="minorHAnsi" w:hAnsiTheme="minorHAnsi" w:cstheme="minorHAnsi"/>
        </w:rPr>
        <w:t xml:space="preserve">. </w:t>
      </w:r>
      <w:r w:rsidR="00EC6B36" w:rsidRPr="00E14B01">
        <w:rPr>
          <w:rFonts w:asciiTheme="minorHAnsi" w:hAnsiTheme="minorHAnsi" w:cstheme="minorHAnsi"/>
        </w:rPr>
        <w:t xml:space="preserve"> In a select number of subject areas,</w:t>
      </w:r>
      <w:r w:rsidR="00A37CCE" w:rsidRPr="00E14B01">
        <w:rPr>
          <w:rFonts w:asciiTheme="minorHAnsi" w:hAnsiTheme="minorHAnsi" w:cstheme="minorHAnsi"/>
        </w:rPr>
        <w:t xml:space="preserve"> for example, areas of Chinese Studies with discussion of politics or sensitive areas of Chinese history and </w:t>
      </w:r>
      <w:r w:rsidR="00EC6B36" w:rsidRPr="00E14B01">
        <w:rPr>
          <w:rFonts w:asciiTheme="minorHAnsi" w:hAnsiTheme="minorHAnsi" w:cstheme="minorHAnsi"/>
        </w:rPr>
        <w:t xml:space="preserve">where it is deemed necessary by the Programme Director, </w:t>
      </w:r>
      <w:r w:rsidR="00A37CCE" w:rsidRPr="00E14B01">
        <w:rPr>
          <w:rFonts w:asciiTheme="minorHAnsi" w:hAnsiTheme="minorHAnsi" w:cstheme="minorHAnsi"/>
        </w:rPr>
        <w:t>discussions may be conducted on an anonymised basis with students’ identities being protected.</w:t>
      </w:r>
    </w:p>
    <w:p w14:paraId="2210B78C" w14:textId="77777777" w:rsidR="00A46BF7" w:rsidRPr="00E14B01" w:rsidRDefault="00A46BF7" w:rsidP="00517DE8">
      <w:pPr>
        <w:pStyle w:val="ListParagraph"/>
        <w:spacing w:line="240" w:lineRule="auto"/>
        <w:ind w:left="360"/>
        <w:rPr>
          <w:rFonts w:asciiTheme="minorHAnsi" w:hAnsiTheme="minorHAnsi" w:cstheme="minorHAnsi"/>
        </w:rPr>
      </w:pPr>
    </w:p>
    <w:p w14:paraId="0100E7A9" w14:textId="18E3933B" w:rsidR="0003746A" w:rsidRPr="00E14B01" w:rsidRDefault="00A46BF7" w:rsidP="00083E6B">
      <w:pPr>
        <w:pStyle w:val="ListParagraph"/>
        <w:spacing w:line="240" w:lineRule="auto"/>
        <w:ind w:left="360"/>
        <w:rPr>
          <w:rFonts w:asciiTheme="minorHAnsi" w:hAnsiTheme="minorHAnsi" w:cstheme="minorHAnsi"/>
        </w:rPr>
      </w:pPr>
      <w:r w:rsidRPr="00E14B01">
        <w:rPr>
          <w:rFonts w:asciiTheme="minorHAnsi" w:hAnsiTheme="minorHAnsi" w:cstheme="minorHAnsi"/>
          <w:b/>
        </w:rPr>
        <w:t>3.5 Assessment</w:t>
      </w:r>
      <w:r w:rsidRPr="00E14B01">
        <w:rPr>
          <w:rFonts w:asciiTheme="minorHAnsi" w:hAnsiTheme="minorHAnsi" w:cstheme="minorHAnsi"/>
        </w:rPr>
        <w:t>: Students will not be required as part of their course to engage in any debate, academic work or assessment which could directly give rise to the potential consequences identified above (any such engagement would be purely voluntary).  Students should have appropriate choice when it comes to academic assessment.</w:t>
      </w:r>
      <w:r w:rsidR="00A37CCE" w:rsidRPr="00E14B01">
        <w:rPr>
          <w:rFonts w:asciiTheme="minorHAnsi" w:hAnsiTheme="minorHAnsi" w:cstheme="minorHAnsi"/>
        </w:rPr>
        <w:br/>
      </w:r>
      <w:r w:rsidR="002C2024" w:rsidRPr="00E14B01">
        <w:rPr>
          <w:rFonts w:asciiTheme="minorHAnsi" w:hAnsiTheme="minorHAnsi" w:cstheme="minorHAnsi"/>
          <w:b/>
        </w:rPr>
        <w:t>3.</w:t>
      </w:r>
      <w:r w:rsidR="007F6813" w:rsidRPr="00E14B01">
        <w:rPr>
          <w:rFonts w:asciiTheme="minorHAnsi" w:hAnsiTheme="minorHAnsi" w:cstheme="minorHAnsi"/>
          <w:b/>
        </w:rPr>
        <w:t>5</w:t>
      </w:r>
      <w:r w:rsidR="002C2024" w:rsidRPr="00E14B01">
        <w:rPr>
          <w:rFonts w:asciiTheme="minorHAnsi" w:hAnsiTheme="minorHAnsi" w:cstheme="minorHAnsi"/>
        </w:rPr>
        <w:t xml:space="preserve"> </w:t>
      </w:r>
      <w:r w:rsidR="00A37CCE" w:rsidRPr="00E14B01">
        <w:rPr>
          <w:rFonts w:asciiTheme="minorHAnsi" w:hAnsiTheme="minorHAnsi" w:cstheme="minorHAnsi"/>
          <w:b/>
        </w:rPr>
        <w:t>Providing PhD candidates with an o</w:t>
      </w:r>
      <w:r w:rsidR="002C2024" w:rsidRPr="00E14B01">
        <w:rPr>
          <w:rFonts w:asciiTheme="minorHAnsi" w:hAnsiTheme="minorHAnsi" w:cstheme="minorHAnsi"/>
          <w:b/>
        </w:rPr>
        <w:t>ption for</w:t>
      </w:r>
      <w:r w:rsidR="00A37CCE" w:rsidRPr="00E14B01">
        <w:rPr>
          <w:rFonts w:asciiTheme="minorHAnsi" w:hAnsiTheme="minorHAnsi" w:cstheme="minorHAnsi"/>
          <w:b/>
        </w:rPr>
        <w:t xml:space="preserve"> their </w:t>
      </w:r>
      <w:r w:rsidR="002C2024" w:rsidRPr="00E14B01">
        <w:rPr>
          <w:rFonts w:asciiTheme="minorHAnsi" w:hAnsiTheme="minorHAnsi" w:cstheme="minorHAnsi"/>
          <w:b/>
        </w:rPr>
        <w:t>thesis to remain unpublished with precautions taken in Viva/Examination process</w:t>
      </w:r>
      <w:r w:rsidR="003B309D" w:rsidRPr="00E14B01">
        <w:rPr>
          <w:rFonts w:asciiTheme="minorHAnsi" w:hAnsiTheme="minorHAnsi" w:cstheme="minorHAnsi"/>
        </w:rPr>
        <w:t>:</w:t>
      </w:r>
      <w:r w:rsidR="002C2024" w:rsidRPr="00E14B01">
        <w:rPr>
          <w:rFonts w:asciiTheme="minorHAnsi" w:hAnsiTheme="minorHAnsi" w:cstheme="minorHAnsi"/>
        </w:rPr>
        <w:t xml:space="preserve"> </w:t>
      </w:r>
      <w:r w:rsidR="00A37CCE" w:rsidRPr="00E14B01">
        <w:rPr>
          <w:rFonts w:asciiTheme="minorHAnsi" w:hAnsiTheme="minorHAnsi" w:cstheme="minorHAnsi"/>
        </w:rPr>
        <w:t xml:space="preserve">current regulations allow for </w:t>
      </w:r>
      <w:r w:rsidR="00A37CCE" w:rsidRPr="00E14B01">
        <w:rPr>
          <w:rFonts w:asciiTheme="minorHAnsi" w:hAnsiTheme="minorHAnsi" w:cstheme="minorHAnsi"/>
          <w:color w:val="000000"/>
        </w:rPr>
        <w:t>a PGR’s thesis to be embargoed for either 5 years or indefinitely. On case by case basis and subject to prior agreement between the supervisor and PGR, the automatic open access after 1 year would be overridden to protect the PGR</w:t>
      </w:r>
      <w:r w:rsidR="00083E6B">
        <w:rPr>
          <w:rFonts w:asciiTheme="minorHAnsi" w:hAnsiTheme="minorHAnsi" w:cstheme="minorHAnsi"/>
          <w:color w:val="000000"/>
        </w:rPr>
        <w:t>.</w:t>
      </w:r>
    </w:p>
    <w:sectPr w:rsidR="0003746A" w:rsidRPr="00E14B01" w:rsidSect="0003746A">
      <w:footerReference w:type="default" r:id="rId12"/>
      <w:pgSz w:w="11901" w:h="16817" w:code="9"/>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6E73F" w14:textId="77777777" w:rsidR="00CC6D3A" w:rsidRDefault="00CC6D3A" w:rsidP="00741884">
      <w:r>
        <w:separator/>
      </w:r>
    </w:p>
  </w:endnote>
  <w:endnote w:type="continuationSeparator" w:id="0">
    <w:p w14:paraId="122423E8" w14:textId="77777777" w:rsidR="00CC6D3A" w:rsidRDefault="00CC6D3A" w:rsidP="0074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altName w:val="Franklin Gothic 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093961"/>
      <w:docPartObj>
        <w:docPartGallery w:val="Page Numbers (Bottom of Page)"/>
        <w:docPartUnique/>
      </w:docPartObj>
    </w:sdtPr>
    <w:sdtEndPr>
      <w:rPr>
        <w:noProof/>
        <w:sz w:val="20"/>
      </w:rPr>
    </w:sdtEndPr>
    <w:sdtContent>
      <w:p w14:paraId="6FD9280E" w14:textId="13FC67DA" w:rsidR="00B27687" w:rsidRPr="00B27687" w:rsidRDefault="00B27687">
        <w:pPr>
          <w:pStyle w:val="Footer"/>
          <w:jc w:val="right"/>
          <w:rPr>
            <w:sz w:val="20"/>
          </w:rPr>
        </w:pPr>
        <w:r w:rsidRPr="00B27687">
          <w:rPr>
            <w:sz w:val="20"/>
          </w:rPr>
          <w:fldChar w:fldCharType="begin"/>
        </w:r>
        <w:r w:rsidRPr="00B27687">
          <w:rPr>
            <w:sz w:val="20"/>
          </w:rPr>
          <w:instrText xml:space="preserve"> PAGE   \* MERGEFORMAT </w:instrText>
        </w:r>
        <w:r w:rsidRPr="00B27687">
          <w:rPr>
            <w:sz w:val="20"/>
          </w:rPr>
          <w:fldChar w:fldCharType="separate"/>
        </w:r>
        <w:r w:rsidR="00927918">
          <w:rPr>
            <w:noProof/>
            <w:sz w:val="20"/>
          </w:rPr>
          <w:t>2</w:t>
        </w:r>
        <w:r w:rsidRPr="00B27687">
          <w:rPr>
            <w:noProof/>
            <w:sz w:val="20"/>
          </w:rPr>
          <w:fldChar w:fldCharType="end"/>
        </w:r>
      </w:p>
    </w:sdtContent>
  </w:sdt>
  <w:p w14:paraId="78E282DD" w14:textId="77777777" w:rsidR="00B27687" w:rsidRDefault="00B2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B16D" w14:textId="77777777" w:rsidR="00CC6D3A" w:rsidRDefault="00CC6D3A" w:rsidP="00741884">
      <w:r>
        <w:separator/>
      </w:r>
    </w:p>
  </w:footnote>
  <w:footnote w:type="continuationSeparator" w:id="0">
    <w:p w14:paraId="2C2DA537" w14:textId="77777777" w:rsidR="00CC6D3A" w:rsidRDefault="00CC6D3A" w:rsidP="0074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AA9"/>
    <w:multiLevelType w:val="hybridMultilevel"/>
    <w:tmpl w:val="C64CE25C"/>
    <w:lvl w:ilvl="0" w:tplc="D0643E06">
      <w:start w:val="3"/>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72C84"/>
    <w:multiLevelType w:val="multilevel"/>
    <w:tmpl w:val="2132E2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13CA7"/>
    <w:multiLevelType w:val="hybridMultilevel"/>
    <w:tmpl w:val="24264022"/>
    <w:lvl w:ilvl="0" w:tplc="08090017">
      <w:start w:val="1"/>
      <w:numFmt w:val="lowerLetter"/>
      <w:lvlText w:val="%1)"/>
      <w:lvlJc w:val="left"/>
      <w:pPr>
        <w:ind w:left="783" w:hanging="360"/>
      </w:pPr>
    </w:lvl>
    <w:lvl w:ilvl="1" w:tplc="08090019">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 w15:restartNumberingAfterBreak="0">
    <w:nsid w:val="1A7C4177"/>
    <w:multiLevelType w:val="hybridMultilevel"/>
    <w:tmpl w:val="C1021624"/>
    <w:lvl w:ilvl="0" w:tplc="0220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F6ED2"/>
    <w:multiLevelType w:val="hybridMultilevel"/>
    <w:tmpl w:val="7E061E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304A7C"/>
    <w:multiLevelType w:val="multilevel"/>
    <w:tmpl w:val="F7505F96"/>
    <w:lvl w:ilvl="0">
      <w:start w:val="1"/>
      <w:numFmt w:val="decimal"/>
      <w:lvlText w:val="%1."/>
      <w:lvlJc w:val="left"/>
      <w:pPr>
        <w:ind w:left="720" w:hanging="360"/>
      </w:pPr>
      <w:rPr>
        <w:rFonts w:hint="default"/>
        <w:sz w:val="22"/>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 w15:restartNumberingAfterBreak="0">
    <w:nsid w:val="2708252C"/>
    <w:multiLevelType w:val="hybridMultilevel"/>
    <w:tmpl w:val="A65E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251A91"/>
    <w:multiLevelType w:val="hybridMultilevel"/>
    <w:tmpl w:val="223487E4"/>
    <w:lvl w:ilvl="0" w:tplc="A0B8504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434AF"/>
    <w:multiLevelType w:val="hybridMultilevel"/>
    <w:tmpl w:val="A880DD6C"/>
    <w:lvl w:ilvl="0" w:tplc="FFFADA3A">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3D35692"/>
    <w:multiLevelType w:val="hybridMultilevel"/>
    <w:tmpl w:val="ED24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9A6E35"/>
    <w:multiLevelType w:val="hybridMultilevel"/>
    <w:tmpl w:val="46D2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75528"/>
    <w:multiLevelType w:val="hybridMultilevel"/>
    <w:tmpl w:val="BF4420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E8121B"/>
    <w:multiLevelType w:val="hybridMultilevel"/>
    <w:tmpl w:val="8C5E5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54B25"/>
    <w:multiLevelType w:val="hybridMultilevel"/>
    <w:tmpl w:val="44947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4B1776FE"/>
    <w:multiLevelType w:val="hybridMultilevel"/>
    <w:tmpl w:val="268871DE"/>
    <w:lvl w:ilvl="0" w:tplc="9A842A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23BF3"/>
    <w:multiLevelType w:val="hybridMultilevel"/>
    <w:tmpl w:val="438600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6AF16513"/>
    <w:multiLevelType w:val="hybridMultilevel"/>
    <w:tmpl w:val="E8CEBE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AC1113"/>
    <w:multiLevelType w:val="hybridMultilevel"/>
    <w:tmpl w:val="2772A54E"/>
    <w:lvl w:ilvl="0" w:tplc="365EFB4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9C9550B"/>
    <w:multiLevelType w:val="hybridMultilevel"/>
    <w:tmpl w:val="A7562C48"/>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7A026FCC"/>
    <w:multiLevelType w:val="hybridMultilevel"/>
    <w:tmpl w:val="95488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0A6B49"/>
    <w:multiLevelType w:val="hybridMultilevel"/>
    <w:tmpl w:val="CBD4355C"/>
    <w:lvl w:ilvl="0" w:tplc="B2B8BA38">
      <w:start w:val="2"/>
      <w:numFmt w:val="decimal"/>
      <w:lvlText w:val="%1."/>
      <w:lvlJc w:val="left"/>
      <w:pPr>
        <w:tabs>
          <w:tab w:val="num" w:pos="720"/>
        </w:tabs>
        <w:ind w:left="720" w:hanging="360"/>
      </w:pPr>
      <w:rPr>
        <w:rFonts w:hint="default"/>
      </w:rPr>
    </w:lvl>
    <w:lvl w:ilvl="1" w:tplc="8F80AEA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EF331F"/>
    <w:multiLevelType w:val="hybridMultilevel"/>
    <w:tmpl w:val="076AD966"/>
    <w:lvl w:ilvl="0" w:tplc="8DDEE38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9"/>
  </w:num>
  <w:num w:numId="2">
    <w:abstractNumId w:val="6"/>
  </w:num>
  <w:num w:numId="3">
    <w:abstractNumId w:val="9"/>
  </w:num>
  <w:num w:numId="4">
    <w:abstractNumId w:val="12"/>
  </w:num>
  <w:num w:numId="5">
    <w:abstractNumId w:val="20"/>
  </w:num>
  <w:num w:numId="6">
    <w:abstractNumId w:val="5"/>
  </w:num>
  <w:num w:numId="7">
    <w:abstractNumId w:val="13"/>
  </w:num>
  <w:num w:numId="8">
    <w:abstractNumId w:val="18"/>
  </w:num>
  <w:num w:numId="9">
    <w:abstractNumId w:val="0"/>
  </w:num>
  <w:num w:numId="10">
    <w:abstractNumId w:val="14"/>
  </w:num>
  <w:num w:numId="11">
    <w:abstractNumId w:val="21"/>
  </w:num>
  <w:num w:numId="12">
    <w:abstractNumId w:val="17"/>
  </w:num>
  <w:num w:numId="13">
    <w:abstractNumId w:val="10"/>
  </w:num>
  <w:num w:numId="14">
    <w:abstractNumId w:val="16"/>
  </w:num>
  <w:num w:numId="15">
    <w:abstractNumId w:val="2"/>
  </w:num>
  <w:num w:numId="16">
    <w:abstractNumId w:val="19"/>
  </w:num>
  <w:num w:numId="17">
    <w:abstractNumId w:val="3"/>
  </w:num>
  <w:num w:numId="18">
    <w:abstractNumId w:val="4"/>
  </w:num>
  <w:num w:numId="19">
    <w:abstractNumId w:val="7"/>
  </w:num>
  <w:num w:numId="20">
    <w:abstractNumId w:val="8"/>
  </w:num>
  <w:num w:numId="21">
    <w:abstractNumId w:val="11"/>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3D"/>
    <w:rsid w:val="0003746A"/>
    <w:rsid w:val="00057972"/>
    <w:rsid w:val="00083E6B"/>
    <w:rsid w:val="00093611"/>
    <w:rsid w:val="000973D4"/>
    <w:rsid w:val="000A3E1A"/>
    <w:rsid w:val="000B77E9"/>
    <w:rsid w:val="000C1E32"/>
    <w:rsid w:val="000F5A77"/>
    <w:rsid w:val="0013717A"/>
    <w:rsid w:val="00192481"/>
    <w:rsid w:val="001B1EAE"/>
    <w:rsid w:val="001B7F1A"/>
    <w:rsid w:val="001D3E3B"/>
    <w:rsid w:val="001E6B9B"/>
    <w:rsid w:val="001F12BE"/>
    <w:rsid w:val="00202117"/>
    <w:rsid w:val="00202AF3"/>
    <w:rsid w:val="00221C0F"/>
    <w:rsid w:val="00226309"/>
    <w:rsid w:val="002B5BD9"/>
    <w:rsid w:val="002C2024"/>
    <w:rsid w:val="002E6A19"/>
    <w:rsid w:val="002F5DD0"/>
    <w:rsid w:val="0032404C"/>
    <w:rsid w:val="00333A0C"/>
    <w:rsid w:val="003400F9"/>
    <w:rsid w:val="003443FF"/>
    <w:rsid w:val="0036031E"/>
    <w:rsid w:val="00365DF6"/>
    <w:rsid w:val="00373DF7"/>
    <w:rsid w:val="0038621A"/>
    <w:rsid w:val="003B309D"/>
    <w:rsid w:val="003C3950"/>
    <w:rsid w:val="003C50EA"/>
    <w:rsid w:val="003D6B8A"/>
    <w:rsid w:val="003E704F"/>
    <w:rsid w:val="003F732D"/>
    <w:rsid w:val="004463F2"/>
    <w:rsid w:val="0045774D"/>
    <w:rsid w:val="004710FE"/>
    <w:rsid w:val="00471CF7"/>
    <w:rsid w:val="00476474"/>
    <w:rsid w:val="004917EF"/>
    <w:rsid w:val="004A3001"/>
    <w:rsid w:val="004A6F96"/>
    <w:rsid w:val="00514496"/>
    <w:rsid w:val="00517DE8"/>
    <w:rsid w:val="0052639F"/>
    <w:rsid w:val="00627059"/>
    <w:rsid w:val="006332E7"/>
    <w:rsid w:val="006371DF"/>
    <w:rsid w:val="00646137"/>
    <w:rsid w:val="006A1351"/>
    <w:rsid w:val="006B16E3"/>
    <w:rsid w:val="006C11E3"/>
    <w:rsid w:val="006E781D"/>
    <w:rsid w:val="00715862"/>
    <w:rsid w:val="00720DB0"/>
    <w:rsid w:val="00727219"/>
    <w:rsid w:val="0073540E"/>
    <w:rsid w:val="00741884"/>
    <w:rsid w:val="00742A08"/>
    <w:rsid w:val="00794394"/>
    <w:rsid w:val="007B547B"/>
    <w:rsid w:val="007C2F88"/>
    <w:rsid w:val="007D34E3"/>
    <w:rsid w:val="007D7693"/>
    <w:rsid w:val="007E6FC6"/>
    <w:rsid w:val="007E71F2"/>
    <w:rsid w:val="007F6813"/>
    <w:rsid w:val="0086413D"/>
    <w:rsid w:val="00871B02"/>
    <w:rsid w:val="00880E33"/>
    <w:rsid w:val="008C2C63"/>
    <w:rsid w:val="008F010A"/>
    <w:rsid w:val="00922D0E"/>
    <w:rsid w:val="00927918"/>
    <w:rsid w:val="00932ABF"/>
    <w:rsid w:val="0095391B"/>
    <w:rsid w:val="00954043"/>
    <w:rsid w:val="00971ACA"/>
    <w:rsid w:val="0098376A"/>
    <w:rsid w:val="00990AF8"/>
    <w:rsid w:val="009952E4"/>
    <w:rsid w:val="009A1A9D"/>
    <w:rsid w:val="009A6C30"/>
    <w:rsid w:val="009E4A2F"/>
    <w:rsid w:val="009E7A14"/>
    <w:rsid w:val="00A11CF7"/>
    <w:rsid w:val="00A35039"/>
    <w:rsid w:val="00A37CCE"/>
    <w:rsid w:val="00A46BF7"/>
    <w:rsid w:val="00A6379A"/>
    <w:rsid w:val="00A77BE0"/>
    <w:rsid w:val="00A9052A"/>
    <w:rsid w:val="00AA6508"/>
    <w:rsid w:val="00AB180E"/>
    <w:rsid w:val="00AF389B"/>
    <w:rsid w:val="00B110A4"/>
    <w:rsid w:val="00B27687"/>
    <w:rsid w:val="00B54174"/>
    <w:rsid w:val="00B86BAC"/>
    <w:rsid w:val="00B93187"/>
    <w:rsid w:val="00BA4266"/>
    <w:rsid w:val="00BE4DAF"/>
    <w:rsid w:val="00C3449B"/>
    <w:rsid w:val="00C809FA"/>
    <w:rsid w:val="00C82913"/>
    <w:rsid w:val="00CA19F8"/>
    <w:rsid w:val="00CA5DCA"/>
    <w:rsid w:val="00CC6D3A"/>
    <w:rsid w:val="00D1261C"/>
    <w:rsid w:val="00D3118C"/>
    <w:rsid w:val="00D6493A"/>
    <w:rsid w:val="00D72677"/>
    <w:rsid w:val="00DA1E55"/>
    <w:rsid w:val="00DB1DEE"/>
    <w:rsid w:val="00DC21C6"/>
    <w:rsid w:val="00DC2B61"/>
    <w:rsid w:val="00DD37D0"/>
    <w:rsid w:val="00E11F3D"/>
    <w:rsid w:val="00E14B01"/>
    <w:rsid w:val="00E16FCA"/>
    <w:rsid w:val="00E35839"/>
    <w:rsid w:val="00E418EA"/>
    <w:rsid w:val="00E436B5"/>
    <w:rsid w:val="00E63DEB"/>
    <w:rsid w:val="00E80E35"/>
    <w:rsid w:val="00EB41EA"/>
    <w:rsid w:val="00EB6870"/>
    <w:rsid w:val="00EC6B36"/>
    <w:rsid w:val="00EE1260"/>
    <w:rsid w:val="00EF3270"/>
    <w:rsid w:val="00EF60A3"/>
    <w:rsid w:val="00F02376"/>
    <w:rsid w:val="00F245E8"/>
    <w:rsid w:val="00F24A44"/>
    <w:rsid w:val="00F4523F"/>
    <w:rsid w:val="00F6636E"/>
    <w:rsid w:val="00F765AB"/>
    <w:rsid w:val="00FA0C13"/>
    <w:rsid w:val="00FB38D6"/>
    <w:rsid w:val="00FB56B7"/>
    <w:rsid w:val="00FD31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D19D7"/>
  <w15:docId w15:val="{334758D0-3AE5-8F4A-8A06-677E6B8C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13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paragraph" w:styleId="Heading2">
    <w:name w:val="heading 2"/>
    <w:basedOn w:val="Normal"/>
    <w:next w:val="Normal"/>
    <w:link w:val="Heading2Char"/>
    <w:uiPriority w:val="9"/>
    <w:semiHidden/>
    <w:unhideWhenUsed/>
    <w:qFormat/>
    <w:rsid w:val="00E436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3D"/>
    <w:rPr>
      <w:rFonts w:ascii="News Gothic" w:eastAsia="Times New Roman" w:hAnsi="News Gothic" w:cs="Times New Roman"/>
      <w:b/>
      <w:sz w:val="32"/>
      <w:szCs w:val="20"/>
    </w:rPr>
  </w:style>
  <w:style w:type="character" w:styleId="Hyperlink">
    <w:name w:val="Hyperlink"/>
    <w:uiPriority w:val="99"/>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EB68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3717A"/>
    <w:rPr>
      <w:sz w:val="16"/>
      <w:szCs w:val="16"/>
    </w:rPr>
  </w:style>
  <w:style w:type="paragraph" w:styleId="CommentText">
    <w:name w:val="annotation text"/>
    <w:basedOn w:val="Normal"/>
    <w:link w:val="CommentTextChar"/>
    <w:uiPriority w:val="99"/>
    <w:semiHidden/>
    <w:unhideWhenUsed/>
    <w:rsid w:val="0013717A"/>
    <w:rPr>
      <w:sz w:val="20"/>
    </w:rPr>
  </w:style>
  <w:style w:type="character" w:customStyle="1" w:styleId="CommentTextChar">
    <w:name w:val="Comment Text Char"/>
    <w:basedOn w:val="DefaultParagraphFont"/>
    <w:link w:val="CommentText"/>
    <w:uiPriority w:val="99"/>
    <w:semiHidden/>
    <w:rsid w:val="001371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customStyle="1" w:styleId="CommentSubjectChar">
    <w:name w:val="Comment Subject Char"/>
    <w:basedOn w:val="CommentTextChar"/>
    <w:link w:val="CommentSubject"/>
    <w:uiPriority w:val="99"/>
    <w:semiHidden/>
    <w:rsid w:val="0013717A"/>
    <w:rPr>
      <w:rFonts w:ascii="Arial" w:eastAsia="Times New Roman" w:hAnsi="Arial" w:cs="Times New Roman"/>
      <w:b/>
      <w:bCs/>
      <w:sz w:val="20"/>
      <w:szCs w:val="20"/>
    </w:rPr>
  </w:style>
  <w:style w:type="paragraph" w:styleId="Header">
    <w:name w:val="header"/>
    <w:basedOn w:val="Normal"/>
    <w:link w:val="HeaderChar"/>
    <w:uiPriority w:val="99"/>
    <w:unhideWhenUsed/>
    <w:rsid w:val="00741884"/>
    <w:pPr>
      <w:tabs>
        <w:tab w:val="center" w:pos="4513"/>
        <w:tab w:val="right" w:pos="9026"/>
      </w:tabs>
    </w:pPr>
  </w:style>
  <w:style w:type="character" w:customStyle="1" w:styleId="HeaderChar">
    <w:name w:val="Header Char"/>
    <w:basedOn w:val="DefaultParagraphFont"/>
    <w:link w:val="Header"/>
    <w:uiPriority w:val="99"/>
    <w:rsid w:val="00741884"/>
    <w:rPr>
      <w:rFonts w:ascii="Arial" w:eastAsia="Times New Roman" w:hAnsi="Arial"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customStyle="1" w:styleId="FooterChar">
    <w:name w:val="Footer Char"/>
    <w:basedOn w:val="DefaultParagraphFont"/>
    <w:link w:val="Footer"/>
    <w:uiPriority w:val="99"/>
    <w:rsid w:val="00741884"/>
    <w:rPr>
      <w:rFonts w:ascii="Arial" w:eastAsia="Times New Roman" w:hAnsi="Arial" w:cs="Times New Roman"/>
      <w:sz w:val="24"/>
      <w:szCs w:val="20"/>
    </w:rPr>
  </w:style>
  <w:style w:type="table" w:styleId="TableGrid">
    <w:name w:val="Table Grid"/>
    <w:basedOn w:val="TableNormal"/>
    <w:uiPriority w:val="39"/>
    <w:rsid w:val="0088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80E33"/>
    <w:rPr>
      <w:rFonts w:ascii="Times New Roman" w:hAnsi="Times New Roman"/>
      <w:sz w:val="20"/>
      <w:lang w:val="en-US"/>
    </w:rPr>
  </w:style>
  <w:style w:type="character" w:customStyle="1" w:styleId="FootnoteTextChar">
    <w:name w:val="Footnote Text Char"/>
    <w:basedOn w:val="DefaultParagraphFont"/>
    <w:link w:val="FootnoteText"/>
    <w:semiHidden/>
    <w:rsid w:val="00880E33"/>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880E33"/>
    <w:rPr>
      <w:vertAlign w:val="superscript"/>
    </w:rPr>
  </w:style>
  <w:style w:type="character" w:customStyle="1" w:styleId="UnresolvedMention1">
    <w:name w:val="Unresolved Mention1"/>
    <w:basedOn w:val="DefaultParagraphFont"/>
    <w:uiPriority w:val="99"/>
    <w:semiHidden/>
    <w:unhideWhenUsed/>
    <w:rsid w:val="00333A0C"/>
    <w:rPr>
      <w:color w:val="605E5C"/>
      <w:shd w:val="clear" w:color="auto" w:fill="E1DFDD"/>
    </w:rPr>
  </w:style>
  <w:style w:type="character" w:styleId="FollowedHyperlink">
    <w:name w:val="FollowedHyperlink"/>
    <w:basedOn w:val="DefaultParagraphFont"/>
    <w:uiPriority w:val="99"/>
    <w:semiHidden/>
    <w:unhideWhenUsed/>
    <w:rsid w:val="00E436B5"/>
    <w:rPr>
      <w:color w:val="800080" w:themeColor="followedHyperlink"/>
      <w:u w:val="single"/>
    </w:rPr>
  </w:style>
  <w:style w:type="character" w:customStyle="1" w:styleId="Heading2Char">
    <w:name w:val="Heading 2 Char"/>
    <w:basedOn w:val="DefaultParagraphFont"/>
    <w:link w:val="Heading2"/>
    <w:uiPriority w:val="9"/>
    <w:semiHidden/>
    <w:rsid w:val="00E436B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B16E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1217">
      <w:bodyDiv w:val="1"/>
      <w:marLeft w:val="0"/>
      <w:marRight w:val="0"/>
      <w:marTop w:val="0"/>
      <w:marBottom w:val="0"/>
      <w:divBdr>
        <w:top w:val="none" w:sz="0" w:space="0" w:color="auto"/>
        <w:left w:val="none" w:sz="0" w:space="0" w:color="auto"/>
        <w:bottom w:val="none" w:sz="0" w:space="0" w:color="auto"/>
        <w:right w:val="none" w:sz="0" w:space="0" w:color="auto"/>
      </w:divBdr>
    </w:div>
    <w:div w:id="938290447">
      <w:bodyDiv w:val="1"/>
      <w:marLeft w:val="0"/>
      <w:marRight w:val="0"/>
      <w:marTop w:val="0"/>
      <w:marBottom w:val="0"/>
      <w:divBdr>
        <w:top w:val="none" w:sz="0" w:space="0" w:color="auto"/>
        <w:left w:val="none" w:sz="0" w:space="0" w:color="auto"/>
        <w:bottom w:val="none" w:sz="0" w:space="0" w:color="auto"/>
        <w:right w:val="none" w:sz="0" w:space="0" w:color="auto"/>
      </w:divBdr>
    </w:div>
    <w:div w:id="1293899059">
      <w:bodyDiv w:val="1"/>
      <w:marLeft w:val="0"/>
      <w:marRight w:val="0"/>
      <w:marTop w:val="0"/>
      <w:marBottom w:val="0"/>
      <w:divBdr>
        <w:top w:val="none" w:sz="0" w:space="0" w:color="auto"/>
        <w:left w:val="none" w:sz="0" w:space="0" w:color="auto"/>
        <w:bottom w:val="none" w:sz="0" w:space="0" w:color="auto"/>
        <w:right w:val="none" w:sz="0" w:space="0" w:color="auto"/>
      </w:divBdr>
    </w:div>
    <w:div w:id="1777671130">
      <w:bodyDiv w:val="1"/>
      <w:marLeft w:val="0"/>
      <w:marRight w:val="0"/>
      <w:marTop w:val="0"/>
      <w:marBottom w:val="0"/>
      <w:divBdr>
        <w:top w:val="none" w:sz="0" w:space="0" w:color="auto"/>
        <w:left w:val="none" w:sz="0" w:space="0" w:color="auto"/>
        <w:bottom w:val="none" w:sz="0" w:space="0" w:color="auto"/>
        <w:right w:val="none" w:sz="0" w:space="0" w:color="auto"/>
      </w:divBdr>
    </w:div>
    <w:div w:id="1942225076">
      <w:bodyDiv w:val="1"/>
      <w:marLeft w:val="0"/>
      <w:marRight w:val="0"/>
      <w:marTop w:val="0"/>
      <w:marBottom w:val="0"/>
      <w:divBdr>
        <w:top w:val="none" w:sz="0" w:space="0" w:color="auto"/>
        <w:left w:val="none" w:sz="0" w:space="0" w:color="auto"/>
        <w:bottom w:val="none" w:sz="0" w:space="0" w:color="auto"/>
        <w:right w:val="none" w:sz="0" w:space="0" w:color="auto"/>
      </w:divBdr>
    </w:div>
    <w:div w:id="20640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ac.uk/discover/vis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2" ma:contentTypeDescription="Create a new document." ma:contentTypeScope="" ma:versionID="1d2a5aae0dae68c67d29d18073d2fded">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36ab4eeabbd8eb0c149e607af946ee02"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FBC94-40CD-4081-84B0-8339256C9205}">
  <ds:schemaRefs>
    <ds:schemaRef ds:uri="http://schemas.microsoft.com/sharepoint/v3/contenttype/forms"/>
  </ds:schemaRefs>
</ds:datastoreItem>
</file>

<file path=customXml/itemProps2.xml><?xml version="1.0" encoding="utf-8"?>
<ds:datastoreItem xmlns:ds="http://schemas.openxmlformats.org/officeDocument/2006/customXml" ds:itemID="{5CD1622F-36E5-4B81-B177-AB0B92FF5353}">
  <ds:schemaRefs>
    <ds:schemaRef ds:uri="http://purl.org/dc/elements/1.1/"/>
    <ds:schemaRef ds:uri="http://schemas.microsoft.com/office/2006/metadata/properties"/>
    <ds:schemaRef ds:uri="http://schemas.microsoft.com/office/infopath/2007/PartnerControls"/>
    <ds:schemaRef ds:uri="ce77b506-f453-4d71-892d-b0af93e47805"/>
    <ds:schemaRef ds:uri="http://purl.org/dc/terms/"/>
    <ds:schemaRef ds:uri="3adc53d9-8fbd-427e-bc68-e124dc7a04a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8320E2E-FF69-4879-83E1-8CADF620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dc:description/>
  <cp:lastModifiedBy>Lorna Pontefract</cp:lastModifiedBy>
  <cp:revision>2</cp:revision>
  <cp:lastPrinted>2020-10-20T13:46:00Z</cp:lastPrinted>
  <dcterms:created xsi:type="dcterms:W3CDTF">2021-02-11T09:26:00Z</dcterms:created>
  <dcterms:modified xsi:type="dcterms:W3CDTF">2021-02-11T09:26:00Z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