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DA512" w14:textId="77777777" w:rsidR="00F0308D" w:rsidRDefault="00F0308D">
      <w:pPr>
        <w:spacing w:line="240" w:lineRule="auto"/>
        <w:ind w:left="-420" w:right="-360"/>
        <w:rPr>
          <w:rFonts w:ascii="Calibri" w:eastAsia="Calibri" w:hAnsi="Calibri" w:cs="Calibri"/>
          <w:b/>
          <w:color w:val="942092"/>
        </w:rPr>
      </w:pPr>
      <w:bookmarkStart w:id="0" w:name="_GoBack"/>
      <w:bookmarkEnd w:id="0"/>
    </w:p>
    <w:p w14:paraId="796261CD" w14:textId="77777777" w:rsidR="00F0308D" w:rsidRDefault="004A11E8">
      <w:pPr>
        <w:spacing w:line="240" w:lineRule="auto"/>
        <w:ind w:left="-420" w:right="-360"/>
        <w:jc w:val="center"/>
        <w:rPr>
          <w:rFonts w:ascii="Calibri" w:eastAsia="Calibri" w:hAnsi="Calibri" w:cs="Calibri"/>
          <w:b/>
          <w:color w:val="942092"/>
        </w:rPr>
      </w:pPr>
      <w:r>
        <w:rPr>
          <w:rFonts w:ascii="Calibri" w:eastAsia="Calibri" w:hAnsi="Calibri" w:cs="Calibri"/>
          <w:b/>
          <w:color w:val="942092"/>
        </w:rPr>
        <w:t xml:space="preserve">‘How to </w:t>
      </w:r>
      <w:proofErr w:type="spellStart"/>
      <w:r>
        <w:rPr>
          <w:rFonts w:ascii="Calibri" w:eastAsia="Calibri" w:hAnsi="Calibri" w:cs="Calibri"/>
          <w:b/>
          <w:color w:val="942092"/>
        </w:rPr>
        <w:t>utilise</w:t>
      </w:r>
      <w:proofErr w:type="spellEnd"/>
      <w:r>
        <w:rPr>
          <w:rFonts w:ascii="Calibri" w:eastAsia="Calibri" w:hAnsi="Calibri" w:cs="Calibri"/>
          <w:b/>
          <w:color w:val="942092"/>
        </w:rPr>
        <w:t xml:space="preserve"> secondary data sources and an introduction to UK Data Service’ 29th January 2020 1pm- 2:30pm</w:t>
      </w:r>
    </w:p>
    <w:p w14:paraId="4E4EF380" w14:textId="77777777" w:rsidR="00F0308D" w:rsidRDefault="004A11E8">
      <w:pPr>
        <w:spacing w:line="240" w:lineRule="auto"/>
        <w:ind w:left="-420" w:right="-360"/>
        <w:jc w:val="center"/>
        <w:rPr>
          <w:rFonts w:ascii="Calibri" w:eastAsia="Calibri" w:hAnsi="Calibri" w:cs="Calibri"/>
          <w:b/>
          <w:color w:val="942092"/>
        </w:rPr>
      </w:pPr>
      <w:r>
        <w:rPr>
          <w:rFonts w:ascii="Calibri" w:eastAsia="Calibri" w:hAnsi="Calibri" w:cs="Calibri"/>
          <w:b/>
          <w:color w:val="942092"/>
        </w:rPr>
        <w:t xml:space="preserve">Speaker: Sarah King-Hele (UKDS), </w:t>
      </w:r>
      <w:proofErr w:type="spellStart"/>
      <w:r>
        <w:rPr>
          <w:rFonts w:ascii="Calibri" w:eastAsia="Calibri" w:hAnsi="Calibri" w:cs="Calibri"/>
          <w:b/>
          <w:color w:val="942092"/>
        </w:rPr>
        <w:t>Sanne</w:t>
      </w:r>
      <w:proofErr w:type="spellEnd"/>
      <w:r>
        <w:rPr>
          <w:rFonts w:ascii="Calibri" w:eastAsia="Calibri" w:hAnsi="Calibri" w:cs="Calibri"/>
          <w:b/>
          <w:color w:val="942092"/>
        </w:rPr>
        <w:t xml:space="preserve"> </w:t>
      </w:r>
      <w:proofErr w:type="spellStart"/>
      <w:r>
        <w:rPr>
          <w:rFonts w:ascii="Calibri" w:eastAsia="Calibri" w:hAnsi="Calibri" w:cs="Calibri"/>
          <w:b/>
          <w:color w:val="942092"/>
        </w:rPr>
        <w:t>Velthuis</w:t>
      </w:r>
      <w:proofErr w:type="spellEnd"/>
      <w:r>
        <w:rPr>
          <w:rFonts w:ascii="Calibri" w:eastAsia="Calibri" w:hAnsi="Calibri" w:cs="Calibri"/>
          <w:b/>
          <w:color w:val="942092"/>
        </w:rPr>
        <w:t xml:space="preserve"> (WEI) and </w:t>
      </w:r>
      <w:proofErr w:type="spellStart"/>
      <w:r>
        <w:rPr>
          <w:rFonts w:ascii="Calibri" w:eastAsia="Calibri" w:hAnsi="Calibri" w:cs="Calibri"/>
          <w:b/>
          <w:color w:val="942092"/>
        </w:rPr>
        <w:t>Ceri</w:t>
      </w:r>
      <w:proofErr w:type="spellEnd"/>
      <w:r>
        <w:rPr>
          <w:rFonts w:ascii="Calibri" w:eastAsia="Calibri" w:hAnsi="Calibri" w:cs="Calibri"/>
          <w:b/>
          <w:color w:val="942092"/>
        </w:rPr>
        <w:t xml:space="preserve"> Hughes (WEI)</w:t>
      </w:r>
    </w:p>
    <w:p w14:paraId="45E0636B" w14:textId="77777777" w:rsidR="00F0308D" w:rsidRDefault="00F0308D">
      <w:pPr>
        <w:spacing w:line="240" w:lineRule="auto"/>
        <w:ind w:left="-420" w:right="-360"/>
        <w:jc w:val="center"/>
        <w:rPr>
          <w:rFonts w:ascii="Calibri" w:eastAsia="Calibri" w:hAnsi="Calibri" w:cs="Calibri"/>
          <w:b/>
          <w:color w:val="942092"/>
        </w:rPr>
      </w:pPr>
    </w:p>
    <w:p w14:paraId="4C52EB9E" w14:textId="77777777" w:rsidR="00F0308D" w:rsidRDefault="004A11E8">
      <w:pPr>
        <w:spacing w:line="240" w:lineRule="auto"/>
        <w:ind w:left="-420" w:right="-360"/>
        <w:jc w:val="center"/>
        <w:rPr>
          <w:rFonts w:ascii="Calibri" w:eastAsia="Calibri" w:hAnsi="Calibri" w:cs="Calibri"/>
          <w:b/>
          <w:color w:val="942092"/>
        </w:rPr>
      </w:pPr>
      <w:r>
        <w:rPr>
          <w:rFonts w:ascii="Calibri" w:eastAsia="Calibri" w:hAnsi="Calibri" w:cs="Calibri"/>
          <w:b/>
          <w:color w:val="942092"/>
        </w:rPr>
        <w:t>Tackling contemporary research challenges in uncertain times</w:t>
      </w:r>
    </w:p>
    <w:p w14:paraId="2425EDE2" w14:textId="77777777" w:rsidR="00F0308D" w:rsidRDefault="004A11E8">
      <w:pPr>
        <w:spacing w:line="240" w:lineRule="auto"/>
        <w:ind w:left="-420" w:right="-360"/>
        <w:jc w:val="center"/>
        <w:rPr>
          <w:rFonts w:ascii="Calibri" w:eastAsia="Calibri" w:hAnsi="Calibri" w:cs="Calibri"/>
          <w:b/>
          <w:color w:val="942092"/>
        </w:rPr>
      </w:pPr>
      <w:r>
        <w:rPr>
          <w:rFonts w:ascii="Calibri" w:eastAsia="Calibri" w:hAnsi="Calibri" w:cs="Calibri"/>
          <w:b/>
          <w:color w:val="7980FF"/>
        </w:rPr>
        <w:t>Postgraduate Researchers’ Seminar Series</w:t>
      </w:r>
    </w:p>
    <w:p w14:paraId="5E23B6A4" w14:textId="77777777" w:rsidR="00F0308D" w:rsidRDefault="00F0308D">
      <w:pPr>
        <w:spacing w:line="240" w:lineRule="auto"/>
        <w:ind w:left="-420" w:right="-360"/>
        <w:jc w:val="both"/>
        <w:rPr>
          <w:rFonts w:ascii="Calibri" w:eastAsia="Calibri" w:hAnsi="Calibri" w:cs="Calibri"/>
          <w:b/>
          <w:color w:val="942092"/>
        </w:rPr>
      </w:pPr>
    </w:p>
    <w:p w14:paraId="1B228C9E" w14:textId="77777777" w:rsidR="00F0308D" w:rsidRDefault="004A11E8">
      <w:pPr>
        <w:spacing w:line="240" w:lineRule="auto"/>
        <w:ind w:left="-420" w:right="-360"/>
        <w:jc w:val="both"/>
        <w:rPr>
          <w:rFonts w:ascii="Calibri" w:eastAsia="Calibri" w:hAnsi="Calibri" w:cs="Calibri"/>
        </w:rPr>
      </w:pPr>
      <w:r>
        <w:rPr>
          <w:rFonts w:ascii="Calibri" w:eastAsia="Calibri" w:hAnsi="Calibri" w:cs="Calibri"/>
          <w:highlight w:val="white"/>
        </w:rPr>
        <w:t>Throughout the pandemic it has become increasingly important to access secon</w:t>
      </w:r>
      <w:r>
        <w:rPr>
          <w:rFonts w:ascii="Calibri" w:eastAsia="Calibri" w:hAnsi="Calibri" w:cs="Calibri"/>
          <w:highlight w:val="white"/>
        </w:rPr>
        <w:t xml:space="preserve">dary data sources for research. This interactive session aims to introduce PGRs to accessing and </w:t>
      </w:r>
      <w:proofErr w:type="spellStart"/>
      <w:r>
        <w:rPr>
          <w:rFonts w:ascii="Calibri" w:eastAsia="Calibri" w:hAnsi="Calibri" w:cs="Calibri"/>
          <w:highlight w:val="white"/>
        </w:rPr>
        <w:t>utilising</w:t>
      </w:r>
      <w:proofErr w:type="spellEnd"/>
      <w:r>
        <w:rPr>
          <w:rFonts w:ascii="Calibri" w:eastAsia="Calibri" w:hAnsi="Calibri" w:cs="Calibri"/>
          <w:highlight w:val="white"/>
        </w:rPr>
        <w:t xml:space="preserve"> secondary data useful for researching inequalities, in particular national-level data such as the </w:t>
      </w:r>
      <w:proofErr w:type="spellStart"/>
      <w:r>
        <w:rPr>
          <w:rFonts w:ascii="Calibri" w:eastAsia="Calibri" w:hAnsi="Calibri" w:cs="Calibri"/>
          <w:highlight w:val="white"/>
        </w:rPr>
        <w:t>Labour</w:t>
      </w:r>
      <w:proofErr w:type="spellEnd"/>
      <w:r>
        <w:rPr>
          <w:rFonts w:ascii="Calibri" w:eastAsia="Calibri" w:hAnsi="Calibri" w:cs="Calibri"/>
          <w:highlight w:val="white"/>
        </w:rPr>
        <w:t xml:space="preserve"> Force Survey (LFS), Understanding Society, </w:t>
      </w:r>
      <w:r>
        <w:rPr>
          <w:rFonts w:ascii="Roboto" w:eastAsia="Roboto" w:hAnsi="Roboto" w:cs="Roboto"/>
          <w:color w:val="3C4043"/>
          <w:sz w:val="21"/>
          <w:szCs w:val="21"/>
          <w:highlight w:val="white"/>
        </w:rPr>
        <w:t>W</w:t>
      </w:r>
      <w:r>
        <w:rPr>
          <w:rFonts w:ascii="Roboto" w:eastAsia="Roboto" w:hAnsi="Roboto" w:cs="Roboto"/>
          <w:color w:val="3C4043"/>
          <w:sz w:val="21"/>
          <w:szCs w:val="21"/>
          <w:highlight w:val="white"/>
        </w:rPr>
        <w:t>orkplace Employment Relations Study (</w:t>
      </w:r>
      <w:r>
        <w:rPr>
          <w:rFonts w:ascii="Calibri" w:eastAsia="Calibri" w:hAnsi="Calibri" w:cs="Calibri"/>
          <w:highlight w:val="white"/>
        </w:rPr>
        <w:t xml:space="preserve">WERS), UK census data </w:t>
      </w:r>
      <w:proofErr w:type="spellStart"/>
      <w:proofErr w:type="gramStart"/>
      <w:r>
        <w:rPr>
          <w:rFonts w:ascii="Calibri" w:eastAsia="Calibri" w:hAnsi="Calibri" w:cs="Calibri"/>
          <w:highlight w:val="white"/>
        </w:rPr>
        <w:t>etc</w:t>
      </w:r>
      <w:proofErr w:type="spellEnd"/>
      <w:r>
        <w:rPr>
          <w:rFonts w:ascii="Calibri" w:eastAsia="Calibri" w:hAnsi="Calibri" w:cs="Calibri"/>
          <w:highlight w:val="white"/>
        </w:rPr>
        <w:t xml:space="preserve"> .</w:t>
      </w:r>
      <w:proofErr w:type="gramEnd"/>
      <w:r>
        <w:rPr>
          <w:rFonts w:ascii="Calibri" w:eastAsia="Calibri" w:hAnsi="Calibri" w:cs="Calibri"/>
          <w:highlight w:val="white"/>
        </w:rPr>
        <w:t xml:space="preserve"> </w:t>
      </w:r>
      <w:r>
        <w:rPr>
          <w:rFonts w:ascii="Calibri" w:eastAsia="Calibri" w:hAnsi="Calibri" w:cs="Calibri"/>
          <w:b/>
          <w:highlight w:val="white"/>
        </w:rPr>
        <w:t>Sarah King-Hele</w:t>
      </w:r>
      <w:r>
        <w:rPr>
          <w:rFonts w:ascii="Calibri" w:eastAsia="Calibri" w:hAnsi="Calibri" w:cs="Calibri"/>
          <w:highlight w:val="white"/>
        </w:rPr>
        <w:t xml:space="preserve"> from the </w:t>
      </w:r>
      <w:r>
        <w:rPr>
          <w:rFonts w:ascii="Calibri" w:eastAsia="Calibri" w:hAnsi="Calibri" w:cs="Calibri"/>
          <w:b/>
          <w:highlight w:val="white"/>
        </w:rPr>
        <w:t>UK Data Service</w:t>
      </w:r>
      <w:r>
        <w:rPr>
          <w:rFonts w:ascii="Calibri" w:eastAsia="Calibri" w:hAnsi="Calibri" w:cs="Calibri"/>
          <w:highlight w:val="white"/>
        </w:rPr>
        <w:t xml:space="preserve"> will discuss what data is available for researchers and how to access it. </w:t>
      </w:r>
      <w:proofErr w:type="spellStart"/>
      <w:r>
        <w:rPr>
          <w:rFonts w:ascii="Calibri" w:eastAsia="Calibri" w:hAnsi="Calibri" w:cs="Calibri"/>
          <w:b/>
          <w:highlight w:val="white"/>
        </w:rPr>
        <w:t>Ceri</w:t>
      </w:r>
      <w:proofErr w:type="spellEnd"/>
      <w:r>
        <w:rPr>
          <w:rFonts w:ascii="Calibri" w:eastAsia="Calibri" w:hAnsi="Calibri" w:cs="Calibri"/>
          <w:b/>
          <w:highlight w:val="white"/>
        </w:rPr>
        <w:t xml:space="preserve"> Hughes and </w:t>
      </w:r>
      <w:proofErr w:type="spellStart"/>
      <w:r>
        <w:rPr>
          <w:rFonts w:ascii="Calibri" w:eastAsia="Calibri" w:hAnsi="Calibri" w:cs="Calibri"/>
          <w:b/>
          <w:highlight w:val="white"/>
        </w:rPr>
        <w:t>Sanne</w:t>
      </w:r>
      <w:proofErr w:type="spellEnd"/>
      <w:r>
        <w:rPr>
          <w:rFonts w:ascii="Calibri" w:eastAsia="Calibri" w:hAnsi="Calibri" w:cs="Calibri"/>
          <w:b/>
          <w:highlight w:val="white"/>
        </w:rPr>
        <w:t xml:space="preserve"> </w:t>
      </w:r>
      <w:proofErr w:type="spellStart"/>
      <w:r>
        <w:rPr>
          <w:rFonts w:ascii="Calibri" w:eastAsia="Calibri" w:hAnsi="Calibri" w:cs="Calibri"/>
          <w:b/>
          <w:highlight w:val="white"/>
        </w:rPr>
        <w:t>Velthuis</w:t>
      </w:r>
      <w:proofErr w:type="spellEnd"/>
      <w:r>
        <w:rPr>
          <w:rFonts w:ascii="Calibri" w:eastAsia="Calibri" w:hAnsi="Calibri" w:cs="Calibri"/>
          <w:b/>
          <w:highlight w:val="white"/>
        </w:rPr>
        <w:t xml:space="preserve"> </w:t>
      </w:r>
      <w:r>
        <w:rPr>
          <w:rFonts w:ascii="Calibri" w:eastAsia="Calibri" w:hAnsi="Calibri" w:cs="Calibri"/>
          <w:highlight w:val="white"/>
        </w:rPr>
        <w:t xml:space="preserve">from the </w:t>
      </w:r>
      <w:r>
        <w:rPr>
          <w:rFonts w:ascii="Calibri" w:eastAsia="Calibri" w:hAnsi="Calibri" w:cs="Calibri"/>
          <w:b/>
          <w:highlight w:val="white"/>
        </w:rPr>
        <w:t>Work and Equalities Institute</w:t>
      </w:r>
      <w:r>
        <w:rPr>
          <w:rFonts w:ascii="Calibri" w:eastAsia="Calibri" w:hAnsi="Calibri" w:cs="Calibri"/>
          <w:highlight w:val="white"/>
        </w:rPr>
        <w:t xml:space="preserve"> regula</w:t>
      </w:r>
      <w:r>
        <w:rPr>
          <w:rFonts w:ascii="Calibri" w:eastAsia="Calibri" w:hAnsi="Calibri" w:cs="Calibri"/>
          <w:highlight w:val="white"/>
        </w:rPr>
        <w:t xml:space="preserve">rly use these resources in their own research and will discuss how they use this data and how to get started. </w:t>
      </w:r>
      <w:r>
        <w:rPr>
          <w:rFonts w:ascii="Calibri" w:eastAsia="Calibri" w:hAnsi="Calibri" w:cs="Calibri"/>
        </w:rPr>
        <w:t xml:space="preserve">This session will also provide an opportunity for </w:t>
      </w:r>
      <w:r>
        <w:rPr>
          <w:rFonts w:ascii="Calibri" w:eastAsia="Calibri" w:hAnsi="Calibri" w:cs="Calibri"/>
          <w:b/>
          <w:u w:val="single"/>
        </w:rPr>
        <w:t>PGRs to share some of their concerns</w:t>
      </w:r>
      <w:r>
        <w:rPr>
          <w:rFonts w:ascii="Calibri" w:eastAsia="Calibri" w:hAnsi="Calibri" w:cs="Calibri"/>
        </w:rPr>
        <w:t xml:space="preserve"> and talk through </w:t>
      </w:r>
      <w:r>
        <w:rPr>
          <w:rFonts w:ascii="Calibri" w:eastAsia="Calibri" w:hAnsi="Calibri" w:cs="Calibri"/>
          <w:b/>
          <w:u w:val="single"/>
        </w:rPr>
        <w:t>practical solutions on how to use these se</w:t>
      </w:r>
      <w:r>
        <w:rPr>
          <w:rFonts w:ascii="Calibri" w:eastAsia="Calibri" w:hAnsi="Calibri" w:cs="Calibri"/>
          <w:b/>
          <w:u w:val="single"/>
        </w:rPr>
        <w:t xml:space="preserve">condary sources for </w:t>
      </w:r>
      <w:r>
        <w:rPr>
          <w:rFonts w:ascii="Calibri" w:eastAsia="Calibri" w:hAnsi="Calibri" w:cs="Calibri"/>
        </w:rPr>
        <w:t>their projects within the current context. This session will be tailored to your interests hence we will be collecting questions before 16th January:</w:t>
      </w:r>
    </w:p>
    <w:p w14:paraId="1779577A" w14:textId="77777777" w:rsidR="00F0308D" w:rsidRDefault="00F0308D">
      <w:pPr>
        <w:spacing w:line="240" w:lineRule="auto"/>
        <w:ind w:left="-420" w:right="-360"/>
        <w:jc w:val="center"/>
        <w:rPr>
          <w:rFonts w:ascii="Calibri" w:eastAsia="Calibri" w:hAnsi="Calibri" w:cs="Calibri"/>
        </w:rPr>
      </w:pPr>
    </w:p>
    <w:p w14:paraId="251DA123" w14:textId="77777777" w:rsidR="00F0308D" w:rsidRDefault="004A11E8">
      <w:pPr>
        <w:spacing w:line="240" w:lineRule="auto"/>
        <w:ind w:left="-420" w:right="-360"/>
        <w:jc w:val="center"/>
        <w:rPr>
          <w:rFonts w:ascii="Calibri" w:eastAsia="Calibri" w:hAnsi="Calibri" w:cs="Calibri"/>
          <w:b/>
        </w:rPr>
      </w:pPr>
      <w:r>
        <w:rPr>
          <w:rFonts w:ascii="Calibri" w:eastAsia="Calibri" w:hAnsi="Calibri" w:cs="Calibri"/>
          <w:b/>
        </w:rPr>
        <w:t xml:space="preserve">To Submit Questions: </w:t>
      </w:r>
      <w:hyperlink r:id="rId6">
        <w:r>
          <w:rPr>
            <w:rFonts w:ascii="Calibri" w:eastAsia="Calibri" w:hAnsi="Calibri" w:cs="Calibri"/>
            <w:b/>
            <w:color w:val="1155CC"/>
            <w:u w:val="single"/>
          </w:rPr>
          <w:t>https://docs.google.com/document/d/1Le5vdBf8kZ3cv9vN6NlmI5Q-X_a4kh7vgTbkc8yQ2LA/edit?usp=sharing</w:t>
        </w:r>
      </w:hyperlink>
      <w:r>
        <w:rPr>
          <w:rFonts w:ascii="Calibri" w:eastAsia="Calibri" w:hAnsi="Calibri" w:cs="Calibri"/>
          <w:b/>
        </w:rPr>
        <w:t xml:space="preserve"> </w:t>
      </w:r>
    </w:p>
    <w:p w14:paraId="7CBB8FEE" w14:textId="77777777" w:rsidR="00F0308D" w:rsidRDefault="00F0308D">
      <w:pPr>
        <w:spacing w:line="240" w:lineRule="auto"/>
        <w:ind w:left="-420" w:right="-360"/>
        <w:jc w:val="center"/>
        <w:rPr>
          <w:rFonts w:ascii="Calibri" w:eastAsia="Calibri" w:hAnsi="Calibri" w:cs="Calibri"/>
          <w:b/>
        </w:rPr>
      </w:pPr>
    </w:p>
    <w:p w14:paraId="428DA3F5" w14:textId="77777777" w:rsidR="00F0308D" w:rsidRDefault="004A11E8">
      <w:pPr>
        <w:spacing w:line="240" w:lineRule="auto"/>
        <w:ind w:left="-420" w:right="-360"/>
        <w:jc w:val="center"/>
        <w:rPr>
          <w:rFonts w:ascii="Calibri" w:eastAsia="Calibri" w:hAnsi="Calibri" w:cs="Calibri"/>
          <w:b/>
        </w:rPr>
      </w:pPr>
      <w:r>
        <w:rPr>
          <w:rFonts w:ascii="Calibri" w:eastAsia="Calibri" w:hAnsi="Calibri" w:cs="Calibri"/>
          <w:b/>
        </w:rPr>
        <w:t xml:space="preserve">Event Registration: </w:t>
      </w:r>
    </w:p>
    <w:p w14:paraId="4ED7C9A4" w14:textId="77777777" w:rsidR="00F0308D" w:rsidRDefault="004A11E8">
      <w:pPr>
        <w:spacing w:line="240" w:lineRule="auto"/>
        <w:ind w:left="-420" w:right="-360"/>
        <w:jc w:val="center"/>
        <w:rPr>
          <w:rFonts w:ascii="Calibri" w:eastAsia="Calibri" w:hAnsi="Calibri" w:cs="Calibri"/>
          <w:b/>
        </w:rPr>
      </w:pPr>
      <w:hyperlink r:id="rId7">
        <w:r>
          <w:rPr>
            <w:rFonts w:ascii="Calibri" w:eastAsia="Calibri" w:hAnsi="Calibri" w:cs="Calibri"/>
            <w:b/>
            <w:color w:val="1155CC"/>
            <w:u w:val="single"/>
          </w:rPr>
          <w:t>https://www.eventbrite.co.uk/e/how-to-utilise-secondary-data-sources-tickets-135319495253</w:t>
        </w:r>
      </w:hyperlink>
      <w:r>
        <w:rPr>
          <w:rFonts w:ascii="Calibri" w:eastAsia="Calibri" w:hAnsi="Calibri" w:cs="Calibri"/>
          <w:b/>
        </w:rPr>
        <w:t xml:space="preserve"> </w:t>
      </w:r>
    </w:p>
    <w:p w14:paraId="475F7809" w14:textId="77777777" w:rsidR="00F0308D" w:rsidRDefault="004A11E8">
      <w:pPr>
        <w:spacing w:line="240" w:lineRule="auto"/>
        <w:ind w:left="-420" w:right="-360"/>
        <w:jc w:val="center"/>
        <w:rPr>
          <w:rFonts w:ascii="Calibri" w:eastAsia="Calibri" w:hAnsi="Calibri" w:cs="Calibri"/>
          <w:b/>
        </w:rPr>
      </w:pPr>
      <w:r>
        <w:rPr>
          <w:noProof/>
        </w:rPr>
        <w:drawing>
          <wp:anchor distT="114300" distB="114300" distL="114300" distR="114300" simplePos="0" relativeHeight="251658240" behindDoc="0" locked="0" layoutInCell="1" hidden="0" allowOverlap="1" wp14:anchorId="75C77047" wp14:editId="7F2B3E6A">
            <wp:simplePos x="0" y="0"/>
            <wp:positionH relativeFrom="column">
              <wp:posOffset>-19049</wp:posOffset>
            </wp:positionH>
            <wp:positionV relativeFrom="paragraph">
              <wp:posOffset>172368</wp:posOffset>
            </wp:positionV>
            <wp:extent cx="885825" cy="885825"/>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85825" cy="885825"/>
                    </a:xfrm>
                    <a:prstGeom prst="rect">
                      <a:avLst/>
                    </a:prstGeom>
                    <a:ln/>
                  </pic:spPr>
                </pic:pic>
              </a:graphicData>
            </a:graphic>
          </wp:anchor>
        </w:drawing>
      </w:r>
    </w:p>
    <w:p w14:paraId="348CDAD8" w14:textId="77777777" w:rsidR="00F0308D" w:rsidRDefault="004A11E8">
      <w:pPr>
        <w:spacing w:line="240" w:lineRule="auto"/>
        <w:ind w:right="-360"/>
        <w:jc w:val="both"/>
        <w:rPr>
          <w:rFonts w:ascii="Calibri" w:eastAsia="Calibri" w:hAnsi="Calibri" w:cs="Calibri"/>
          <w:color w:val="201F1E"/>
          <w:highlight w:val="white"/>
        </w:rPr>
      </w:pPr>
      <w:proofErr w:type="spellStart"/>
      <w:r>
        <w:rPr>
          <w:rFonts w:ascii="Calibri" w:eastAsia="Calibri" w:hAnsi="Calibri" w:cs="Calibri"/>
          <w:b/>
          <w:color w:val="201F1E"/>
          <w:highlight w:val="white"/>
        </w:rPr>
        <w:t>Ceri</w:t>
      </w:r>
      <w:proofErr w:type="spellEnd"/>
      <w:r>
        <w:rPr>
          <w:rFonts w:ascii="Calibri" w:eastAsia="Calibri" w:hAnsi="Calibri" w:cs="Calibri"/>
          <w:b/>
          <w:color w:val="201F1E"/>
          <w:highlight w:val="white"/>
        </w:rPr>
        <w:t xml:space="preserve"> Hughes </w:t>
      </w:r>
      <w:r>
        <w:rPr>
          <w:rFonts w:ascii="Calibri" w:eastAsia="Calibri" w:hAnsi="Calibri" w:cs="Calibri"/>
          <w:color w:val="201F1E"/>
          <w:highlight w:val="white"/>
        </w:rPr>
        <w:t>is a mixed methods researcher with interests</w:t>
      </w:r>
      <w:r>
        <w:rPr>
          <w:rFonts w:ascii="Calibri" w:eastAsia="Calibri" w:hAnsi="Calibri" w:cs="Calibri"/>
          <w:color w:val="201F1E"/>
          <w:highlight w:val="white"/>
        </w:rPr>
        <w:t xml:space="preserve"> in the interaction between social security policies and low-wage employment. She currently works as a Research Associate at the Work and Equalities Institute at the University of Manchester while completing her PhD at the London School of Economics and Po</w:t>
      </w:r>
      <w:r>
        <w:rPr>
          <w:rFonts w:ascii="Calibri" w:eastAsia="Calibri" w:hAnsi="Calibri" w:cs="Calibri"/>
          <w:color w:val="201F1E"/>
          <w:highlight w:val="white"/>
        </w:rPr>
        <w:t xml:space="preserve">litical Science. Her quantitative research experience includes analysis of the </w:t>
      </w:r>
      <w:proofErr w:type="spellStart"/>
      <w:r>
        <w:rPr>
          <w:rFonts w:ascii="Calibri" w:eastAsia="Calibri" w:hAnsi="Calibri" w:cs="Calibri"/>
          <w:color w:val="201F1E"/>
          <w:highlight w:val="white"/>
        </w:rPr>
        <w:t>Labour</w:t>
      </w:r>
      <w:proofErr w:type="spellEnd"/>
      <w:r>
        <w:rPr>
          <w:rFonts w:ascii="Calibri" w:eastAsia="Calibri" w:hAnsi="Calibri" w:cs="Calibri"/>
          <w:color w:val="201F1E"/>
          <w:highlight w:val="white"/>
        </w:rPr>
        <w:t xml:space="preserve"> Force Survey, the Family Resources Survey and the UK Time Use Survey</w:t>
      </w:r>
      <w:r>
        <w:rPr>
          <w:noProof/>
        </w:rPr>
        <w:drawing>
          <wp:anchor distT="114300" distB="114300" distL="114300" distR="114300" simplePos="0" relativeHeight="251659264" behindDoc="0" locked="0" layoutInCell="1" hidden="0" allowOverlap="1" wp14:anchorId="390654A1" wp14:editId="42E98286">
            <wp:simplePos x="0" y="0"/>
            <wp:positionH relativeFrom="column">
              <wp:posOffset>-112807</wp:posOffset>
            </wp:positionH>
            <wp:positionV relativeFrom="paragraph">
              <wp:posOffset>1009650</wp:posOffset>
            </wp:positionV>
            <wp:extent cx="960533" cy="885825"/>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60533" cy="885825"/>
                    </a:xfrm>
                    <a:prstGeom prst="rect">
                      <a:avLst/>
                    </a:prstGeom>
                    <a:ln/>
                  </pic:spPr>
                </pic:pic>
              </a:graphicData>
            </a:graphic>
          </wp:anchor>
        </w:drawing>
      </w:r>
    </w:p>
    <w:p w14:paraId="1AB467B0" w14:textId="77777777" w:rsidR="00F0308D" w:rsidRDefault="00F0308D">
      <w:pPr>
        <w:spacing w:line="240" w:lineRule="auto"/>
        <w:ind w:right="-360"/>
        <w:jc w:val="both"/>
        <w:rPr>
          <w:rFonts w:ascii="Calibri" w:eastAsia="Calibri" w:hAnsi="Calibri" w:cs="Calibri"/>
          <w:b/>
          <w:color w:val="201F1E"/>
          <w:highlight w:val="white"/>
        </w:rPr>
      </w:pPr>
    </w:p>
    <w:p w14:paraId="15FA8EE6" w14:textId="77777777" w:rsidR="00F0308D" w:rsidRDefault="004A11E8">
      <w:pPr>
        <w:spacing w:line="240" w:lineRule="auto"/>
        <w:ind w:right="-360"/>
        <w:jc w:val="both"/>
        <w:rPr>
          <w:rFonts w:ascii="Calibri" w:eastAsia="Calibri" w:hAnsi="Calibri" w:cs="Calibri"/>
          <w:color w:val="201F1E"/>
          <w:highlight w:val="white"/>
        </w:rPr>
      </w:pPr>
      <w:proofErr w:type="spellStart"/>
      <w:r>
        <w:rPr>
          <w:rFonts w:ascii="Calibri" w:eastAsia="Calibri" w:hAnsi="Calibri" w:cs="Calibri"/>
          <w:b/>
          <w:color w:val="201F1E"/>
          <w:highlight w:val="white"/>
        </w:rPr>
        <w:t>Sanne</w:t>
      </w:r>
      <w:proofErr w:type="spellEnd"/>
      <w:r>
        <w:rPr>
          <w:rFonts w:ascii="Calibri" w:eastAsia="Calibri" w:hAnsi="Calibri" w:cs="Calibri"/>
          <w:b/>
          <w:color w:val="201F1E"/>
          <w:highlight w:val="white"/>
        </w:rPr>
        <w:t xml:space="preserve"> </w:t>
      </w:r>
      <w:proofErr w:type="spellStart"/>
      <w:r>
        <w:rPr>
          <w:rFonts w:ascii="Calibri" w:eastAsia="Calibri" w:hAnsi="Calibri" w:cs="Calibri"/>
          <w:b/>
          <w:color w:val="201F1E"/>
          <w:highlight w:val="white"/>
        </w:rPr>
        <w:t>Velthuis</w:t>
      </w:r>
      <w:proofErr w:type="spellEnd"/>
      <w:r>
        <w:rPr>
          <w:rFonts w:ascii="Calibri" w:eastAsia="Calibri" w:hAnsi="Calibri" w:cs="Calibri"/>
          <w:b/>
          <w:color w:val="201F1E"/>
          <w:highlight w:val="white"/>
        </w:rPr>
        <w:t xml:space="preserve"> </w:t>
      </w:r>
      <w:r>
        <w:rPr>
          <w:rFonts w:ascii="Calibri" w:eastAsia="Calibri" w:hAnsi="Calibri" w:cs="Calibri"/>
          <w:color w:val="201F1E"/>
          <w:highlight w:val="white"/>
        </w:rPr>
        <w:t>is a Research Associate in the Work and Equalities Institute at the University of Ma</w:t>
      </w:r>
      <w:r>
        <w:rPr>
          <w:rFonts w:ascii="Calibri" w:eastAsia="Calibri" w:hAnsi="Calibri" w:cs="Calibri"/>
          <w:color w:val="201F1E"/>
          <w:highlight w:val="white"/>
        </w:rPr>
        <w:t xml:space="preserve">nchester and in the department of Sociology at the University of Warwick. She has used Understanding Society, the ONS Longitudinal Study, the </w:t>
      </w:r>
      <w:proofErr w:type="spellStart"/>
      <w:r>
        <w:rPr>
          <w:rFonts w:ascii="Calibri" w:eastAsia="Calibri" w:hAnsi="Calibri" w:cs="Calibri"/>
          <w:color w:val="201F1E"/>
          <w:highlight w:val="white"/>
        </w:rPr>
        <w:t>Labour</w:t>
      </w:r>
      <w:proofErr w:type="spellEnd"/>
      <w:r>
        <w:rPr>
          <w:rFonts w:ascii="Calibri" w:eastAsia="Calibri" w:hAnsi="Calibri" w:cs="Calibri"/>
          <w:color w:val="201F1E"/>
          <w:highlight w:val="white"/>
        </w:rPr>
        <w:t xml:space="preserve"> Force Survey, the National Pupil Database and </w:t>
      </w:r>
      <w:proofErr w:type="spellStart"/>
      <w:r>
        <w:rPr>
          <w:rFonts w:ascii="Calibri" w:eastAsia="Calibri" w:hAnsi="Calibri" w:cs="Calibri"/>
          <w:color w:val="201F1E"/>
          <w:highlight w:val="white"/>
        </w:rPr>
        <w:t>Individualised</w:t>
      </w:r>
      <w:proofErr w:type="spellEnd"/>
      <w:r>
        <w:rPr>
          <w:rFonts w:ascii="Calibri" w:eastAsia="Calibri" w:hAnsi="Calibri" w:cs="Calibri"/>
          <w:color w:val="201F1E"/>
          <w:highlight w:val="white"/>
        </w:rPr>
        <w:t xml:space="preserve"> Learner Record.</w:t>
      </w:r>
    </w:p>
    <w:p w14:paraId="4848DDBA" w14:textId="77777777" w:rsidR="00F0308D" w:rsidRDefault="004A11E8">
      <w:pPr>
        <w:spacing w:line="240" w:lineRule="auto"/>
        <w:ind w:right="-360"/>
        <w:jc w:val="both"/>
        <w:rPr>
          <w:rFonts w:ascii="Calibri" w:eastAsia="Calibri" w:hAnsi="Calibri" w:cs="Calibri"/>
          <w:b/>
          <w:color w:val="201F1E"/>
          <w:highlight w:val="white"/>
        </w:rPr>
      </w:pPr>
      <w:r>
        <w:rPr>
          <w:noProof/>
        </w:rPr>
        <w:drawing>
          <wp:anchor distT="114300" distB="114300" distL="114300" distR="114300" simplePos="0" relativeHeight="251660288" behindDoc="0" locked="0" layoutInCell="1" hidden="0" allowOverlap="1" wp14:anchorId="134126F3" wp14:editId="457FEAB4">
            <wp:simplePos x="0" y="0"/>
            <wp:positionH relativeFrom="column">
              <wp:posOffset>-123824</wp:posOffset>
            </wp:positionH>
            <wp:positionV relativeFrom="paragraph">
              <wp:posOffset>133350</wp:posOffset>
            </wp:positionV>
            <wp:extent cx="962025" cy="1028372"/>
            <wp:effectExtent l="0" t="0" r="0" b="0"/>
            <wp:wrapSquare wrapText="bothSides" distT="114300" distB="11430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962025" cy="1028372"/>
                    </a:xfrm>
                    <a:prstGeom prst="rect">
                      <a:avLst/>
                    </a:prstGeom>
                    <a:ln/>
                  </pic:spPr>
                </pic:pic>
              </a:graphicData>
            </a:graphic>
          </wp:anchor>
        </w:drawing>
      </w:r>
    </w:p>
    <w:p w14:paraId="2E6F100C" w14:textId="77777777" w:rsidR="00F0308D" w:rsidRDefault="004A11E8">
      <w:pPr>
        <w:spacing w:line="240" w:lineRule="auto"/>
        <w:ind w:right="-360"/>
        <w:jc w:val="both"/>
        <w:rPr>
          <w:rFonts w:ascii="Calibri" w:eastAsia="Calibri" w:hAnsi="Calibri" w:cs="Calibri"/>
        </w:rPr>
      </w:pPr>
      <w:r>
        <w:rPr>
          <w:rFonts w:ascii="Calibri" w:eastAsia="Calibri" w:hAnsi="Calibri" w:cs="Calibri"/>
          <w:b/>
          <w:color w:val="201F1E"/>
          <w:highlight w:val="white"/>
        </w:rPr>
        <w:t xml:space="preserve">Sarah King-Hele </w:t>
      </w:r>
      <w:r>
        <w:rPr>
          <w:rFonts w:ascii="Calibri" w:eastAsia="Calibri" w:hAnsi="Calibri" w:cs="Calibri"/>
          <w:color w:val="201F1E"/>
          <w:highlight w:val="white"/>
        </w:rPr>
        <w:t>has worked i</w:t>
      </w:r>
      <w:r>
        <w:rPr>
          <w:rFonts w:ascii="Calibri" w:eastAsia="Calibri" w:hAnsi="Calibri" w:cs="Calibri"/>
          <w:color w:val="201F1E"/>
          <w:highlight w:val="white"/>
        </w:rPr>
        <w:t>n user support and training for the UK Data Service since 2010.  Based at CMI at the University of Manchester, she has used administrative data and survey data in the fields of psychiatry and personal religiosity in western countries.</w:t>
      </w:r>
    </w:p>
    <w:sectPr w:rsidR="00F0308D">
      <w:headerReference w:type="default" r:id="rId11"/>
      <w:pgSz w:w="12240" w:h="15840"/>
      <w:pgMar w:top="1440" w:right="1260" w:bottom="1440" w:left="12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CB8BC" w14:textId="77777777" w:rsidR="004A11E8" w:rsidRDefault="004A11E8">
      <w:pPr>
        <w:spacing w:line="240" w:lineRule="auto"/>
      </w:pPr>
      <w:r>
        <w:separator/>
      </w:r>
    </w:p>
  </w:endnote>
  <w:endnote w:type="continuationSeparator" w:id="0">
    <w:p w14:paraId="50287F70" w14:textId="77777777" w:rsidR="004A11E8" w:rsidRDefault="004A1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FC0EB" w14:textId="77777777" w:rsidR="004A11E8" w:rsidRDefault="004A11E8">
      <w:pPr>
        <w:spacing w:line="240" w:lineRule="auto"/>
      </w:pPr>
      <w:r>
        <w:separator/>
      </w:r>
    </w:p>
  </w:footnote>
  <w:footnote w:type="continuationSeparator" w:id="0">
    <w:p w14:paraId="7A1404D8" w14:textId="77777777" w:rsidR="004A11E8" w:rsidRDefault="004A11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CAF7" w14:textId="77777777" w:rsidR="00F0308D" w:rsidRDefault="004A11E8">
    <w:pPr>
      <w:spacing w:line="240" w:lineRule="auto"/>
      <w:ind w:left="-420" w:right="-360"/>
      <w:jc w:val="center"/>
    </w:pPr>
    <w:r>
      <w:rPr>
        <w:rFonts w:ascii="Calibri" w:eastAsia="Calibri" w:hAnsi="Calibri" w:cs="Calibri"/>
        <w:b/>
        <w:noProof/>
        <w:color w:val="942092"/>
        <w:sz w:val="24"/>
        <w:szCs w:val="24"/>
      </w:rPr>
      <w:drawing>
        <wp:inline distT="114300" distB="114300" distL="114300" distR="114300" wp14:anchorId="4996590A" wp14:editId="27E2AA94">
          <wp:extent cx="1404938" cy="140493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404938" cy="14049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8D"/>
    <w:rsid w:val="00226B2B"/>
    <w:rsid w:val="004A11E8"/>
    <w:rsid w:val="00F03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5C91"/>
  <w15:docId w15:val="{E8688632-1CBD-4F51-A266-4D5D0805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ventbrite.co.uk/e/how-to-utilise-secondary-data-sources-tickets-13531949525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Le5vdBf8kZ3cv9vN6NlmI5Q-X_a4kh7vgTbkc8yQ2LA/edit?usp=sharin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Herman</dc:creator>
  <cp:lastModifiedBy>Eva Herman</cp:lastModifiedBy>
  <cp:revision>2</cp:revision>
  <dcterms:created xsi:type="dcterms:W3CDTF">2021-01-04T13:40:00Z</dcterms:created>
  <dcterms:modified xsi:type="dcterms:W3CDTF">2021-01-04T13:40:00Z</dcterms:modified>
</cp:coreProperties>
</file>