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1F" w:rsidRDefault="00A53DD8">
      <w:r w:rsidRPr="007A3F1F">
        <w:rPr>
          <w:noProof/>
          <w:lang w:eastAsia="en-GB"/>
        </w:rPr>
        <w:drawing>
          <wp:anchor distT="0" distB="0" distL="114300" distR="114300" simplePos="0" relativeHeight="251659264" behindDoc="0" locked="0" layoutInCell="1" allowOverlap="1">
            <wp:simplePos x="0" y="0"/>
            <wp:positionH relativeFrom="column">
              <wp:posOffset>-261952</wp:posOffset>
            </wp:positionH>
            <wp:positionV relativeFrom="paragraph">
              <wp:posOffset>-611725</wp:posOffset>
            </wp:positionV>
            <wp:extent cx="1663700" cy="711200"/>
            <wp:effectExtent l="0" t="0" r="0" b="0"/>
            <wp:wrapNone/>
            <wp:docPr id="7" name="Picture 5"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_col_white_background.eps"/>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A3F1F">
        <w:rPr>
          <w:noProof/>
          <w:lang w:eastAsia="en-GB"/>
        </w:rPr>
        <w:drawing>
          <wp:anchor distT="0" distB="0" distL="114300" distR="114300" simplePos="0" relativeHeight="251658240" behindDoc="0" locked="0" layoutInCell="1" allowOverlap="1">
            <wp:simplePos x="0" y="0"/>
            <wp:positionH relativeFrom="page">
              <wp:posOffset>5963478</wp:posOffset>
            </wp:positionH>
            <wp:positionV relativeFrom="paragraph">
              <wp:posOffset>-914400</wp:posOffset>
            </wp:positionV>
            <wp:extent cx="1597550" cy="1437795"/>
            <wp:effectExtent l="0" t="0" r="3175" b="0"/>
            <wp:wrapNone/>
            <wp:docPr id="3" name="Picture 2" descr="SL&amp;D whit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L&amp;D white block.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3049" cy="1451744"/>
                    </a:xfrm>
                    <a:prstGeom prst="rect">
                      <a:avLst/>
                    </a:prstGeom>
                  </pic:spPr>
                </pic:pic>
              </a:graphicData>
            </a:graphic>
            <wp14:sizeRelH relativeFrom="page">
              <wp14:pctWidth>0</wp14:pctWidth>
            </wp14:sizeRelH>
            <wp14:sizeRelV relativeFrom="page">
              <wp14:pctHeight>0</wp14:pctHeight>
            </wp14:sizeRelV>
          </wp:anchor>
        </w:drawing>
      </w:r>
    </w:p>
    <w:p w:rsidR="007A3F1F" w:rsidRDefault="007A3F1F" w:rsidP="00A53DD8">
      <w:pPr>
        <w:pStyle w:val="Heading1"/>
        <w:spacing w:before="0" w:after="240"/>
      </w:pPr>
      <w:r>
        <w:t>Change Leadership Skill</w:t>
      </w:r>
      <w:r w:rsidR="002564E0">
        <w:t>s</w:t>
      </w:r>
      <w:r>
        <w:t xml:space="preserve"> Framework: </w:t>
      </w:r>
      <w:r w:rsidR="009D49CC">
        <w:rPr>
          <w:i/>
        </w:rPr>
        <w:t>Inclusive Leadership</w:t>
      </w:r>
    </w:p>
    <w:p w:rsidR="007A3F1F" w:rsidRDefault="007A3F1F" w:rsidP="007A3F1F">
      <w:pPr>
        <w:pStyle w:val="Heading2"/>
        <w:spacing w:after="120"/>
      </w:pPr>
      <w:r>
        <w:t>Definition</w:t>
      </w:r>
    </w:p>
    <w:p w:rsidR="00B6212F" w:rsidRDefault="009D49CC" w:rsidP="005645CB">
      <w:pPr>
        <w:spacing w:after="120"/>
      </w:pPr>
      <w:r>
        <w:rPr>
          <w:i/>
        </w:rPr>
        <w:t>Inclusive Leadership</w:t>
      </w:r>
      <w:r w:rsidR="00B6212F">
        <w:t xml:space="preserve"> is </w:t>
      </w:r>
      <w:r w:rsidR="002B6D06" w:rsidRPr="002B6D06">
        <w:t xml:space="preserve">about </w:t>
      </w:r>
      <w:r w:rsidRPr="009D49CC">
        <w:t>ensuring all staff have equal opportunities for development and to voice their views, as well as ensuring working arrangements and procedures account for different needs. It is also about personal behaviour, ensuring all words and actions show commitment to equality and diversity.</w:t>
      </w:r>
    </w:p>
    <w:p w:rsidR="007A3F1F" w:rsidRPr="00A53DD8" w:rsidRDefault="007A3F1F" w:rsidP="005645CB">
      <w:pPr>
        <w:spacing w:after="120"/>
        <w:rPr>
          <w:u w:val="single"/>
        </w:rPr>
      </w:pPr>
      <w:r w:rsidRPr="00A53DD8">
        <w:rPr>
          <w:u w:val="single"/>
        </w:rPr>
        <w:t xml:space="preserve">Behavioural indicators </w:t>
      </w:r>
    </w:p>
    <w:p w:rsidR="009D49CC" w:rsidRPr="009D49CC" w:rsidRDefault="009D49CC" w:rsidP="009D49CC">
      <w:pPr>
        <w:pStyle w:val="ListParagraph"/>
        <w:numPr>
          <w:ilvl w:val="0"/>
          <w:numId w:val="5"/>
        </w:numPr>
        <w:rPr>
          <w:sz w:val="24"/>
        </w:rPr>
      </w:pPr>
      <w:r w:rsidRPr="009D49CC">
        <w:t xml:space="preserve">I ensure equal access to development opportunities for all. </w:t>
      </w:r>
    </w:p>
    <w:p w:rsidR="009D49CC" w:rsidRPr="009D49CC" w:rsidRDefault="009D49CC" w:rsidP="009D49CC">
      <w:pPr>
        <w:pStyle w:val="ListParagraph"/>
        <w:numPr>
          <w:ilvl w:val="0"/>
          <w:numId w:val="5"/>
        </w:numPr>
        <w:rPr>
          <w:sz w:val="24"/>
        </w:rPr>
      </w:pPr>
      <w:r w:rsidRPr="009D49CC">
        <w:t xml:space="preserve">I enable and encourage people to express their views and ask questions </w:t>
      </w:r>
    </w:p>
    <w:p w:rsidR="009D49CC" w:rsidRPr="009D49CC" w:rsidRDefault="009D49CC" w:rsidP="009D49CC">
      <w:pPr>
        <w:pStyle w:val="ListParagraph"/>
        <w:numPr>
          <w:ilvl w:val="0"/>
          <w:numId w:val="5"/>
        </w:numPr>
        <w:rPr>
          <w:sz w:val="24"/>
        </w:rPr>
      </w:pPr>
      <w:r>
        <w:rPr>
          <w:noProof/>
          <w:lang w:eastAsia="en-GB"/>
        </w:rPr>
        <w:drawing>
          <wp:anchor distT="0" distB="0" distL="114300" distR="114300" simplePos="0" relativeHeight="251660288" behindDoc="1" locked="0" layoutInCell="1" allowOverlap="1">
            <wp:simplePos x="0" y="0"/>
            <wp:positionH relativeFrom="margin">
              <wp:align>right</wp:align>
            </wp:positionH>
            <wp:positionV relativeFrom="paragraph">
              <wp:posOffset>12065</wp:posOffset>
            </wp:positionV>
            <wp:extent cx="1541145" cy="1535430"/>
            <wp:effectExtent l="0" t="0" r="1905" b="7620"/>
            <wp:wrapTight wrapText="bothSides">
              <wp:wrapPolygon edited="0">
                <wp:start x="0" y="0"/>
                <wp:lineTo x="0" y="21439"/>
                <wp:lineTo x="21360" y="21439"/>
                <wp:lineTo x="21360"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145"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9CC">
        <w:t xml:space="preserve">I ensure that working arrangements, resources and processes respond to different needs, abilities, values and ways of working </w:t>
      </w:r>
    </w:p>
    <w:p w:rsidR="002B6D06" w:rsidRPr="002B6D06" w:rsidRDefault="009D49CC" w:rsidP="009D49CC">
      <w:pPr>
        <w:pStyle w:val="ListParagraph"/>
        <w:numPr>
          <w:ilvl w:val="0"/>
          <w:numId w:val="5"/>
        </w:numPr>
        <w:rPr>
          <w:sz w:val="24"/>
        </w:rPr>
      </w:pPr>
      <w:r w:rsidRPr="009D49CC">
        <w:rPr>
          <w:noProof/>
          <w:lang w:eastAsia="en-GB"/>
        </w:rPr>
        <w:t>I ensure my own behaviour, words and actions support a commitment to equality of opportunity and diversity</w:t>
      </w:r>
      <w:r w:rsidR="002B6D06" w:rsidRPr="002B6D06">
        <w:t xml:space="preserve">. </w:t>
      </w:r>
    </w:p>
    <w:p w:rsidR="002564E0" w:rsidRPr="002B6D06" w:rsidRDefault="005645CB" w:rsidP="002B6D06">
      <w:pPr>
        <w:pStyle w:val="Heading2"/>
        <w:spacing w:after="120"/>
        <w:rPr>
          <w:sz w:val="24"/>
        </w:rPr>
      </w:pPr>
      <w:r>
        <w:t>Example</w:t>
      </w:r>
      <w:r w:rsidR="002564E0">
        <w:t xml:space="preserve"> on-the-job development activities </w:t>
      </w:r>
      <w:r w:rsidR="002564E0" w:rsidRPr="002B6D06">
        <w:rPr>
          <w:b w:val="0"/>
          <w:i/>
        </w:rPr>
        <w:t>(70)</w:t>
      </w:r>
    </w:p>
    <w:p w:rsidR="009D49CC" w:rsidRDefault="009D49CC" w:rsidP="00827F8B">
      <w:pPr>
        <w:pStyle w:val="ListParagraph"/>
        <w:numPr>
          <w:ilvl w:val="0"/>
          <w:numId w:val="6"/>
        </w:numPr>
      </w:pPr>
      <w:r>
        <w:t xml:space="preserve">Facilitate a discussion with your team about how to make the most of peoples’ strengths and motivations, to help raise of differences and the opportunities for the team. </w:t>
      </w:r>
    </w:p>
    <w:p w:rsidR="003817D8" w:rsidRDefault="003817D8" w:rsidP="003817D8">
      <w:pPr>
        <w:pStyle w:val="ListParagraph"/>
        <w:numPr>
          <w:ilvl w:val="0"/>
          <w:numId w:val="6"/>
        </w:numPr>
      </w:pPr>
      <w:r>
        <w:t>Review how the Technical Review may affect people differently in your team</w:t>
      </w:r>
      <w:r w:rsidR="0085105F">
        <w:t xml:space="preserve"> including speaking to individuals for their input</w:t>
      </w:r>
      <w:r>
        <w:t xml:space="preserve">. </w:t>
      </w:r>
      <w:r w:rsidR="0085105F">
        <w:t>Put a plan in place to</w:t>
      </w:r>
      <w:r>
        <w:t xml:space="preserve"> ensure every person’</w:t>
      </w:r>
      <w:r w:rsidR="0085105F">
        <w:t>s needs are accounted for.</w:t>
      </w:r>
    </w:p>
    <w:p w:rsidR="003817D8" w:rsidRDefault="003817D8" w:rsidP="003817D8">
      <w:pPr>
        <w:pStyle w:val="ListParagraph"/>
        <w:numPr>
          <w:ilvl w:val="0"/>
          <w:numId w:val="6"/>
        </w:numPr>
      </w:pPr>
      <w:r>
        <w:t xml:space="preserve">Analyse the diversity of the technical teams, and encourage a discussion with the rest of the leadership team about your role in building the diversity and representation across all levels of technical staff. </w:t>
      </w: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723DB9"/>
          <w:p w:rsidR="00723DB9" w:rsidRDefault="00723DB9" w:rsidP="00723DB9"/>
          <w:p w:rsidR="00723DB9" w:rsidRDefault="00723DB9" w:rsidP="00723DB9"/>
          <w:p w:rsidR="00723DB9" w:rsidRDefault="00723DB9" w:rsidP="00723DB9"/>
        </w:tc>
      </w:tr>
    </w:tbl>
    <w:p w:rsidR="00723DB9" w:rsidRPr="005D6C4A" w:rsidRDefault="00723DB9" w:rsidP="00C754D5">
      <w:pPr>
        <w:spacing w:after="0"/>
      </w:pPr>
    </w:p>
    <w:p w:rsidR="002564E0" w:rsidRDefault="002564E0" w:rsidP="002564E0">
      <w:pPr>
        <w:pStyle w:val="Heading2"/>
        <w:spacing w:after="120"/>
      </w:pPr>
      <w:r>
        <w:t>Suggested reflection</w:t>
      </w:r>
      <w:r w:rsidR="005645CB">
        <w:t xml:space="preserve"> </w:t>
      </w:r>
      <w:r>
        <w:t>/</w:t>
      </w:r>
      <w:r w:rsidR="005645CB">
        <w:t xml:space="preserve"> </w:t>
      </w:r>
      <w:r>
        <w:t xml:space="preserve">discussion questions </w:t>
      </w:r>
      <w:r w:rsidRPr="002564E0">
        <w:rPr>
          <w:b w:val="0"/>
          <w:i/>
        </w:rPr>
        <w:t>(20)</w:t>
      </w:r>
    </w:p>
    <w:p w:rsidR="00B800E6" w:rsidRDefault="002564E0" w:rsidP="002564E0">
      <w:r>
        <w:t xml:space="preserve">Q: </w:t>
      </w:r>
      <w:r w:rsidR="003817D8">
        <w:t xml:space="preserve">Every person has biases which are formed through life from our experiences. What are yours, and how can you manage them to ensure they don’t </w:t>
      </w:r>
      <w:r w:rsidR="0085105F">
        <w:t>play out in your behaviour/leadership</w:t>
      </w:r>
      <w:r w:rsidR="003817D8">
        <w:t>?</w:t>
      </w:r>
    </w:p>
    <w:p w:rsidR="002564E0" w:rsidRDefault="002564E0" w:rsidP="002564E0">
      <w:r>
        <w:t xml:space="preserve">Q: </w:t>
      </w:r>
      <w:r w:rsidR="0085105F">
        <w:t>Consider how you provide people opportunities to share their views and provide feedback on the Technical Review. Do you provide varied opportunities for your team, and do they feel that their feedback has been heard/acted on when they provide it?</w:t>
      </w:r>
    </w:p>
    <w:p w:rsidR="002564E0" w:rsidRDefault="002564E0" w:rsidP="00A53DD8">
      <w:pPr>
        <w:spacing w:after="240"/>
      </w:pPr>
      <w:r>
        <w:t xml:space="preserve">Q: </w:t>
      </w:r>
      <w:r w:rsidR="0085105F">
        <w:t>How might individuals in your team require development during and after the Technical Review? How can you ensure every person gets the opportunity, not just those who ask for it the loudest?</w:t>
      </w: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Pr>
              <w:spacing w:after="240"/>
            </w:pPr>
          </w:p>
          <w:p w:rsidR="00723DB9" w:rsidRDefault="00723DB9" w:rsidP="00A53DD8">
            <w:pPr>
              <w:spacing w:after="240"/>
            </w:pPr>
          </w:p>
        </w:tc>
      </w:tr>
    </w:tbl>
    <w:p w:rsidR="007A3F1F" w:rsidRDefault="002564E0" w:rsidP="00C754D5">
      <w:pPr>
        <w:pStyle w:val="Heading2"/>
        <w:spacing w:before="100" w:beforeAutospacing="1" w:after="120"/>
      </w:pPr>
      <w:r>
        <w:lastRenderedPageBreak/>
        <w:t>Recommended</w:t>
      </w:r>
      <w:r w:rsidR="007A3F1F">
        <w:t xml:space="preserve"> learning resources</w:t>
      </w:r>
      <w:r>
        <w:t xml:space="preserve"> </w:t>
      </w:r>
      <w:r w:rsidRPr="002564E0">
        <w:rPr>
          <w:b w:val="0"/>
          <w:i/>
        </w:rPr>
        <w:t>(10)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DD200A" w:rsidTr="00723DB9">
        <w:trPr>
          <w:trHeight w:val="981"/>
        </w:trPr>
        <w:tc>
          <w:tcPr>
            <w:tcW w:w="1560" w:type="dxa"/>
          </w:tcPr>
          <w:p w:rsidR="007A3F1F" w:rsidRDefault="00DD200A" w:rsidP="004F0774">
            <w:pPr>
              <w:jc w:val="center"/>
            </w:pPr>
            <w:r>
              <w:rPr>
                <w:noProof/>
                <w:lang w:eastAsia="en-GB"/>
              </w:rPr>
              <w:drawing>
                <wp:inline distT="0" distB="0" distL="0" distR="0">
                  <wp:extent cx="641076" cy="638175"/>
                  <wp:effectExtent l="0" t="0" r="6985" b="0"/>
                  <wp:docPr id="5" name="Picture 5" descr="Image result for ARTIC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RTICLE 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7397" cy="664377"/>
                          </a:xfrm>
                          <a:prstGeom prst="rect">
                            <a:avLst/>
                          </a:prstGeom>
                          <a:noFill/>
                          <a:ln>
                            <a:noFill/>
                          </a:ln>
                        </pic:spPr>
                      </pic:pic>
                    </a:graphicData>
                  </a:graphic>
                </wp:inline>
              </w:drawing>
            </w:r>
          </w:p>
        </w:tc>
        <w:tc>
          <w:tcPr>
            <w:tcW w:w="8079" w:type="dxa"/>
            <w:vAlign w:val="center"/>
          </w:tcPr>
          <w:p w:rsidR="005D6C4A" w:rsidRDefault="00DD200A" w:rsidP="005D6C4A">
            <w:r>
              <w:t>Read</w:t>
            </w:r>
            <w:r w:rsidR="005D6C4A">
              <w:t xml:space="preserve">: </w:t>
            </w:r>
            <w:hyperlink r:id="rId11" w:history="1">
              <w:r w:rsidRPr="00DD200A">
                <w:rPr>
                  <w:rStyle w:val="Hyperlink"/>
                </w:rPr>
                <w:t>Why Inclusive Leaders Are Good for Organisations, and How to Become One</w:t>
              </w:r>
            </w:hyperlink>
            <w:r w:rsidR="00827F8B">
              <w:rPr>
                <w:rStyle w:val="Hyperlink"/>
              </w:rPr>
              <w:t xml:space="preserve"> </w:t>
            </w:r>
          </w:p>
          <w:p w:rsidR="007A3F1F" w:rsidRDefault="00DD200A" w:rsidP="00DD200A">
            <w:r>
              <w:rPr>
                <w:b/>
              </w:rPr>
              <w:t>Harvard Business Review</w:t>
            </w:r>
            <w:r w:rsidR="00A06352">
              <w:rPr>
                <w:b/>
              </w:rPr>
              <w:t xml:space="preserve"> – </w:t>
            </w:r>
            <w:r>
              <w:rPr>
                <w:b/>
              </w:rPr>
              <w:t>15mins</w:t>
            </w:r>
            <w:r w:rsidR="005D6C4A" w:rsidRPr="00142809">
              <w:rPr>
                <w:b/>
              </w:rPr>
              <w:t xml:space="preserve"> </w:t>
            </w:r>
          </w:p>
        </w:tc>
      </w:tr>
      <w:tr w:rsidR="005D6C4A" w:rsidTr="00723DB9">
        <w:tc>
          <w:tcPr>
            <w:tcW w:w="1560" w:type="dxa"/>
          </w:tcPr>
          <w:p w:rsidR="007A3F1F" w:rsidRDefault="007A3F1F" w:rsidP="004F0774">
            <w:pPr>
              <w:jc w:val="center"/>
            </w:pPr>
            <w:r>
              <w:rPr>
                <w:noProof/>
                <w:lang w:eastAsia="en-GB"/>
              </w:rPr>
              <w:drawing>
                <wp:inline distT="0" distB="0" distL="0" distR="0" wp14:anchorId="474DBAA0" wp14:editId="0BFD6837">
                  <wp:extent cx="477078" cy="6717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r="74470"/>
                          <a:stretch/>
                        </pic:blipFill>
                        <pic:spPr bwMode="auto">
                          <a:xfrm>
                            <a:off x="0" y="0"/>
                            <a:ext cx="484872" cy="682755"/>
                          </a:xfrm>
                          <a:prstGeom prst="rect">
                            <a:avLst/>
                          </a:prstGeom>
                          <a:ln>
                            <a:noFill/>
                          </a:ln>
                          <a:extLst>
                            <a:ext uri="{53640926-AAD7-44D8-BBD7-CCE9431645EC}">
                              <a14:shadowObscured xmlns:a14="http://schemas.microsoft.com/office/drawing/2010/main"/>
                            </a:ext>
                          </a:extLst>
                        </pic:spPr>
                      </pic:pic>
                    </a:graphicData>
                  </a:graphic>
                </wp:inline>
              </w:drawing>
            </w:r>
          </w:p>
        </w:tc>
        <w:tc>
          <w:tcPr>
            <w:tcW w:w="8079" w:type="dxa"/>
            <w:vAlign w:val="center"/>
          </w:tcPr>
          <w:p w:rsidR="005D6C4A" w:rsidRDefault="0085105F" w:rsidP="005D6C4A">
            <w:r>
              <w:t>Watch</w:t>
            </w:r>
            <w:r w:rsidR="00827F8B">
              <w:t xml:space="preserve">: </w:t>
            </w:r>
            <w:hyperlink r:id="rId13" w:anchor="/manchester-tfl/s/709236e4" w:history="1">
              <w:r w:rsidRPr="0085105F">
                <w:rPr>
                  <w:rStyle w:val="Hyperlink"/>
                </w:rPr>
                <w:t>Unconscious Bias: A Spotter’s Guide</w:t>
              </w:r>
            </w:hyperlink>
            <w:r w:rsidR="00827F8B">
              <w:t xml:space="preserve"> </w:t>
            </w:r>
          </w:p>
          <w:p w:rsidR="00103708" w:rsidRPr="00103708" w:rsidRDefault="005D6C4A" w:rsidP="005D6C4A">
            <w:pPr>
              <w:rPr>
                <w:b/>
              </w:rPr>
            </w:pPr>
            <w:r w:rsidRPr="00142809">
              <w:rPr>
                <w:b/>
              </w:rPr>
              <w:t xml:space="preserve">L&amp;D Toolkit </w:t>
            </w:r>
            <w:r>
              <w:rPr>
                <w:b/>
              </w:rPr>
              <w:t xml:space="preserve">- </w:t>
            </w:r>
            <w:r w:rsidR="00DD200A">
              <w:rPr>
                <w:b/>
              </w:rPr>
              <w:t>4</w:t>
            </w:r>
            <w:r w:rsidRPr="00142809">
              <w:rPr>
                <w:b/>
              </w:rPr>
              <w:t>mins</w:t>
            </w:r>
          </w:p>
        </w:tc>
      </w:tr>
      <w:tr w:rsidR="00632C59" w:rsidTr="00723DB9">
        <w:tc>
          <w:tcPr>
            <w:tcW w:w="1560" w:type="dxa"/>
          </w:tcPr>
          <w:p w:rsidR="00632C59" w:rsidRDefault="00632C59" w:rsidP="004F0774">
            <w:pPr>
              <w:jc w:val="center"/>
              <w:rPr>
                <w:noProof/>
                <w:lang w:eastAsia="en-GB"/>
              </w:rPr>
            </w:pPr>
            <w:r>
              <w:rPr>
                <w:noProof/>
                <w:lang w:eastAsia="en-GB"/>
              </w:rPr>
              <w:drawing>
                <wp:inline distT="0" distB="0" distL="0" distR="0" wp14:anchorId="258DBCEB" wp14:editId="4995441C">
                  <wp:extent cx="560717" cy="557099"/>
                  <wp:effectExtent l="0" t="0" r="0" b="0"/>
                  <wp:docPr id="61" name="Picture 6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17" cy="557099"/>
                          </a:xfrm>
                          <a:prstGeom prst="rect">
                            <a:avLst/>
                          </a:prstGeom>
                          <a:noFill/>
                          <a:ln>
                            <a:noFill/>
                          </a:ln>
                        </pic:spPr>
                      </pic:pic>
                    </a:graphicData>
                  </a:graphic>
                </wp:inline>
              </w:drawing>
            </w:r>
          </w:p>
        </w:tc>
        <w:tc>
          <w:tcPr>
            <w:tcW w:w="8079" w:type="dxa"/>
            <w:vAlign w:val="center"/>
          </w:tcPr>
          <w:p w:rsidR="00632C59" w:rsidRDefault="00827F8B" w:rsidP="005D6C4A">
            <w:r>
              <w:t>Listen</w:t>
            </w:r>
            <w:r w:rsidR="00632C59">
              <w:t xml:space="preserve">: </w:t>
            </w:r>
            <w:hyperlink r:id="rId15" w:history="1">
              <w:r w:rsidR="0085105F" w:rsidRPr="0085105F">
                <w:rPr>
                  <w:rStyle w:val="Hyperlink"/>
                </w:rPr>
                <w:t>Key Traits of Inclusive Leaders</w:t>
              </w:r>
            </w:hyperlink>
          </w:p>
          <w:p w:rsidR="00632C59" w:rsidRPr="00632C59" w:rsidRDefault="00A06352" w:rsidP="005D6C4A">
            <w:pPr>
              <w:rPr>
                <w:b/>
              </w:rPr>
            </w:pPr>
            <w:r>
              <w:rPr>
                <w:b/>
              </w:rPr>
              <w:t>LinkedIn Learn</w:t>
            </w:r>
            <w:r w:rsidR="0085105F">
              <w:rPr>
                <w:b/>
              </w:rPr>
              <w:t>ing – 45</w:t>
            </w:r>
            <w:r w:rsidR="00632C59" w:rsidRPr="00632C59">
              <w:rPr>
                <w:b/>
              </w:rPr>
              <w:t>mins</w:t>
            </w:r>
          </w:p>
        </w:tc>
      </w:tr>
    </w:tbl>
    <w:p w:rsidR="004F0774" w:rsidRDefault="004F0774" w:rsidP="00C754D5">
      <w:pPr>
        <w:spacing w:after="0"/>
      </w:pP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 w:rsidR="00723DB9" w:rsidRDefault="00723DB9" w:rsidP="00A53DD8"/>
          <w:p w:rsidR="00723DB9" w:rsidRDefault="00723DB9" w:rsidP="00A53DD8"/>
          <w:p w:rsidR="00723DB9" w:rsidRDefault="00723DB9" w:rsidP="00A53DD8"/>
        </w:tc>
      </w:tr>
    </w:tbl>
    <w:p w:rsidR="00723DB9" w:rsidRPr="004F0774" w:rsidRDefault="00723DB9" w:rsidP="00A53DD8">
      <w:bookmarkStart w:id="0" w:name="_GoBack"/>
      <w:bookmarkEnd w:id="0"/>
    </w:p>
    <w:sectPr w:rsidR="00723DB9" w:rsidRPr="004F0774" w:rsidSect="00A53D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703" w:rsidRDefault="003F3703" w:rsidP="007A3F1F">
      <w:pPr>
        <w:spacing w:after="0" w:line="240" w:lineRule="auto"/>
      </w:pPr>
      <w:r>
        <w:separator/>
      </w:r>
    </w:p>
  </w:endnote>
  <w:endnote w:type="continuationSeparator" w:id="0">
    <w:p w:rsidR="003F3703" w:rsidRDefault="003F3703" w:rsidP="007A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703" w:rsidRDefault="003F3703" w:rsidP="007A3F1F">
      <w:pPr>
        <w:spacing w:after="0" w:line="240" w:lineRule="auto"/>
      </w:pPr>
      <w:r>
        <w:separator/>
      </w:r>
    </w:p>
  </w:footnote>
  <w:footnote w:type="continuationSeparator" w:id="0">
    <w:p w:rsidR="003F3703" w:rsidRDefault="003F3703" w:rsidP="007A3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176"/>
    <w:multiLevelType w:val="hybridMultilevel"/>
    <w:tmpl w:val="184A14E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2D3AC0"/>
    <w:multiLevelType w:val="hybridMultilevel"/>
    <w:tmpl w:val="374A70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214384"/>
    <w:multiLevelType w:val="hybridMultilevel"/>
    <w:tmpl w:val="CF78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11C8A"/>
    <w:multiLevelType w:val="hybridMultilevel"/>
    <w:tmpl w:val="1A7AF8C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5D2C27"/>
    <w:multiLevelType w:val="hybridMultilevel"/>
    <w:tmpl w:val="243E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A16D7E"/>
    <w:multiLevelType w:val="hybridMultilevel"/>
    <w:tmpl w:val="897AA8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1F"/>
    <w:rsid w:val="000420E1"/>
    <w:rsid w:val="00103708"/>
    <w:rsid w:val="002564E0"/>
    <w:rsid w:val="002B6D06"/>
    <w:rsid w:val="00315330"/>
    <w:rsid w:val="003817D8"/>
    <w:rsid w:val="003F3703"/>
    <w:rsid w:val="004F0774"/>
    <w:rsid w:val="005645CB"/>
    <w:rsid w:val="005D6C4A"/>
    <w:rsid w:val="00632C59"/>
    <w:rsid w:val="00723DB9"/>
    <w:rsid w:val="007A3F1F"/>
    <w:rsid w:val="00827F8B"/>
    <w:rsid w:val="0085105F"/>
    <w:rsid w:val="008D6C74"/>
    <w:rsid w:val="008F7111"/>
    <w:rsid w:val="009D49CC"/>
    <w:rsid w:val="009E76D8"/>
    <w:rsid w:val="00A06352"/>
    <w:rsid w:val="00A15B6C"/>
    <w:rsid w:val="00A465BE"/>
    <w:rsid w:val="00A53DD8"/>
    <w:rsid w:val="00B6212F"/>
    <w:rsid w:val="00B800E6"/>
    <w:rsid w:val="00C754D5"/>
    <w:rsid w:val="00D728A7"/>
    <w:rsid w:val="00DB4798"/>
    <w:rsid w:val="00DD200A"/>
    <w:rsid w:val="00E6278F"/>
    <w:rsid w:val="00F376B0"/>
    <w:rsid w:val="00F63A98"/>
    <w:rsid w:val="00FC3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22F8"/>
  <w15:chartTrackingRefBased/>
  <w15:docId w15:val="{2826520E-5A88-4F42-9F9E-1493C24B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F1F"/>
    <w:rPr>
      <w:rFonts w:ascii="Arial" w:hAnsi="Arial"/>
    </w:rPr>
  </w:style>
  <w:style w:type="paragraph" w:styleId="Heading1">
    <w:name w:val="heading 1"/>
    <w:basedOn w:val="Normal"/>
    <w:next w:val="Normal"/>
    <w:link w:val="Heading1Char"/>
    <w:uiPriority w:val="9"/>
    <w:qFormat/>
    <w:rsid w:val="007A3F1F"/>
    <w:pPr>
      <w:keepNext/>
      <w:keepLines/>
      <w:spacing w:before="240" w:after="0"/>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7A3F1F"/>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F1F"/>
  </w:style>
  <w:style w:type="paragraph" w:styleId="Footer">
    <w:name w:val="footer"/>
    <w:basedOn w:val="Normal"/>
    <w:link w:val="FooterChar"/>
    <w:uiPriority w:val="99"/>
    <w:unhideWhenUsed/>
    <w:rsid w:val="007A3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F1F"/>
  </w:style>
  <w:style w:type="character" w:customStyle="1" w:styleId="Heading1Char">
    <w:name w:val="Heading 1 Char"/>
    <w:basedOn w:val="DefaultParagraphFont"/>
    <w:link w:val="Heading1"/>
    <w:uiPriority w:val="9"/>
    <w:rsid w:val="007A3F1F"/>
    <w:rPr>
      <w:rFonts w:ascii="Arial" w:eastAsiaTheme="majorEastAsia" w:hAnsi="Arial" w:cstheme="majorBidi"/>
      <w:b/>
      <w:color w:val="7030A0"/>
      <w:sz w:val="32"/>
      <w:szCs w:val="32"/>
    </w:rPr>
  </w:style>
  <w:style w:type="character" w:customStyle="1" w:styleId="Heading2Char">
    <w:name w:val="Heading 2 Char"/>
    <w:basedOn w:val="DefaultParagraphFont"/>
    <w:link w:val="Heading2"/>
    <w:uiPriority w:val="9"/>
    <w:rsid w:val="007A3F1F"/>
    <w:rPr>
      <w:rFonts w:ascii="Arial" w:eastAsiaTheme="majorEastAsia" w:hAnsi="Arial" w:cstheme="majorBidi"/>
      <w:b/>
      <w:sz w:val="26"/>
      <w:szCs w:val="26"/>
    </w:rPr>
  </w:style>
  <w:style w:type="paragraph" w:styleId="ListParagraph">
    <w:name w:val="List Paragraph"/>
    <w:basedOn w:val="Normal"/>
    <w:uiPriority w:val="34"/>
    <w:qFormat/>
    <w:rsid w:val="007A3F1F"/>
    <w:pPr>
      <w:ind w:left="720"/>
      <w:contextualSpacing/>
    </w:pPr>
  </w:style>
  <w:style w:type="table" w:styleId="TableGrid">
    <w:name w:val="Table Grid"/>
    <w:basedOn w:val="TableNormal"/>
    <w:uiPriority w:val="39"/>
    <w:rsid w:val="007A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774"/>
    <w:rPr>
      <w:color w:val="0563C1" w:themeColor="hyperlink"/>
      <w:u w:val="single"/>
    </w:rPr>
  </w:style>
  <w:style w:type="character" w:styleId="FollowedHyperlink">
    <w:name w:val="FollowedHyperlink"/>
    <w:basedOn w:val="DefaultParagraphFont"/>
    <w:uiPriority w:val="99"/>
    <w:semiHidden/>
    <w:unhideWhenUsed/>
    <w:rsid w:val="005D6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pp.goodpractice.ne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br.org/2019/03/why-inclusive-leaders-are-good-for-organizations-and-how-to-become-one" TargetMode="External"/><Relationship Id="rId5" Type="http://schemas.openxmlformats.org/officeDocument/2006/relationships/footnotes" Target="footnotes.xml"/><Relationship Id="rId15" Type="http://schemas.openxmlformats.org/officeDocument/2006/relationships/hyperlink" Target="https://www.linkedin.com/learning/inclusive-leadership/welcome?u=74653818"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Cadd</dc:creator>
  <cp:keywords/>
  <dc:description/>
  <cp:lastModifiedBy>Esther Cadd</cp:lastModifiedBy>
  <cp:revision>3</cp:revision>
  <dcterms:created xsi:type="dcterms:W3CDTF">2020-12-18T10:35:00Z</dcterms:created>
  <dcterms:modified xsi:type="dcterms:W3CDTF">2020-12-18T11:07:00Z</dcterms:modified>
</cp:coreProperties>
</file>