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F1F" w:rsidRDefault="00A53DD8">
      <w:r w:rsidRPr="007A3F1F">
        <w:rPr>
          <w:noProof/>
          <w:lang w:eastAsia="en-GB"/>
        </w:rPr>
        <w:drawing>
          <wp:anchor distT="0" distB="0" distL="114300" distR="114300" simplePos="0" relativeHeight="251659264" behindDoc="0" locked="0" layoutInCell="1" allowOverlap="1">
            <wp:simplePos x="0" y="0"/>
            <wp:positionH relativeFrom="column">
              <wp:posOffset>-261952</wp:posOffset>
            </wp:positionH>
            <wp:positionV relativeFrom="paragraph">
              <wp:posOffset>-611725</wp:posOffset>
            </wp:positionV>
            <wp:extent cx="1663700" cy="711200"/>
            <wp:effectExtent l="0" t="0" r="0" b="0"/>
            <wp:wrapNone/>
            <wp:docPr id="7" name="Picture 5" descr="TAB_col_white_background.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TAB_col_white_background.eps"/>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3700" cy="711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7A3F1F">
        <w:rPr>
          <w:noProof/>
          <w:lang w:eastAsia="en-GB"/>
        </w:rPr>
        <w:drawing>
          <wp:anchor distT="0" distB="0" distL="114300" distR="114300" simplePos="0" relativeHeight="251658240" behindDoc="0" locked="0" layoutInCell="1" allowOverlap="1">
            <wp:simplePos x="0" y="0"/>
            <wp:positionH relativeFrom="page">
              <wp:posOffset>5963478</wp:posOffset>
            </wp:positionH>
            <wp:positionV relativeFrom="paragraph">
              <wp:posOffset>-914400</wp:posOffset>
            </wp:positionV>
            <wp:extent cx="1597550" cy="1437795"/>
            <wp:effectExtent l="0" t="0" r="3175" b="0"/>
            <wp:wrapNone/>
            <wp:docPr id="3" name="Picture 2" descr="SL&amp;D white b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SL&amp;D white block.png"/>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3049" cy="1451744"/>
                    </a:xfrm>
                    <a:prstGeom prst="rect">
                      <a:avLst/>
                    </a:prstGeom>
                  </pic:spPr>
                </pic:pic>
              </a:graphicData>
            </a:graphic>
            <wp14:sizeRelH relativeFrom="page">
              <wp14:pctWidth>0</wp14:pctWidth>
            </wp14:sizeRelH>
            <wp14:sizeRelV relativeFrom="page">
              <wp14:pctHeight>0</wp14:pctHeight>
            </wp14:sizeRelV>
          </wp:anchor>
        </w:drawing>
      </w:r>
    </w:p>
    <w:p w:rsidR="007A3F1F" w:rsidRDefault="007A3F1F" w:rsidP="00A53DD8">
      <w:pPr>
        <w:pStyle w:val="Heading1"/>
        <w:spacing w:before="0" w:after="240"/>
      </w:pPr>
      <w:r>
        <w:t>Change Leadership Skill</w:t>
      </w:r>
      <w:r w:rsidR="002564E0">
        <w:t>s</w:t>
      </w:r>
      <w:r>
        <w:t xml:space="preserve"> Framework: </w:t>
      </w:r>
      <w:r w:rsidR="00DB4798">
        <w:rPr>
          <w:i/>
        </w:rPr>
        <w:t>Manage Others’ Responses to Change</w:t>
      </w:r>
    </w:p>
    <w:p w:rsidR="007A3F1F" w:rsidRDefault="007A3F1F" w:rsidP="007A3F1F">
      <w:pPr>
        <w:pStyle w:val="Heading2"/>
        <w:spacing w:after="120"/>
      </w:pPr>
      <w:r>
        <w:t>Definition</w:t>
      </w:r>
    </w:p>
    <w:p w:rsidR="00B6212F" w:rsidRDefault="00DB4798" w:rsidP="005645CB">
      <w:pPr>
        <w:spacing w:after="120"/>
      </w:pPr>
      <w:r>
        <w:rPr>
          <w:i/>
        </w:rPr>
        <w:t>Manage Others’ Responses to Change</w:t>
      </w:r>
      <w:r w:rsidR="00B6212F">
        <w:t xml:space="preserve"> is </w:t>
      </w:r>
      <w:r w:rsidR="002B6D06" w:rsidRPr="002B6D06">
        <w:t xml:space="preserve">about </w:t>
      </w:r>
      <w:r w:rsidRPr="00DB4798">
        <w:t>being able to recognise, respect and acknowledge others’ responses to change and help them adapt to it. It’s about having conversations with staff that extend beyond being just task-based to personal feelings and motives, as well as closely monitoring staff wellbeing and responding any concerns.</w:t>
      </w:r>
    </w:p>
    <w:p w:rsidR="007A3F1F" w:rsidRPr="00A53DD8" w:rsidRDefault="007A3F1F" w:rsidP="005645CB">
      <w:pPr>
        <w:spacing w:after="120"/>
        <w:rPr>
          <w:u w:val="single"/>
        </w:rPr>
      </w:pPr>
      <w:r w:rsidRPr="00A53DD8">
        <w:rPr>
          <w:u w:val="single"/>
        </w:rPr>
        <w:t xml:space="preserve">Behavioural indicators </w:t>
      </w:r>
    </w:p>
    <w:p w:rsidR="00DB4798" w:rsidRPr="00DB4798" w:rsidRDefault="00DB4798" w:rsidP="00DB4798">
      <w:pPr>
        <w:pStyle w:val="ListParagraph"/>
        <w:numPr>
          <w:ilvl w:val="0"/>
          <w:numId w:val="5"/>
        </w:numPr>
        <w:rPr>
          <w:sz w:val="24"/>
        </w:rPr>
      </w:pPr>
      <w:r w:rsidRPr="00DB4798">
        <w:t>I support others to understand the need for change and help them to adapt to it.</w:t>
      </w:r>
    </w:p>
    <w:p w:rsidR="00DB4798" w:rsidRPr="00DB4798" w:rsidRDefault="00DB4798" w:rsidP="00DB4798">
      <w:pPr>
        <w:pStyle w:val="ListParagraph"/>
        <w:numPr>
          <w:ilvl w:val="0"/>
          <w:numId w:val="5"/>
        </w:numPr>
        <w:rPr>
          <w:sz w:val="24"/>
        </w:rPr>
      </w:pPr>
      <w:r w:rsidRPr="00DB4798">
        <w:t xml:space="preserve">I talk to my staff about their feelings and motives, as well as the tasks they have to do. </w:t>
      </w:r>
    </w:p>
    <w:p w:rsidR="00DB4798" w:rsidRPr="00DB4798" w:rsidRDefault="00DB4798" w:rsidP="00DB4798">
      <w:pPr>
        <w:pStyle w:val="ListParagraph"/>
        <w:numPr>
          <w:ilvl w:val="0"/>
          <w:numId w:val="5"/>
        </w:numPr>
        <w:rPr>
          <w:sz w:val="24"/>
        </w:rPr>
      </w:pPr>
      <w:r w:rsidRPr="00DB4798">
        <w:t>I monitor other’s wellbeing and respond to signs of health issues.</w:t>
      </w:r>
    </w:p>
    <w:p w:rsidR="002B6D06" w:rsidRPr="002B6D06" w:rsidRDefault="00D728A7" w:rsidP="00DB4798">
      <w:pPr>
        <w:pStyle w:val="ListParagraph"/>
        <w:numPr>
          <w:ilvl w:val="0"/>
          <w:numId w:val="5"/>
        </w:numPr>
        <w:rPr>
          <w:sz w:val="24"/>
        </w:rPr>
      </w:pPr>
      <w:r>
        <w:rPr>
          <w:noProof/>
          <w:lang w:eastAsia="en-GB"/>
        </w:rPr>
        <w:drawing>
          <wp:anchor distT="0" distB="0" distL="114300" distR="114300" simplePos="0" relativeHeight="251660288" behindDoc="1" locked="0" layoutInCell="1" allowOverlap="1">
            <wp:simplePos x="0" y="0"/>
            <wp:positionH relativeFrom="column">
              <wp:posOffset>4495165</wp:posOffset>
            </wp:positionH>
            <wp:positionV relativeFrom="paragraph">
              <wp:posOffset>15240</wp:posOffset>
            </wp:positionV>
            <wp:extent cx="1541145" cy="1535430"/>
            <wp:effectExtent l="0" t="0" r="1905" b="7620"/>
            <wp:wrapTight wrapText="bothSides">
              <wp:wrapPolygon edited="0">
                <wp:start x="0" y="0"/>
                <wp:lineTo x="0" y="21439"/>
                <wp:lineTo x="21360" y="21439"/>
                <wp:lineTo x="21360" y="0"/>
                <wp:lineTo x="0" y="0"/>
              </wp:wrapPolygon>
            </wp:wrapTight>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1145" cy="1535430"/>
                    </a:xfrm>
                    <a:prstGeom prst="rect">
                      <a:avLst/>
                    </a:prstGeom>
                    <a:noFill/>
                    <a:ln>
                      <a:noFill/>
                    </a:ln>
                  </pic:spPr>
                </pic:pic>
              </a:graphicData>
            </a:graphic>
            <wp14:sizeRelH relativeFrom="page">
              <wp14:pctWidth>0</wp14:pctWidth>
            </wp14:sizeRelH>
            <wp14:sizeRelV relativeFrom="page">
              <wp14:pctHeight>0</wp14:pctHeight>
            </wp14:sizeRelV>
          </wp:anchor>
        </w:drawing>
      </w:r>
      <w:r w:rsidR="00DB4798" w:rsidRPr="00DB4798">
        <w:t xml:space="preserve"> </w:t>
      </w:r>
      <w:r w:rsidR="00DB4798" w:rsidRPr="00DB4798">
        <w:rPr>
          <w:noProof/>
          <w:lang w:eastAsia="en-GB"/>
        </w:rPr>
        <w:t>I recognise, respect and acknowledge others’ responses to change</w:t>
      </w:r>
      <w:r w:rsidR="002B6D06" w:rsidRPr="002B6D06">
        <w:t xml:space="preserve">. </w:t>
      </w:r>
    </w:p>
    <w:p w:rsidR="002564E0" w:rsidRPr="002B6D06" w:rsidRDefault="005645CB" w:rsidP="002B6D06">
      <w:pPr>
        <w:pStyle w:val="Heading2"/>
        <w:spacing w:after="120"/>
        <w:rPr>
          <w:sz w:val="24"/>
        </w:rPr>
      </w:pPr>
      <w:r>
        <w:t>Example</w:t>
      </w:r>
      <w:r w:rsidR="002564E0">
        <w:t xml:space="preserve"> on-the-job development activities </w:t>
      </w:r>
      <w:r w:rsidR="002564E0" w:rsidRPr="002B6D06">
        <w:rPr>
          <w:b w:val="0"/>
          <w:i/>
        </w:rPr>
        <w:t>(70)</w:t>
      </w:r>
    </w:p>
    <w:p w:rsidR="00D728A7" w:rsidRDefault="00DB4798" w:rsidP="00827F8B">
      <w:pPr>
        <w:pStyle w:val="ListParagraph"/>
        <w:numPr>
          <w:ilvl w:val="0"/>
          <w:numId w:val="6"/>
        </w:numPr>
      </w:pPr>
      <w:r>
        <w:t>List the people in your team and how they are likely to be affected by the Technical Review. Speak to them about their concerns or worries and ask them how you can make them more comfortable with the change.</w:t>
      </w:r>
    </w:p>
    <w:p w:rsidR="00DB4798" w:rsidRDefault="00DB4798" w:rsidP="00827F8B">
      <w:pPr>
        <w:pStyle w:val="ListParagraph"/>
        <w:numPr>
          <w:ilvl w:val="0"/>
          <w:numId w:val="6"/>
        </w:numPr>
      </w:pPr>
      <w:r>
        <w:t xml:space="preserve">Champion an area of your team/service to embrace a new way of working in line with the Technical Review. Create positive messages about the changes and recognise the roles individuals have made in bringing the change about. </w:t>
      </w:r>
    </w:p>
    <w:p w:rsidR="00B800E6" w:rsidRDefault="00B800E6" w:rsidP="00827F8B">
      <w:pPr>
        <w:pStyle w:val="ListParagraph"/>
        <w:numPr>
          <w:ilvl w:val="0"/>
          <w:numId w:val="6"/>
        </w:numPr>
      </w:pPr>
      <w:r>
        <w:t xml:space="preserve">Introduce wellbeing and change as a regular item on your 1:1s with your team. Check in with individuals about how they are feeling, and what steps they can take to support their wellbeing. </w:t>
      </w:r>
    </w:p>
    <w:tbl>
      <w:tblPr>
        <w:tblStyle w:val="TableGrid"/>
        <w:tblW w:w="0" w:type="auto"/>
        <w:tblLook w:val="04A0" w:firstRow="1" w:lastRow="0" w:firstColumn="1" w:lastColumn="0" w:noHBand="0" w:noVBand="1"/>
      </w:tblPr>
      <w:tblGrid>
        <w:gridCol w:w="9736"/>
      </w:tblGrid>
      <w:tr w:rsidR="00723DB9" w:rsidTr="00723DB9">
        <w:tc>
          <w:tcPr>
            <w:tcW w:w="9736" w:type="dxa"/>
          </w:tcPr>
          <w:p w:rsidR="00723DB9" w:rsidRPr="00723DB9" w:rsidRDefault="00723DB9" w:rsidP="00723DB9">
            <w:pPr>
              <w:rPr>
                <w:i/>
                <w:sz w:val="20"/>
              </w:rPr>
            </w:pPr>
            <w:r w:rsidRPr="00723DB9">
              <w:rPr>
                <w:i/>
                <w:sz w:val="20"/>
              </w:rPr>
              <w:t>Capture your notes here:</w:t>
            </w:r>
          </w:p>
          <w:p w:rsidR="00723DB9" w:rsidRDefault="00723DB9" w:rsidP="00723DB9"/>
          <w:p w:rsidR="00723DB9" w:rsidRDefault="00723DB9" w:rsidP="00723DB9"/>
          <w:p w:rsidR="00723DB9" w:rsidRDefault="00723DB9" w:rsidP="00723DB9"/>
          <w:p w:rsidR="00723DB9" w:rsidRDefault="00723DB9" w:rsidP="00723DB9"/>
        </w:tc>
      </w:tr>
    </w:tbl>
    <w:p w:rsidR="00723DB9" w:rsidRPr="005D6C4A" w:rsidRDefault="00723DB9" w:rsidP="00C754D5">
      <w:pPr>
        <w:spacing w:after="0"/>
      </w:pPr>
    </w:p>
    <w:p w:rsidR="002564E0" w:rsidRDefault="002564E0" w:rsidP="002564E0">
      <w:pPr>
        <w:pStyle w:val="Heading2"/>
        <w:spacing w:after="120"/>
      </w:pPr>
      <w:r>
        <w:t>Suggested reflection</w:t>
      </w:r>
      <w:r w:rsidR="005645CB">
        <w:t xml:space="preserve"> </w:t>
      </w:r>
      <w:r>
        <w:t>/</w:t>
      </w:r>
      <w:r w:rsidR="005645CB">
        <w:t xml:space="preserve"> </w:t>
      </w:r>
      <w:r>
        <w:t xml:space="preserve">discussion questions </w:t>
      </w:r>
      <w:r w:rsidRPr="002564E0">
        <w:rPr>
          <w:b w:val="0"/>
          <w:i/>
        </w:rPr>
        <w:t>(20)</w:t>
      </w:r>
    </w:p>
    <w:p w:rsidR="00B800E6" w:rsidRDefault="002564E0" w:rsidP="002564E0">
      <w:r>
        <w:t xml:space="preserve">Q: </w:t>
      </w:r>
      <w:r w:rsidR="00B800E6">
        <w:t xml:space="preserve">What are some of the factors that may be preventing your team from feeling positive and engaging with the Technical Review? Think of ways you can manage this to support your team. </w:t>
      </w:r>
    </w:p>
    <w:p w:rsidR="002564E0" w:rsidRDefault="002564E0" w:rsidP="002564E0">
      <w:r>
        <w:t xml:space="preserve">Q: </w:t>
      </w:r>
      <w:r w:rsidR="00B800E6">
        <w:t>Reflect on the opportunities your team have to give feedback and contribute to the outcomes of the Technical Review. How much do you enable them to have their say, and what could you do more to enable this?</w:t>
      </w:r>
    </w:p>
    <w:p w:rsidR="002564E0" w:rsidRDefault="002564E0" w:rsidP="00A53DD8">
      <w:pPr>
        <w:spacing w:after="240"/>
      </w:pPr>
      <w:r>
        <w:t xml:space="preserve">Q: </w:t>
      </w:r>
      <w:r w:rsidR="00B800E6">
        <w:t xml:space="preserve">Consider your experiences during Cohort 1 of the Technical Review; what did leaders do to support you or make the experience </w:t>
      </w:r>
      <w:r w:rsidR="009E76D8">
        <w:t>more challenging</w:t>
      </w:r>
      <w:r w:rsidR="00B800E6">
        <w:t>? How can you build your experiences and learning from this into the way you lead?</w:t>
      </w:r>
      <w:bookmarkStart w:id="0" w:name="_GoBack"/>
      <w:bookmarkEnd w:id="0"/>
    </w:p>
    <w:tbl>
      <w:tblPr>
        <w:tblStyle w:val="TableGrid"/>
        <w:tblW w:w="0" w:type="auto"/>
        <w:tblLook w:val="04A0" w:firstRow="1" w:lastRow="0" w:firstColumn="1" w:lastColumn="0" w:noHBand="0" w:noVBand="1"/>
      </w:tblPr>
      <w:tblGrid>
        <w:gridCol w:w="9736"/>
      </w:tblGrid>
      <w:tr w:rsidR="00723DB9" w:rsidTr="00723DB9">
        <w:tc>
          <w:tcPr>
            <w:tcW w:w="9736" w:type="dxa"/>
          </w:tcPr>
          <w:p w:rsidR="00723DB9" w:rsidRPr="00723DB9" w:rsidRDefault="00723DB9" w:rsidP="00723DB9">
            <w:pPr>
              <w:rPr>
                <w:i/>
                <w:sz w:val="20"/>
              </w:rPr>
            </w:pPr>
            <w:r w:rsidRPr="00723DB9">
              <w:rPr>
                <w:i/>
                <w:sz w:val="20"/>
              </w:rPr>
              <w:t>Capture your notes here:</w:t>
            </w:r>
          </w:p>
          <w:p w:rsidR="00723DB9" w:rsidRDefault="00723DB9" w:rsidP="00A53DD8">
            <w:pPr>
              <w:spacing w:after="240"/>
            </w:pPr>
          </w:p>
          <w:p w:rsidR="00723DB9" w:rsidRDefault="00723DB9" w:rsidP="00A53DD8">
            <w:pPr>
              <w:spacing w:after="240"/>
            </w:pPr>
          </w:p>
        </w:tc>
      </w:tr>
    </w:tbl>
    <w:p w:rsidR="007A3F1F" w:rsidRDefault="002564E0" w:rsidP="00C754D5">
      <w:pPr>
        <w:pStyle w:val="Heading2"/>
        <w:spacing w:before="100" w:beforeAutospacing="1" w:after="120"/>
      </w:pPr>
      <w:r>
        <w:lastRenderedPageBreak/>
        <w:t>Recommended</w:t>
      </w:r>
      <w:r w:rsidR="007A3F1F">
        <w:t xml:space="preserve"> learning resources</w:t>
      </w:r>
      <w:r>
        <w:t xml:space="preserve"> </w:t>
      </w:r>
      <w:r w:rsidRPr="002564E0">
        <w:rPr>
          <w:b w:val="0"/>
          <w:i/>
        </w:rPr>
        <w:t>(10)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079"/>
      </w:tblGrid>
      <w:tr w:rsidR="005D6C4A" w:rsidTr="00723DB9">
        <w:trPr>
          <w:trHeight w:val="981"/>
        </w:trPr>
        <w:tc>
          <w:tcPr>
            <w:tcW w:w="1560" w:type="dxa"/>
          </w:tcPr>
          <w:p w:rsidR="007A3F1F" w:rsidRDefault="00A06352" w:rsidP="004F0774">
            <w:pPr>
              <w:jc w:val="center"/>
            </w:pPr>
            <w:r w:rsidRPr="007A3F1F">
              <w:rPr>
                <w:noProof/>
                <w:lang w:eastAsia="en-GB"/>
              </w:rPr>
              <w:drawing>
                <wp:anchor distT="0" distB="0" distL="114300" distR="114300" simplePos="0" relativeHeight="251662336" behindDoc="0" locked="0" layoutInCell="1" allowOverlap="1" wp14:anchorId="19AA6809" wp14:editId="3965EAA0">
                  <wp:simplePos x="0" y="0"/>
                  <wp:positionH relativeFrom="page">
                    <wp:posOffset>152400</wp:posOffset>
                  </wp:positionH>
                  <wp:positionV relativeFrom="paragraph">
                    <wp:posOffset>43815</wp:posOffset>
                  </wp:positionV>
                  <wp:extent cx="592667" cy="533400"/>
                  <wp:effectExtent l="0" t="0" r="0" b="0"/>
                  <wp:wrapNone/>
                  <wp:docPr id="2" name="Picture 2" descr="SL&amp;D white b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SL&amp;D white block.png"/>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2667" cy="533400"/>
                          </a:xfrm>
                          <a:prstGeom prst="rect">
                            <a:avLst/>
                          </a:prstGeom>
                        </pic:spPr>
                      </pic:pic>
                    </a:graphicData>
                  </a:graphic>
                  <wp14:sizeRelH relativeFrom="page">
                    <wp14:pctWidth>0</wp14:pctWidth>
                  </wp14:sizeRelH>
                  <wp14:sizeRelV relativeFrom="page">
                    <wp14:pctHeight>0</wp14:pctHeight>
                  </wp14:sizeRelV>
                </wp:anchor>
              </w:drawing>
            </w:r>
          </w:p>
        </w:tc>
        <w:tc>
          <w:tcPr>
            <w:tcW w:w="8079" w:type="dxa"/>
            <w:vAlign w:val="center"/>
          </w:tcPr>
          <w:p w:rsidR="005D6C4A" w:rsidRDefault="00A06352" w:rsidP="005D6C4A">
            <w:r>
              <w:t>Attend</w:t>
            </w:r>
            <w:r w:rsidR="005D6C4A">
              <w:t xml:space="preserve">: </w:t>
            </w:r>
            <w:hyperlink r:id="rId11" w:history="1">
              <w:r w:rsidRPr="00A06352">
                <w:rPr>
                  <w:rStyle w:val="Hyperlink"/>
                </w:rPr>
                <w:t>Leading People Through Change</w:t>
              </w:r>
            </w:hyperlink>
            <w:r w:rsidR="00827F8B">
              <w:rPr>
                <w:rStyle w:val="Hyperlink"/>
              </w:rPr>
              <w:t xml:space="preserve"> </w:t>
            </w:r>
          </w:p>
          <w:p w:rsidR="007A3F1F" w:rsidRDefault="00A06352" w:rsidP="005D6C4A">
            <w:r>
              <w:rPr>
                <w:b/>
              </w:rPr>
              <w:t>Learning For All Course – 2.5hours</w:t>
            </w:r>
            <w:r w:rsidR="005D6C4A" w:rsidRPr="00142809">
              <w:rPr>
                <w:b/>
              </w:rPr>
              <w:t xml:space="preserve"> </w:t>
            </w:r>
          </w:p>
        </w:tc>
      </w:tr>
      <w:tr w:rsidR="005D6C4A" w:rsidTr="00723DB9">
        <w:tc>
          <w:tcPr>
            <w:tcW w:w="1560" w:type="dxa"/>
          </w:tcPr>
          <w:p w:rsidR="007A3F1F" w:rsidRDefault="007A3F1F" w:rsidP="004F0774">
            <w:pPr>
              <w:jc w:val="center"/>
            </w:pPr>
            <w:r>
              <w:rPr>
                <w:noProof/>
                <w:lang w:eastAsia="en-GB"/>
              </w:rPr>
              <w:drawing>
                <wp:inline distT="0" distB="0" distL="0" distR="0" wp14:anchorId="474DBAA0" wp14:editId="0BFD6837">
                  <wp:extent cx="477078" cy="67178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r="74470"/>
                          <a:stretch/>
                        </pic:blipFill>
                        <pic:spPr bwMode="auto">
                          <a:xfrm>
                            <a:off x="0" y="0"/>
                            <a:ext cx="484872" cy="682755"/>
                          </a:xfrm>
                          <a:prstGeom prst="rect">
                            <a:avLst/>
                          </a:prstGeom>
                          <a:ln>
                            <a:noFill/>
                          </a:ln>
                          <a:extLst>
                            <a:ext uri="{53640926-AAD7-44D8-BBD7-CCE9431645EC}">
                              <a14:shadowObscured xmlns:a14="http://schemas.microsoft.com/office/drawing/2010/main"/>
                            </a:ext>
                          </a:extLst>
                        </pic:spPr>
                      </pic:pic>
                    </a:graphicData>
                  </a:graphic>
                </wp:inline>
              </w:drawing>
            </w:r>
          </w:p>
        </w:tc>
        <w:tc>
          <w:tcPr>
            <w:tcW w:w="8079" w:type="dxa"/>
            <w:vAlign w:val="center"/>
          </w:tcPr>
          <w:p w:rsidR="005D6C4A" w:rsidRDefault="00A06352" w:rsidP="005D6C4A">
            <w:r>
              <w:t>Read</w:t>
            </w:r>
            <w:r w:rsidR="00827F8B">
              <w:t xml:space="preserve">: </w:t>
            </w:r>
            <w:hyperlink r:id="rId13" w:anchor="/manchester-tfl/s/8935fdca" w:history="1">
              <w:r w:rsidRPr="00A06352">
                <w:rPr>
                  <w:rStyle w:val="Hyperlink"/>
                </w:rPr>
                <w:t>Overcoming an Immunity to Change</w:t>
              </w:r>
            </w:hyperlink>
            <w:r w:rsidR="00827F8B">
              <w:t xml:space="preserve"> </w:t>
            </w:r>
          </w:p>
          <w:p w:rsidR="00103708" w:rsidRPr="00103708" w:rsidRDefault="005D6C4A" w:rsidP="005D6C4A">
            <w:pPr>
              <w:rPr>
                <w:b/>
              </w:rPr>
            </w:pPr>
            <w:r w:rsidRPr="00142809">
              <w:rPr>
                <w:b/>
              </w:rPr>
              <w:t xml:space="preserve">L&amp;D Toolkit </w:t>
            </w:r>
            <w:r>
              <w:rPr>
                <w:b/>
              </w:rPr>
              <w:t xml:space="preserve">- </w:t>
            </w:r>
            <w:r w:rsidR="00A06352">
              <w:rPr>
                <w:b/>
              </w:rPr>
              <w:t>6</w:t>
            </w:r>
            <w:r w:rsidRPr="00142809">
              <w:rPr>
                <w:b/>
              </w:rPr>
              <w:t>mins</w:t>
            </w:r>
          </w:p>
        </w:tc>
      </w:tr>
      <w:tr w:rsidR="00632C59" w:rsidTr="00723DB9">
        <w:tc>
          <w:tcPr>
            <w:tcW w:w="1560" w:type="dxa"/>
          </w:tcPr>
          <w:p w:rsidR="00632C59" w:rsidRDefault="00632C59" w:rsidP="004F0774">
            <w:pPr>
              <w:jc w:val="center"/>
              <w:rPr>
                <w:noProof/>
                <w:lang w:eastAsia="en-GB"/>
              </w:rPr>
            </w:pPr>
            <w:r>
              <w:rPr>
                <w:noProof/>
                <w:lang w:eastAsia="en-GB"/>
              </w:rPr>
              <w:drawing>
                <wp:inline distT="0" distB="0" distL="0" distR="0" wp14:anchorId="258DBCEB" wp14:editId="4995441C">
                  <wp:extent cx="560717" cy="557099"/>
                  <wp:effectExtent l="0" t="0" r="0" b="0"/>
                  <wp:docPr id="61" name="Picture 6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0717" cy="557099"/>
                          </a:xfrm>
                          <a:prstGeom prst="rect">
                            <a:avLst/>
                          </a:prstGeom>
                          <a:noFill/>
                          <a:ln>
                            <a:noFill/>
                          </a:ln>
                        </pic:spPr>
                      </pic:pic>
                    </a:graphicData>
                  </a:graphic>
                </wp:inline>
              </w:drawing>
            </w:r>
          </w:p>
        </w:tc>
        <w:tc>
          <w:tcPr>
            <w:tcW w:w="8079" w:type="dxa"/>
            <w:vAlign w:val="center"/>
          </w:tcPr>
          <w:p w:rsidR="00632C59" w:rsidRDefault="00827F8B" w:rsidP="005D6C4A">
            <w:r>
              <w:t>Listen</w:t>
            </w:r>
            <w:r w:rsidR="00632C59">
              <w:t xml:space="preserve">: </w:t>
            </w:r>
            <w:hyperlink r:id="rId15" w:history="1">
              <w:r w:rsidR="00A06352" w:rsidRPr="00A06352">
                <w:rPr>
                  <w:rStyle w:val="Hyperlink"/>
                </w:rPr>
                <w:t>Leading Your Team Through Change</w:t>
              </w:r>
            </w:hyperlink>
          </w:p>
          <w:p w:rsidR="00632C59" w:rsidRPr="00632C59" w:rsidRDefault="00A06352" w:rsidP="005D6C4A">
            <w:pPr>
              <w:rPr>
                <w:b/>
              </w:rPr>
            </w:pPr>
            <w:r>
              <w:rPr>
                <w:b/>
              </w:rPr>
              <w:t>LinkedIn Learning – 21</w:t>
            </w:r>
            <w:r w:rsidR="00632C59" w:rsidRPr="00632C59">
              <w:rPr>
                <w:b/>
              </w:rPr>
              <w:t>mins</w:t>
            </w:r>
          </w:p>
        </w:tc>
      </w:tr>
    </w:tbl>
    <w:p w:rsidR="004F0774" w:rsidRDefault="004F0774" w:rsidP="00C754D5">
      <w:pPr>
        <w:spacing w:after="0"/>
      </w:pPr>
    </w:p>
    <w:tbl>
      <w:tblPr>
        <w:tblStyle w:val="TableGrid"/>
        <w:tblW w:w="0" w:type="auto"/>
        <w:tblLook w:val="04A0" w:firstRow="1" w:lastRow="0" w:firstColumn="1" w:lastColumn="0" w:noHBand="0" w:noVBand="1"/>
      </w:tblPr>
      <w:tblGrid>
        <w:gridCol w:w="9736"/>
      </w:tblGrid>
      <w:tr w:rsidR="00723DB9" w:rsidTr="00723DB9">
        <w:tc>
          <w:tcPr>
            <w:tcW w:w="9736" w:type="dxa"/>
          </w:tcPr>
          <w:p w:rsidR="00723DB9" w:rsidRPr="00723DB9" w:rsidRDefault="00723DB9" w:rsidP="00723DB9">
            <w:pPr>
              <w:rPr>
                <w:i/>
                <w:sz w:val="20"/>
              </w:rPr>
            </w:pPr>
            <w:r w:rsidRPr="00723DB9">
              <w:rPr>
                <w:i/>
                <w:sz w:val="20"/>
              </w:rPr>
              <w:t>Capture your notes here:</w:t>
            </w:r>
          </w:p>
          <w:p w:rsidR="00723DB9" w:rsidRDefault="00723DB9" w:rsidP="00A53DD8"/>
          <w:p w:rsidR="00723DB9" w:rsidRDefault="00723DB9" w:rsidP="00A53DD8"/>
          <w:p w:rsidR="00723DB9" w:rsidRDefault="00723DB9" w:rsidP="00A53DD8"/>
          <w:p w:rsidR="00723DB9" w:rsidRDefault="00723DB9" w:rsidP="00A53DD8"/>
        </w:tc>
      </w:tr>
    </w:tbl>
    <w:p w:rsidR="00723DB9" w:rsidRPr="004F0774" w:rsidRDefault="00723DB9" w:rsidP="00A53DD8"/>
    <w:sectPr w:rsidR="00723DB9" w:rsidRPr="004F0774" w:rsidSect="00A53D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703" w:rsidRDefault="003F3703" w:rsidP="007A3F1F">
      <w:pPr>
        <w:spacing w:after="0" w:line="240" w:lineRule="auto"/>
      </w:pPr>
      <w:r>
        <w:separator/>
      </w:r>
    </w:p>
  </w:endnote>
  <w:endnote w:type="continuationSeparator" w:id="0">
    <w:p w:rsidR="003F3703" w:rsidRDefault="003F3703" w:rsidP="007A3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703" w:rsidRDefault="003F3703" w:rsidP="007A3F1F">
      <w:pPr>
        <w:spacing w:after="0" w:line="240" w:lineRule="auto"/>
      </w:pPr>
      <w:r>
        <w:separator/>
      </w:r>
    </w:p>
  </w:footnote>
  <w:footnote w:type="continuationSeparator" w:id="0">
    <w:p w:rsidR="003F3703" w:rsidRDefault="003F3703" w:rsidP="007A3F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91176"/>
    <w:multiLevelType w:val="hybridMultilevel"/>
    <w:tmpl w:val="184A14E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32D3AC0"/>
    <w:multiLevelType w:val="hybridMultilevel"/>
    <w:tmpl w:val="374A70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1214384"/>
    <w:multiLevelType w:val="hybridMultilevel"/>
    <w:tmpl w:val="CF78C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E11C8A"/>
    <w:multiLevelType w:val="hybridMultilevel"/>
    <w:tmpl w:val="1A7AF8C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D5D2C27"/>
    <w:multiLevelType w:val="hybridMultilevel"/>
    <w:tmpl w:val="243EA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DA16D7E"/>
    <w:multiLevelType w:val="hybridMultilevel"/>
    <w:tmpl w:val="897AA83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F1F"/>
    <w:rsid w:val="000420E1"/>
    <w:rsid w:val="00103708"/>
    <w:rsid w:val="002564E0"/>
    <w:rsid w:val="002B6D06"/>
    <w:rsid w:val="00315330"/>
    <w:rsid w:val="003F3703"/>
    <w:rsid w:val="004F0774"/>
    <w:rsid w:val="005645CB"/>
    <w:rsid w:val="005D6C4A"/>
    <w:rsid w:val="00632C59"/>
    <w:rsid w:val="00723DB9"/>
    <w:rsid w:val="007A3F1F"/>
    <w:rsid w:val="00827F8B"/>
    <w:rsid w:val="008D6C74"/>
    <w:rsid w:val="008F7111"/>
    <w:rsid w:val="009E76D8"/>
    <w:rsid w:val="00A06352"/>
    <w:rsid w:val="00A15B6C"/>
    <w:rsid w:val="00A465BE"/>
    <w:rsid w:val="00A53DD8"/>
    <w:rsid w:val="00B6212F"/>
    <w:rsid w:val="00B800E6"/>
    <w:rsid w:val="00C754D5"/>
    <w:rsid w:val="00D728A7"/>
    <w:rsid w:val="00DB4798"/>
    <w:rsid w:val="00E6278F"/>
    <w:rsid w:val="00F376B0"/>
    <w:rsid w:val="00F63A98"/>
    <w:rsid w:val="00FC3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422F8"/>
  <w15:chartTrackingRefBased/>
  <w15:docId w15:val="{2826520E-5A88-4F42-9F9E-1493C24B2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F1F"/>
    <w:rPr>
      <w:rFonts w:ascii="Arial" w:hAnsi="Arial"/>
    </w:rPr>
  </w:style>
  <w:style w:type="paragraph" w:styleId="Heading1">
    <w:name w:val="heading 1"/>
    <w:basedOn w:val="Normal"/>
    <w:next w:val="Normal"/>
    <w:link w:val="Heading1Char"/>
    <w:uiPriority w:val="9"/>
    <w:qFormat/>
    <w:rsid w:val="007A3F1F"/>
    <w:pPr>
      <w:keepNext/>
      <w:keepLines/>
      <w:spacing w:before="240" w:after="0"/>
      <w:outlineLvl w:val="0"/>
    </w:pPr>
    <w:rPr>
      <w:rFonts w:eastAsiaTheme="majorEastAsia" w:cstheme="majorBidi"/>
      <w:b/>
      <w:color w:val="7030A0"/>
      <w:sz w:val="32"/>
      <w:szCs w:val="32"/>
    </w:rPr>
  </w:style>
  <w:style w:type="paragraph" w:styleId="Heading2">
    <w:name w:val="heading 2"/>
    <w:basedOn w:val="Normal"/>
    <w:next w:val="Normal"/>
    <w:link w:val="Heading2Char"/>
    <w:uiPriority w:val="9"/>
    <w:unhideWhenUsed/>
    <w:qFormat/>
    <w:rsid w:val="007A3F1F"/>
    <w:pPr>
      <w:keepNext/>
      <w:keepLines/>
      <w:spacing w:before="40" w:after="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F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F1F"/>
  </w:style>
  <w:style w:type="paragraph" w:styleId="Footer">
    <w:name w:val="footer"/>
    <w:basedOn w:val="Normal"/>
    <w:link w:val="FooterChar"/>
    <w:uiPriority w:val="99"/>
    <w:unhideWhenUsed/>
    <w:rsid w:val="007A3F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3F1F"/>
  </w:style>
  <w:style w:type="character" w:customStyle="1" w:styleId="Heading1Char">
    <w:name w:val="Heading 1 Char"/>
    <w:basedOn w:val="DefaultParagraphFont"/>
    <w:link w:val="Heading1"/>
    <w:uiPriority w:val="9"/>
    <w:rsid w:val="007A3F1F"/>
    <w:rPr>
      <w:rFonts w:ascii="Arial" w:eastAsiaTheme="majorEastAsia" w:hAnsi="Arial" w:cstheme="majorBidi"/>
      <w:b/>
      <w:color w:val="7030A0"/>
      <w:sz w:val="32"/>
      <w:szCs w:val="32"/>
    </w:rPr>
  </w:style>
  <w:style w:type="character" w:customStyle="1" w:styleId="Heading2Char">
    <w:name w:val="Heading 2 Char"/>
    <w:basedOn w:val="DefaultParagraphFont"/>
    <w:link w:val="Heading2"/>
    <w:uiPriority w:val="9"/>
    <w:rsid w:val="007A3F1F"/>
    <w:rPr>
      <w:rFonts w:ascii="Arial" w:eastAsiaTheme="majorEastAsia" w:hAnsi="Arial" w:cstheme="majorBidi"/>
      <w:b/>
      <w:sz w:val="26"/>
      <w:szCs w:val="26"/>
    </w:rPr>
  </w:style>
  <w:style w:type="paragraph" w:styleId="ListParagraph">
    <w:name w:val="List Paragraph"/>
    <w:basedOn w:val="Normal"/>
    <w:uiPriority w:val="34"/>
    <w:qFormat/>
    <w:rsid w:val="007A3F1F"/>
    <w:pPr>
      <w:ind w:left="720"/>
      <w:contextualSpacing/>
    </w:pPr>
  </w:style>
  <w:style w:type="table" w:styleId="TableGrid">
    <w:name w:val="Table Grid"/>
    <w:basedOn w:val="TableNormal"/>
    <w:uiPriority w:val="39"/>
    <w:rsid w:val="007A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0774"/>
    <w:rPr>
      <w:color w:val="0563C1" w:themeColor="hyperlink"/>
      <w:u w:val="single"/>
    </w:rPr>
  </w:style>
  <w:style w:type="character" w:styleId="FollowedHyperlink">
    <w:name w:val="FollowedHyperlink"/>
    <w:basedOn w:val="DefaultParagraphFont"/>
    <w:uiPriority w:val="99"/>
    <w:semiHidden/>
    <w:unhideWhenUsed/>
    <w:rsid w:val="005D6C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app.goodpractice.net/"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manchester.ac.uk/training/profile.aspx?unitid=7915&amp;parentId=4&amp;returnId=4" TargetMode="External"/><Relationship Id="rId5" Type="http://schemas.openxmlformats.org/officeDocument/2006/relationships/footnotes" Target="footnotes.xml"/><Relationship Id="rId15" Type="http://schemas.openxmlformats.org/officeDocument/2006/relationships/hyperlink" Target="https://www.linkedin.com/learning/leading-your-team-through-change/leading-your-team-through-change-2?contextUrn=urn%3Ali%3AlyndaLearningCollection%3A1~AAAAAARzIHo%3D309213&amp;u=74653818"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Cadd</dc:creator>
  <cp:keywords/>
  <dc:description/>
  <cp:lastModifiedBy>Esther Cadd</cp:lastModifiedBy>
  <cp:revision>5</cp:revision>
  <dcterms:created xsi:type="dcterms:W3CDTF">2020-12-18T10:12:00Z</dcterms:created>
  <dcterms:modified xsi:type="dcterms:W3CDTF">2020-12-18T10:34:00Z</dcterms:modified>
</cp:coreProperties>
</file>