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1F" w:rsidRDefault="001238AD">
      <w:r w:rsidRPr="007A3F1F">
        <w:rPr>
          <w:noProof/>
          <w:lang w:eastAsia="en-GB"/>
        </w:rPr>
        <w:drawing>
          <wp:anchor distT="0" distB="0" distL="114300" distR="114300" simplePos="0" relativeHeight="251658240" behindDoc="0" locked="0" layoutInCell="1" allowOverlap="1">
            <wp:simplePos x="0" y="0"/>
            <wp:positionH relativeFrom="page">
              <wp:align>right</wp:align>
            </wp:positionH>
            <wp:positionV relativeFrom="paragraph">
              <wp:posOffset>-914400</wp:posOffset>
            </wp:positionV>
            <wp:extent cx="1597025" cy="1437640"/>
            <wp:effectExtent l="0" t="0" r="3175" b="0"/>
            <wp:wrapNone/>
            <wp:docPr id="3"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7025" cy="1437640"/>
                    </a:xfrm>
                    <a:prstGeom prst="rect">
                      <a:avLst/>
                    </a:prstGeom>
                  </pic:spPr>
                </pic:pic>
              </a:graphicData>
            </a:graphic>
            <wp14:sizeRelH relativeFrom="page">
              <wp14:pctWidth>0</wp14:pctWidth>
            </wp14:sizeRelH>
            <wp14:sizeRelV relativeFrom="page">
              <wp14:pctHeight>0</wp14:pctHeight>
            </wp14:sizeRelV>
          </wp:anchor>
        </w:drawing>
      </w:r>
      <w:r w:rsidR="00A53DD8" w:rsidRPr="007A3F1F">
        <w:rPr>
          <w:noProof/>
          <w:lang w:eastAsia="en-GB"/>
        </w:rPr>
        <w:drawing>
          <wp:anchor distT="0" distB="0" distL="114300" distR="114300" simplePos="0" relativeHeight="251659264" behindDoc="0" locked="0" layoutInCell="1" allowOverlap="1">
            <wp:simplePos x="0" y="0"/>
            <wp:positionH relativeFrom="column">
              <wp:posOffset>-261952</wp:posOffset>
            </wp:positionH>
            <wp:positionV relativeFrom="paragraph">
              <wp:posOffset>-611725</wp:posOffset>
            </wp:positionV>
            <wp:extent cx="1663700" cy="711200"/>
            <wp:effectExtent l="0" t="0" r="0" b="0"/>
            <wp:wrapNone/>
            <wp:docPr id="7"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_col_white_background.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A3F1F" w:rsidRDefault="007A3F1F" w:rsidP="00A53DD8">
      <w:pPr>
        <w:pStyle w:val="Heading1"/>
        <w:spacing w:before="0" w:after="240"/>
      </w:pPr>
      <w:r>
        <w:t>Change Leadership Skill</w:t>
      </w:r>
      <w:r w:rsidR="002564E0">
        <w:t>s</w:t>
      </w:r>
      <w:r>
        <w:t xml:space="preserve"> Framework: </w:t>
      </w:r>
      <w:r w:rsidR="00F16417">
        <w:rPr>
          <w:i/>
        </w:rPr>
        <w:t>Personal Resilience</w:t>
      </w:r>
    </w:p>
    <w:p w:rsidR="007A3F1F" w:rsidRDefault="007A3F1F" w:rsidP="007A3F1F">
      <w:pPr>
        <w:pStyle w:val="Heading2"/>
        <w:spacing w:after="120"/>
      </w:pPr>
      <w:r>
        <w:t>Definition</w:t>
      </w:r>
    </w:p>
    <w:p w:rsidR="00B6212F" w:rsidRDefault="00F16417" w:rsidP="005645CB">
      <w:pPr>
        <w:spacing w:after="120"/>
      </w:pPr>
      <w:r>
        <w:rPr>
          <w:i/>
        </w:rPr>
        <w:t>Personal Resilience</w:t>
      </w:r>
      <w:r w:rsidR="001238AD" w:rsidRPr="001238AD">
        <w:t xml:space="preserve"> </w:t>
      </w:r>
      <w:r w:rsidRPr="00F16417">
        <w:t>centres on self-awareness; having a good understanding of personal levels of resilience and when to access support, as well as being proactive with good everyday habits to promote resilience levels. It is also about the ability to recover from setbacks, and have an overall positive outlook towards the technical review and the direction for the service.</w:t>
      </w:r>
    </w:p>
    <w:p w:rsidR="007A3F1F" w:rsidRPr="00A53DD8" w:rsidRDefault="007A3F1F" w:rsidP="005645CB">
      <w:pPr>
        <w:spacing w:after="120"/>
        <w:rPr>
          <w:u w:val="single"/>
        </w:rPr>
      </w:pPr>
      <w:r w:rsidRPr="00A53DD8">
        <w:rPr>
          <w:u w:val="single"/>
        </w:rPr>
        <w:t xml:space="preserve">Behavioural indicators </w:t>
      </w:r>
    </w:p>
    <w:p w:rsidR="00F16417" w:rsidRPr="00F16417" w:rsidRDefault="00F16417" w:rsidP="00F16417">
      <w:pPr>
        <w:pStyle w:val="ListParagraph"/>
        <w:numPr>
          <w:ilvl w:val="0"/>
          <w:numId w:val="5"/>
        </w:numPr>
        <w:rPr>
          <w:rFonts w:eastAsiaTheme="majorEastAsia" w:cstheme="majorBidi"/>
          <w:b/>
          <w:sz w:val="26"/>
          <w:szCs w:val="26"/>
        </w:rPr>
      </w:pPr>
      <w:r w:rsidRPr="00F16417">
        <w:t xml:space="preserve">I acknowledge when I’m struggling and access support when I need it. </w:t>
      </w:r>
    </w:p>
    <w:p w:rsidR="00F16417" w:rsidRPr="00F16417" w:rsidRDefault="00F16417" w:rsidP="00F16417">
      <w:pPr>
        <w:pStyle w:val="ListParagraph"/>
        <w:numPr>
          <w:ilvl w:val="0"/>
          <w:numId w:val="5"/>
        </w:numPr>
        <w:rPr>
          <w:rFonts w:eastAsiaTheme="majorEastAsia" w:cstheme="majorBidi"/>
          <w:b/>
          <w:sz w:val="26"/>
          <w:szCs w:val="26"/>
        </w:rPr>
      </w:pPr>
      <w:r w:rsidRPr="001238AD">
        <w:rPr>
          <w:rFonts w:eastAsiaTheme="majorEastAsia" w:cstheme="majorBidi"/>
          <w:b/>
          <w:noProof/>
          <w:sz w:val="26"/>
          <w:szCs w:val="26"/>
          <w:lang w:eastAsia="en-GB"/>
        </w:rPr>
        <w:drawing>
          <wp:anchor distT="0" distB="0" distL="114300" distR="114300" simplePos="0" relativeHeight="251660288" behindDoc="1" locked="0" layoutInCell="1" allowOverlap="1">
            <wp:simplePos x="0" y="0"/>
            <wp:positionH relativeFrom="column">
              <wp:posOffset>4582948</wp:posOffset>
            </wp:positionH>
            <wp:positionV relativeFrom="paragraph">
              <wp:posOffset>47396</wp:posOffset>
            </wp:positionV>
            <wp:extent cx="1541145" cy="1535430"/>
            <wp:effectExtent l="0" t="0" r="1905" b="7620"/>
            <wp:wrapTight wrapText="bothSides">
              <wp:wrapPolygon edited="0">
                <wp:start x="0" y="0"/>
                <wp:lineTo x="0" y="21439"/>
                <wp:lineTo x="21360" y="21439"/>
                <wp:lineTo x="213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14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417">
        <w:t xml:space="preserve">I have good every day habits to support my personal resilience </w:t>
      </w:r>
    </w:p>
    <w:p w:rsidR="00F16417" w:rsidRPr="00F16417" w:rsidRDefault="00F16417" w:rsidP="00F16417">
      <w:pPr>
        <w:pStyle w:val="ListParagraph"/>
        <w:numPr>
          <w:ilvl w:val="0"/>
          <w:numId w:val="5"/>
        </w:numPr>
        <w:rPr>
          <w:rFonts w:eastAsiaTheme="majorEastAsia" w:cstheme="majorBidi"/>
          <w:b/>
          <w:sz w:val="26"/>
          <w:szCs w:val="26"/>
        </w:rPr>
      </w:pPr>
      <w:r w:rsidRPr="00F16417">
        <w:t xml:space="preserve">I feel able to bounce back from setbacks and challenges </w:t>
      </w:r>
    </w:p>
    <w:p w:rsidR="002B6D06" w:rsidRPr="001238AD" w:rsidRDefault="00F16417" w:rsidP="00F16417">
      <w:pPr>
        <w:pStyle w:val="ListParagraph"/>
        <w:numPr>
          <w:ilvl w:val="0"/>
          <w:numId w:val="5"/>
        </w:numPr>
        <w:rPr>
          <w:rFonts w:eastAsiaTheme="majorEastAsia" w:cstheme="majorBidi"/>
          <w:b/>
          <w:sz w:val="26"/>
          <w:szCs w:val="26"/>
        </w:rPr>
      </w:pPr>
      <w:r w:rsidRPr="00F16417">
        <w:t>I am optimistic and feel positive about the o</w:t>
      </w:r>
      <w:r>
        <w:t>utcomes of the Technical Review</w:t>
      </w:r>
      <w:r w:rsidR="00784362" w:rsidRPr="00784362">
        <w:t xml:space="preserve">. </w:t>
      </w:r>
    </w:p>
    <w:p w:rsidR="002564E0" w:rsidRPr="002B6D06" w:rsidRDefault="005645CB" w:rsidP="002B6D06">
      <w:pPr>
        <w:pStyle w:val="Heading2"/>
        <w:spacing w:after="120"/>
        <w:rPr>
          <w:sz w:val="24"/>
        </w:rPr>
      </w:pPr>
      <w:r>
        <w:t>Example</w:t>
      </w:r>
      <w:r w:rsidR="002564E0">
        <w:t xml:space="preserve"> on-the-job development activities </w:t>
      </w:r>
      <w:r w:rsidR="002564E0" w:rsidRPr="002B6D06">
        <w:rPr>
          <w:b w:val="0"/>
          <w:i/>
        </w:rPr>
        <w:t>(70)</w:t>
      </w:r>
    </w:p>
    <w:p w:rsidR="00A73F7D" w:rsidRDefault="00A73F7D" w:rsidP="005D3922">
      <w:pPr>
        <w:pStyle w:val="ListParagraph"/>
        <w:numPr>
          <w:ilvl w:val="0"/>
          <w:numId w:val="6"/>
        </w:numPr>
      </w:pPr>
      <w:r>
        <w:t xml:space="preserve"> </w:t>
      </w:r>
      <w:r w:rsidR="0034093F">
        <w:t xml:space="preserve">Complete an assessment of where you get your resilience from (suggested tool below) and think about </w:t>
      </w:r>
      <w:r w:rsidR="0035728E">
        <w:t>the implications of this for you in your role. Are there any risks or gaps that you need to fill?</w:t>
      </w:r>
    </w:p>
    <w:p w:rsidR="0035728E" w:rsidRDefault="0035728E" w:rsidP="005D3922">
      <w:pPr>
        <w:pStyle w:val="ListParagraph"/>
        <w:numPr>
          <w:ilvl w:val="0"/>
          <w:numId w:val="6"/>
        </w:numPr>
      </w:pPr>
      <w:r>
        <w:t xml:space="preserve">Map out the things that top-up your resilience, and the things that drain on your resilience levels. Talk to a trusted colleague about steps you can take to manage your ‘drains’ so they don’t have a negative impact. </w:t>
      </w:r>
    </w:p>
    <w:p w:rsidR="0035728E" w:rsidRDefault="0035728E" w:rsidP="005D3922">
      <w:pPr>
        <w:pStyle w:val="ListParagraph"/>
        <w:numPr>
          <w:ilvl w:val="0"/>
          <w:numId w:val="6"/>
        </w:numPr>
      </w:pPr>
      <w:r>
        <w:t xml:space="preserve">Encourage open conversations in your team about resilience and wellbeing, in both team meetings and in 1:1s. Encourage colleagues to share their tips to keep their resilience high and discuss habits and behaviours that the team can adopt to support each other’s’ resilience.  </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723DB9"/>
          <w:p w:rsidR="00723DB9" w:rsidRDefault="00723DB9" w:rsidP="00723DB9"/>
          <w:p w:rsidR="00723DB9" w:rsidRDefault="00723DB9" w:rsidP="00723DB9"/>
          <w:p w:rsidR="00723DB9" w:rsidRDefault="00723DB9" w:rsidP="00723DB9"/>
        </w:tc>
      </w:tr>
    </w:tbl>
    <w:p w:rsidR="00723DB9" w:rsidRPr="005D6C4A" w:rsidRDefault="00723DB9" w:rsidP="00C754D5">
      <w:pPr>
        <w:spacing w:after="0"/>
      </w:pPr>
    </w:p>
    <w:p w:rsidR="002564E0" w:rsidRDefault="002564E0" w:rsidP="002564E0">
      <w:pPr>
        <w:pStyle w:val="Heading2"/>
        <w:spacing w:after="120"/>
      </w:pPr>
      <w:r>
        <w:t>Suggested reflection</w:t>
      </w:r>
      <w:r w:rsidR="005645CB">
        <w:t xml:space="preserve"> </w:t>
      </w:r>
      <w:r>
        <w:t>/</w:t>
      </w:r>
      <w:r w:rsidR="005645CB">
        <w:t xml:space="preserve"> </w:t>
      </w:r>
      <w:r>
        <w:t xml:space="preserve">discussion questions </w:t>
      </w:r>
      <w:r w:rsidRPr="002564E0">
        <w:rPr>
          <w:b w:val="0"/>
          <w:i/>
        </w:rPr>
        <w:t>(20)</w:t>
      </w:r>
    </w:p>
    <w:p w:rsidR="002564E0" w:rsidRDefault="002564E0" w:rsidP="002564E0">
      <w:r>
        <w:t xml:space="preserve">Q: </w:t>
      </w:r>
      <w:r w:rsidR="00F16417">
        <w:t>What network do you have around you in your role that you can access when you feel you need support?</w:t>
      </w:r>
    </w:p>
    <w:p w:rsidR="002564E0" w:rsidRDefault="002564E0" w:rsidP="002564E0">
      <w:r>
        <w:t xml:space="preserve">Q: </w:t>
      </w:r>
      <w:r w:rsidR="00F16417">
        <w:t xml:space="preserve">Rate you level of optimism for the outcomes of the Technical Review on a scale of 1-10. Consider </w:t>
      </w:r>
      <w:r w:rsidR="0034093F">
        <w:t xml:space="preserve">1) where you need it to be and how you could get it there, and 2) </w:t>
      </w:r>
      <w:r w:rsidR="00F16417">
        <w:t>how your level of optimism will be affecting your team.</w:t>
      </w:r>
    </w:p>
    <w:p w:rsidR="002564E0" w:rsidRDefault="002564E0" w:rsidP="00A53DD8">
      <w:pPr>
        <w:spacing w:after="240"/>
      </w:pPr>
      <w:r>
        <w:t xml:space="preserve">Q: </w:t>
      </w:r>
      <w:r w:rsidR="0035728E">
        <w:t xml:space="preserve">Reflect on your personal levels of adaptability, and how this may be impacting your resilience during periods of change. </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Pr>
              <w:spacing w:after="240"/>
            </w:pPr>
          </w:p>
          <w:p w:rsidR="00723DB9" w:rsidRDefault="00723DB9" w:rsidP="00A53DD8">
            <w:pPr>
              <w:spacing w:after="240"/>
            </w:pPr>
          </w:p>
        </w:tc>
      </w:tr>
    </w:tbl>
    <w:p w:rsidR="007A3F1F" w:rsidRDefault="002564E0" w:rsidP="00C754D5">
      <w:pPr>
        <w:pStyle w:val="Heading2"/>
        <w:spacing w:before="100" w:beforeAutospacing="1" w:after="120"/>
      </w:pPr>
      <w:r>
        <w:lastRenderedPageBreak/>
        <w:t>Recommended</w:t>
      </w:r>
      <w:r w:rsidR="007A3F1F">
        <w:t xml:space="preserve"> learning resources</w:t>
      </w:r>
      <w:r>
        <w:t xml:space="preserve"> </w:t>
      </w:r>
      <w:r w:rsidRPr="002564E0">
        <w:rPr>
          <w:b w:val="0"/>
          <w:i/>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5D6C4A" w:rsidTr="007762F6">
        <w:trPr>
          <w:trHeight w:val="981"/>
        </w:trPr>
        <w:tc>
          <w:tcPr>
            <w:tcW w:w="1560" w:type="dxa"/>
            <w:vAlign w:val="center"/>
          </w:tcPr>
          <w:p w:rsidR="007A3F1F" w:rsidRDefault="002C6639" w:rsidP="004F0774">
            <w:pPr>
              <w:jc w:val="center"/>
            </w:pPr>
            <w:r w:rsidRPr="007A3F1F">
              <w:rPr>
                <w:noProof/>
                <w:lang w:eastAsia="en-GB"/>
              </w:rPr>
              <w:drawing>
                <wp:anchor distT="0" distB="0" distL="114300" distR="114300" simplePos="0" relativeHeight="251662336" behindDoc="0" locked="0" layoutInCell="1" allowOverlap="1" wp14:anchorId="57A5680C" wp14:editId="7F958247">
                  <wp:simplePos x="0" y="0"/>
                  <wp:positionH relativeFrom="page">
                    <wp:posOffset>152400</wp:posOffset>
                  </wp:positionH>
                  <wp:positionV relativeFrom="paragraph">
                    <wp:posOffset>45085</wp:posOffset>
                  </wp:positionV>
                  <wp:extent cx="666750" cy="600075"/>
                  <wp:effectExtent l="0" t="0" r="0" b="0"/>
                  <wp:wrapNone/>
                  <wp:docPr id="5"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00075"/>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vAlign w:val="center"/>
          </w:tcPr>
          <w:p w:rsidR="007B655E" w:rsidRDefault="00325EF2" w:rsidP="007B655E">
            <w:r>
              <w:t xml:space="preserve">Attend: </w:t>
            </w:r>
            <w:hyperlink r:id="rId11" w:history="1">
              <w:r w:rsidRPr="00325EF2">
                <w:rPr>
                  <w:rStyle w:val="Hyperlink"/>
                </w:rPr>
                <w:t>Developing Personal Resilience for Change</w:t>
              </w:r>
            </w:hyperlink>
          </w:p>
          <w:p w:rsidR="00325EF2" w:rsidRPr="00325EF2" w:rsidRDefault="00325EF2" w:rsidP="007B655E">
            <w:pPr>
              <w:rPr>
                <w:b/>
              </w:rPr>
            </w:pPr>
            <w:r w:rsidRPr="00325EF2">
              <w:rPr>
                <w:b/>
              </w:rPr>
              <w:t>Learning for All Course – 2.5hours</w:t>
            </w:r>
          </w:p>
        </w:tc>
      </w:tr>
      <w:tr w:rsidR="0035728E" w:rsidTr="007762F6">
        <w:trPr>
          <w:trHeight w:val="981"/>
        </w:trPr>
        <w:tc>
          <w:tcPr>
            <w:tcW w:w="1560" w:type="dxa"/>
            <w:vAlign w:val="center"/>
          </w:tcPr>
          <w:p w:rsidR="0035728E" w:rsidRPr="007A3F1F" w:rsidRDefault="0035728E" w:rsidP="004F0774">
            <w:pPr>
              <w:jc w:val="center"/>
              <w:rPr>
                <w:noProof/>
                <w:lang w:eastAsia="en-GB"/>
              </w:rPr>
            </w:pPr>
            <w:r>
              <w:rPr>
                <w:noProof/>
                <w:lang w:eastAsia="en-GB"/>
              </w:rPr>
              <w:drawing>
                <wp:inline distT="0" distB="0" distL="0" distR="0" wp14:anchorId="7B3BC93D" wp14:editId="3FA4234B">
                  <wp:extent cx="560717" cy="557099"/>
                  <wp:effectExtent l="0" t="0" r="0" b="0"/>
                  <wp:docPr id="61" name="Picture 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717" cy="557099"/>
                          </a:xfrm>
                          <a:prstGeom prst="rect">
                            <a:avLst/>
                          </a:prstGeom>
                          <a:noFill/>
                          <a:ln>
                            <a:noFill/>
                          </a:ln>
                        </pic:spPr>
                      </pic:pic>
                    </a:graphicData>
                  </a:graphic>
                </wp:inline>
              </w:drawing>
            </w:r>
          </w:p>
        </w:tc>
        <w:tc>
          <w:tcPr>
            <w:tcW w:w="8079" w:type="dxa"/>
            <w:vAlign w:val="center"/>
          </w:tcPr>
          <w:p w:rsidR="0035728E" w:rsidRDefault="0035728E" w:rsidP="005D3922">
            <w:r>
              <w:t xml:space="preserve">Watch: </w:t>
            </w:r>
            <w:hyperlink r:id="rId13" w:history="1">
              <w:r w:rsidRPr="0035728E">
                <w:rPr>
                  <w:rStyle w:val="Hyperlink"/>
                </w:rPr>
                <w:t>Building Resilience</w:t>
              </w:r>
            </w:hyperlink>
          </w:p>
          <w:p w:rsidR="0035728E" w:rsidRPr="0035728E" w:rsidRDefault="0035728E" w:rsidP="005D3922">
            <w:pPr>
              <w:rPr>
                <w:b/>
              </w:rPr>
            </w:pPr>
            <w:r w:rsidRPr="0035728E">
              <w:rPr>
                <w:b/>
              </w:rPr>
              <w:t>LinkedIn Learning – 34mins</w:t>
            </w:r>
          </w:p>
        </w:tc>
      </w:tr>
      <w:tr w:rsidR="00325EF2" w:rsidTr="007762F6">
        <w:trPr>
          <w:trHeight w:val="981"/>
        </w:trPr>
        <w:tc>
          <w:tcPr>
            <w:tcW w:w="1560" w:type="dxa"/>
            <w:vAlign w:val="center"/>
          </w:tcPr>
          <w:p w:rsidR="00325EF2" w:rsidRDefault="00325EF2" w:rsidP="004F0774">
            <w:pPr>
              <w:jc w:val="center"/>
              <w:rPr>
                <w:noProof/>
                <w:lang w:eastAsia="en-GB"/>
              </w:rPr>
            </w:pPr>
            <w:r>
              <w:rPr>
                <w:noProof/>
                <w:lang w:eastAsia="en-GB"/>
              </w:rPr>
              <w:drawing>
                <wp:inline distT="0" distB="0" distL="0" distR="0" wp14:anchorId="72ABDCC7" wp14:editId="704990AA">
                  <wp:extent cx="526695" cy="589067"/>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996" cy="600588"/>
                          </a:xfrm>
                          <a:prstGeom prst="rect">
                            <a:avLst/>
                          </a:prstGeom>
                        </pic:spPr>
                      </pic:pic>
                    </a:graphicData>
                  </a:graphic>
                </wp:inline>
              </w:drawing>
            </w:r>
          </w:p>
        </w:tc>
        <w:tc>
          <w:tcPr>
            <w:tcW w:w="8079" w:type="dxa"/>
            <w:vAlign w:val="center"/>
          </w:tcPr>
          <w:p w:rsidR="00325EF2" w:rsidRDefault="00325EF2" w:rsidP="005D3922">
            <w:r>
              <w:t xml:space="preserve">Complete: </w:t>
            </w:r>
            <w:hyperlink r:id="rId15" w:history="1">
              <w:r w:rsidRPr="00325EF2">
                <w:rPr>
                  <w:rStyle w:val="Hyperlink"/>
                </w:rPr>
                <w:t>Self-Coaching Modules</w:t>
              </w:r>
            </w:hyperlink>
            <w:bookmarkStart w:id="0" w:name="_GoBack"/>
            <w:bookmarkEnd w:id="0"/>
          </w:p>
          <w:p w:rsidR="00325EF2" w:rsidRPr="00325EF2" w:rsidRDefault="00325EF2" w:rsidP="005D3922">
            <w:pPr>
              <w:rPr>
                <w:b/>
              </w:rPr>
            </w:pPr>
            <w:r w:rsidRPr="00325EF2">
              <w:rPr>
                <w:b/>
              </w:rPr>
              <w:t>Mindset – (various)</w:t>
            </w:r>
          </w:p>
        </w:tc>
      </w:tr>
    </w:tbl>
    <w:p w:rsidR="004F0774" w:rsidRDefault="004F0774" w:rsidP="00C754D5">
      <w:pPr>
        <w:spacing w:after="0"/>
      </w:pP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 w:rsidR="00723DB9" w:rsidRDefault="00723DB9" w:rsidP="00A53DD8"/>
          <w:p w:rsidR="00723DB9" w:rsidRDefault="00723DB9" w:rsidP="00A53DD8"/>
          <w:p w:rsidR="00723DB9" w:rsidRDefault="00723DB9" w:rsidP="00A53DD8"/>
        </w:tc>
      </w:tr>
    </w:tbl>
    <w:p w:rsidR="00723DB9" w:rsidRPr="004F0774" w:rsidRDefault="00723DB9" w:rsidP="00A53DD8"/>
    <w:sectPr w:rsidR="00723DB9" w:rsidRPr="004F0774" w:rsidSect="00A53D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03" w:rsidRDefault="003F3703" w:rsidP="007A3F1F">
      <w:pPr>
        <w:spacing w:after="0" w:line="240" w:lineRule="auto"/>
      </w:pPr>
      <w:r>
        <w:separator/>
      </w:r>
    </w:p>
  </w:endnote>
  <w:endnote w:type="continuationSeparator" w:id="0">
    <w:p w:rsidR="003F3703" w:rsidRDefault="003F3703" w:rsidP="007A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03" w:rsidRDefault="003F3703" w:rsidP="007A3F1F">
      <w:pPr>
        <w:spacing w:after="0" w:line="240" w:lineRule="auto"/>
      </w:pPr>
      <w:r>
        <w:separator/>
      </w:r>
    </w:p>
  </w:footnote>
  <w:footnote w:type="continuationSeparator" w:id="0">
    <w:p w:rsidR="003F3703" w:rsidRDefault="003F3703" w:rsidP="007A3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176"/>
    <w:multiLevelType w:val="hybridMultilevel"/>
    <w:tmpl w:val="184A14E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D3AC0"/>
    <w:multiLevelType w:val="hybridMultilevel"/>
    <w:tmpl w:val="B22E0016"/>
    <w:lvl w:ilvl="0" w:tplc="85EC337C">
      <w:start w:val="1"/>
      <w:numFmt w:val="decimal"/>
      <w:lvlText w:val="%1."/>
      <w:lvlJc w:val="left"/>
      <w:pPr>
        <w:ind w:left="360" w:hanging="360"/>
      </w:pPr>
      <w:rPr>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214384"/>
    <w:multiLevelType w:val="hybridMultilevel"/>
    <w:tmpl w:val="CF78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11C8A"/>
    <w:multiLevelType w:val="hybridMultilevel"/>
    <w:tmpl w:val="1A7AF8C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D2C27"/>
    <w:multiLevelType w:val="hybridMultilevel"/>
    <w:tmpl w:val="243E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A16D7E"/>
    <w:multiLevelType w:val="hybridMultilevel"/>
    <w:tmpl w:val="897AA8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1F"/>
    <w:rsid w:val="0001373F"/>
    <w:rsid w:val="000420E1"/>
    <w:rsid w:val="0005388F"/>
    <w:rsid w:val="000937B2"/>
    <w:rsid w:val="00103708"/>
    <w:rsid w:val="001238AD"/>
    <w:rsid w:val="00177BC8"/>
    <w:rsid w:val="002564E0"/>
    <w:rsid w:val="002B6D06"/>
    <w:rsid w:val="002C6639"/>
    <w:rsid w:val="00315330"/>
    <w:rsid w:val="00325EF2"/>
    <w:rsid w:val="0034093F"/>
    <w:rsid w:val="0035728E"/>
    <w:rsid w:val="003F3703"/>
    <w:rsid w:val="0041328A"/>
    <w:rsid w:val="00457827"/>
    <w:rsid w:val="004F0774"/>
    <w:rsid w:val="005645CB"/>
    <w:rsid w:val="00575F6B"/>
    <w:rsid w:val="005D3922"/>
    <w:rsid w:val="005D6C4A"/>
    <w:rsid w:val="00632C59"/>
    <w:rsid w:val="00723DB9"/>
    <w:rsid w:val="00730593"/>
    <w:rsid w:val="007762F6"/>
    <w:rsid w:val="00784362"/>
    <w:rsid w:val="007A3F1F"/>
    <w:rsid w:val="007B655E"/>
    <w:rsid w:val="00827F8B"/>
    <w:rsid w:val="008C0AFA"/>
    <w:rsid w:val="008D6C74"/>
    <w:rsid w:val="008F7111"/>
    <w:rsid w:val="009343B0"/>
    <w:rsid w:val="009E0932"/>
    <w:rsid w:val="00A15B6C"/>
    <w:rsid w:val="00A465BE"/>
    <w:rsid w:val="00A53DD8"/>
    <w:rsid w:val="00A73F7D"/>
    <w:rsid w:val="00A971D5"/>
    <w:rsid w:val="00B6212F"/>
    <w:rsid w:val="00B90A5E"/>
    <w:rsid w:val="00C754D5"/>
    <w:rsid w:val="00D27D02"/>
    <w:rsid w:val="00D728A7"/>
    <w:rsid w:val="00E6278F"/>
    <w:rsid w:val="00F01463"/>
    <w:rsid w:val="00F16417"/>
    <w:rsid w:val="00FC3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E0D2"/>
  <w15:chartTrackingRefBased/>
  <w15:docId w15:val="{2826520E-5A88-4F42-9F9E-1493C24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F1F"/>
    <w:rPr>
      <w:rFonts w:ascii="Arial" w:hAnsi="Arial"/>
    </w:rPr>
  </w:style>
  <w:style w:type="paragraph" w:styleId="Heading1">
    <w:name w:val="heading 1"/>
    <w:basedOn w:val="Normal"/>
    <w:next w:val="Normal"/>
    <w:link w:val="Heading1Char"/>
    <w:uiPriority w:val="9"/>
    <w:qFormat/>
    <w:rsid w:val="007A3F1F"/>
    <w:pPr>
      <w:keepNext/>
      <w:keepLines/>
      <w:spacing w:before="240" w:after="0"/>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7A3F1F"/>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F1F"/>
  </w:style>
  <w:style w:type="paragraph" w:styleId="Footer">
    <w:name w:val="footer"/>
    <w:basedOn w:val="Normal"/>
    <w:link w:val="FooterChar"/>
    <w:uiPriority w:val="99"/>
    <w:unhideWhenUsed/>
    <w:rsid w:val="007A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1F"/>
  </w:style>
  <w:style w:type="character" w:customStyle="1" w:styleId="Heading1Char">
    <w:name w:val="Heading 1 Char"/>
    <w:basedOn w:val="DefaultParagraphFont"/>
    <w:link w:val="Heading1"/>
    <w:uiPriority w:val="9"/>
    <w:rsid w:val="007A3F1F"/>
    <w:rPr>
      <w:rFonts w:ascii="Arial" w:eastAsiaTheme="majorEastAsia" w:hAnsi="Arial" w:cstheme="majorBidi"/>
      <w:b/>
      <w:color w:val="7030A0"/>
      <w:sz w:val="32"/>
      <w:szCs w:val="32"/>
    </w:rPr>
  </w:style>
  <w:style w:type="character" w:customStyle="1" w:styleId="Heading2Char">
    <w:name w:val="Heading 2 Char"/>
    <w:basedOn w:val="DefaultParagraphFont"/>
    <w:link w:val="Heading2"/>
    <w:uiPriority w:val="9"/>
    <w:rsid w:val="007A3F1F"/>
    <w:rPr>
      <w:rFonts w:ascii="Arial" w:eastAsiaTheme="majorEastAsia" w:hAnsi="Arial" w:cstheme="majorBidi"/>
      <w:b/>
      <w:sz w:val="26"/>
      <w:szCs w:val="26"/>
    </w:rPr>
  </w:style>
  <w:style w:type="paragraph" w:styleId="ListParagraph">
    <w:name w:val="List Paragraph"/>
    <w:basedOn w:val="Normal"/>
    <w:uiPriority w:val="34"/>
    <w:qFormat/>
    <w:rsid w:val="007A3F1F"/>
    <w:pPr>
      <w:ind w:left="720"/>
      <w:contextualSpacing/>
    </w:pPr>
  </w:style>
  <w:style w:type="table" w:styleId="TableGrid">
    <w:name w:val="Table Grid"/>
    <w:basedOn w:val="TableNormal"/>
    <w:uiPriority w:val="39"/>
    <w:rsid w:val="007A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774"/>
    <w:rPr>
      <w:color w:val="0563C1" w:themeColor="hyperlink"/>
      <w:u w:val="single"/>
    </w:rPr>
  </w:style>
  <w:style w:type="character" w:styleId="FollowedHyperlink">
    <w:name w:val="FollowedHyperlink"/>
    <w:basedOn w:val="DefaultParagraphFont"/>
    <w:uiPriority w:val="99"/>
    <w:semiHidden/>
    <w:unhideWhenUsed/>
    <w:rsid w:val="005D6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linkedin.com/learning/building-resilience/become-resilient?u=746538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manchester.ac.uk/training/profile.aspx?unitid=7916&amp;parentId=183&amp;returnId=183&amp;returntxt=Return+To+Search&amp;returnQs=%3fterm%3ddeveloping+personal%26org%3d0%26typeId%3d2" TargetMode="External"/><Relationship Id="rId5" Type="http://schemas.openxmlformats.org/officeDocument/2006/relationships/footnotes" Target="footnotes.xml"/><Relationship Id="rId15" Type="http://schemas.openxmlformats.org/officeDocument/2006/relationships/hyperlink" Target="http://documents.manchester.ac.uk/DocuInfo.aspx?DocID=4874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Cadd</dc:creator>
  <cp:keywords/>
  <dc:description/>
  <cp:lastModifiedBy>Esther Cadd</cp:lastModifiedBy>
  <cp:revision>2</cp:revision>
  <dcterms:created xsi:type="dcterms:W3CDTF">2020-12-18T09:30:00Z</dcterms:created>
  <dcterms:modified xsi:type="dcterms:W3CDTF">2020-12-18T09:30:00Z</dcterms:modified>
</cp:coreProperties>
</file>