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F1F" w:rsidRDefault="001238AD">
      <w:r w:rsidRPr="007A3F1F">
        <w:rPr>
          <w:noProof/>
          <w:lang w:eastAsia="en-GB"/>
        </w:rPr>
        <w:drawing>
          <wp:anchor distT="0" distB="0" distL="114300" distR="114300" simplePos="0" relativeHeight="251658240" behindDoc="0" locked="0" layoutInCell="1" allowOverlap="1">
            <wp:simplePos x="0" y="0"/>
            <wp:positionH relativeFrom="page">
              <wp:align>right</wp:align>
            </wp:positionH>
            <wp:positionV relativeFrom="paragraph">
              <wp:posOffset>-914400</wp:posOffset>
            </wp:positionV>
            <wp:extent cx="1597025" cy="1437640"/>
            <wp:effectExtent l="0" t="0" r="3175" b="0"/>
            <wp:wrapNone/>
            <wp:docPr id="3" name="Picture 2" descr="SL&amp;D white 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SL&amp;D white block.pn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7025" cy="1437640"/>
                    </a:xfrm>
                    <a:prstGeom prst="rect">
                      <a:avLst/>
                    </a:prstGeom>
                  </pic:spPr>
                </pic:pic>
              </a:graphicData>
            </a:graphic>
            <wp14:sizeRelH relativeFrom="page">
              <wp14:pctWidth>0</wp14:pctWidth>
            </wp14:sizeRelH>
            <wp14:sizeRelV relativeFrom="page">
              <wp14:pctHeight>0</wp14:pctHeight>
            </wp14:sizeRelV>
          </wp:anchor>
        </w:drawing>
      </w:r>
      <w:r w:rsidR="00A53DD8" w:rsidRPr="007A3F1F">
        <w:rPr>
          <w:noProof/>
          <w:lang w:eastAsia="en-GB"/>
        </w:rPr>
        <w:drawing>
          <wp:anchor distT="0" distB="0" distL="114300" distR="114300" simplePos="0" relativeHeight="251659264" behindDoc="0" locked="0" layoutInCell="1" allowOverlap="1">
            <wp:simplePos x="0" y="0"/>
            <wp:positionH relativeFrom="column">
              <wp:posOffset>-261952</wp:posOffset>
            </wp:positionH>
            <wp:positionV relativeFrom="paragraph">
              <wp:posOffset>-611725</wp:posOffset>
            </wp:positionV>
            <wp:extent cx="1663700" cy="711200"/>
            <wp:effectExtent l="0" t="0" r="0" b="0"/>
            <wp:wrapNone/>
            <wp:docPr id="7" name="Picture 5" descr="TAB_col_white_backgroun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TAB_col_white_background.ep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3700" cy="711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7A3F1F" w:rsidRDefault="007A3F1F" w:rsidP="00A53DD8">
      <w:pPr>
        <w:pStyle w:val="Heading1"/>
        <w:spacing w:before="0" w:after="240"/>
      </w:pPr>
      <w:r>
        <w:t>Change Leadership Skill</w:t>
      </w:r>
      <w:r w:rsidR="002564E0">
        <w:t>s</w:t>
      </w:r>
      <w:r>
        <w:t xml:space="preserve"> Framework: </w:t>
      </w:r>
      <w:r w:rsidR="00784362">
        <w:rPr>
          <w:i/>
        </w:rPr>
        <w:t>Empowerment &amp; Mobilising Others</w:t>
      </w:r>
    </w:p>
    <w:p w:rsidR="007A3F1F" w:rsidRDefault="007A3F1F" w:rsidP="007A3F1F">
      <w:pPr>
        <w:pStyle w:val="Heading2"/>
        <w:spacing w:after="120"/>
      </w:pPr>
      <w:r>
        <w:t>Definition</w:t>
      </w:r>
    </w:p>
    <w:p w:rsidR="00B6212F" w:rsidRDefault="00784362" w:rsidP="005645CB">
      <w:pPr>
        <w:spacing w:after="120"/>
      </w:pPr>
      <w:r>
        <w:rPr>
          <w:i/>
        </w:rPr>
        <w:t>Empowering and Mobilising Others</w:t>
      </w:r>
      <w:r w:rsidR="001238AD" w:rsidRPr="001238AD">
        <w:t xml:space="preserve"> </w:t>
      </w:r>
      <w:r w:rsidRPr="00784362">
        <w:t>is about giving team members freedom to use their own initiative and find their own solutions. It is also about providing opportunities for challenge and development, as well as adopting coaching and mentoring techniques to get the best from people.</w:t>
      </w:r>
    </w:p>
    <w:p w:rsidR="007A3F1F" w:rsidRPr="00A53DD8" w:rsidRDefault="007A3F1F" w:rsidP="005645CB">
      <w:pPr>
        <w:spacing w:after="120"/>
        <w:rPr>
          <w:u w:val="single"/>
        </w:rPr>
      </w:pPr>
      <w:r w:rsidRPr="00A53DD8">
        <w:rPr>
          <w:u w:val="single"/>
        </w:rPr>
        <w:t xml:space="preserve">Behavioural indicators </w:t>
      </w:r>
    </w:p>
    <w:p w:rsidR="00784362" w:rsidRPr="00784362" w:rsidRDefault="00784362" w:rsidP="00784362">
      <w:pPr>
        <w:pStyle w:val="ListParagraph"/>
        <w:numPr>
          <w:ilvl w:val="0"/>
          <w:numId w:val="5"/>
        </w:numPr>
        <w:rPr>
          <w:sz w:val="24"/>
        </w:rPr>
      </w:pPr>
      <w:r w:rsidRPr="00784362">
        <w:t xml:space="preserve">I allow my teams to use their own initiative, and allow them sufficient authority and autonomy to work effectively. </w:t>
      </w:r>
    </w:p>
    <w:p w:rsidR="00784362" w:rsidRPr="00784362" w:rsidRDefault="00784362" w:rsidP="00784362">
      <w:pPr>
        <w:pStyle w:val="ListParagraph"/>
        <w:numPr>
          <w:ilvl w:val="0"/>
          <w:numId w:val="5"/>
        </w:numPr>
        <w:rPr>
          <w:sz w:val="24"/>
        </w:rPr>
      </w:pPr>
      <w:r w:rsidRPr="00784362">
        <w:t xml:space="preserve">I delegate work and responsibility to challenge and develop my team.  </w:t>
      </w:r>
    </w:p>
    <w:p w:rsidR="00784362" w:rsidRPr="00784362" w:rsidRDefault="00784362" w:rsidP="00784362">
      <w:pPr>
        <w:pStyle w:val="ListParagraph"/>
        <w:numPr>
          <w:ilvl w:val="0"/>
          <w:numId w:val="5"/>
        </w:numPr>
        <w:rPr>
          <w:rFonts w:eastAsiaTheme="majorEastAsia" w:cstheme="majorBidi"/>
          <w:b/>
          <w:sz w:val="26"/>
          <w:szCs w:val="26"/>
        </w:rPr>
      </w:pPr>
      <w:r w:rsidRPr="00784362">
        <w:t>I use coaching and mentoring techniques to get the best performance from individuals and to help others develop.</w:t>
      </w:r>
    </w:p>
    <w:p w:rsidR="002B6D06" w:rsidRPr="001238AD" w:rsidRDefault="00784362" w:rsidP="00784362">
      <w:pPr>
        <w:pStyle w:val="ListParagraph"/>
        <w:numPr>
          <w:ilvl w:val="0"/>
          <w:numId w:val="5"/>
        </w:numPr>
        <w:rPr>
          <w:rFonts w:eastAsiaTheme="majorEastAsia" w:cstheme="majorBidi"/>
          <w:b/>
          <w:sz w:val="26"/>
          <w:szCs w:val="26"/>
        </w:rPr>
      </w:pPr>
      <w:r w:rsidRPr="00784362">
        <w:t xml:space="preserve">I support others to find their own solutions, rather than giving all the answers. </w:t>
      </w:r>
      <w:r w:rsidR="00D728A7" w:rsidRPr="001238AD">
        <w:rPr>
          <w:rFonts w:eastAsiaTheme="majorEastAsia" w:cstheme="majorBidi"/>
          <w:b/>
          <w:noProof/>
          <w:sz w:val="26"/>
          <w:szCs w:val="26"/>
          <w:lang w:eastAsia="en-GB"/>
        </w:rPr>
        <w:drawing>
          <wp:anchor distT="0" distB="0" distL="114300" distR="114300" simplePos="0" relativeHeight="251660288" behindDoc="1" locked="0" layoutInCell="1" allowOverlap="1">
            <wp:simplePos x="0" y="0"/>
            <wp:positionH relativeFrom="column">
              <wp:posOffset>4495165</wp:posOffset>
            </wp:positionH>
            <wp:positionV relativeFrom="paragraph">
              <wp:posOffset>15240</wp:posOffset>
            </wp:positionV>
            <wp:extent cx="1541145" cy="1535430"/>
            <wp:effectExtent l="0" t="0" r="1905" b="7620"/>
            <wp:wrapTight wrapText="bothSides">
              <wp:wrapPolygon edited="0">
                <wp:start x="0" y="0"/>
                <wp:lineTo x="0" y="21439"/>
                <wp:lineTo x="21360" y="21439"/>
                <wp:lineTo x="21360" y="0"/>
                <wp:lineTo x="0" y="0"/>
              </wp:wrapPolygon>
            </wp:wrapTight>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1145" cy="1535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64E0" w:rsidRPr="002B6D06" w:rsidRDefault="005645CB" w:rsidP="002B6D06">
      <w:pPr>
        <w:pStyle w:val="Heading2"/>
        <w:spacing w:after="120"/>
        <w:rPr>
          <w:sz w:val="24"/>
        </w:rPr>
      </w:pPr>
      <w:r>
        <w:t>Example</w:t>
      </w:r>
      <w:r w:rsidR="002564E0">
        <w:t xml:space="preserve"> on-the-job development activities </w:t>
      </w:r>
      <w:r w:rsidR="002564E0" w:rsidRPr="002B6D06">
        <w:rPr>
          <w:b w:val="0"/>
          <w:i/>
        </w:rPr>
        <w:t>(70)</w:t>
      </w:r>
    </w:p>
    <w:p w:rsidR="0041328A" w:rsidRDefault="0041328A" w:rsidP="0041328A">
      <w:pPr>
        <w:pStyle w:val="ListParagraph"/>
        <w:numPr>
          <w:ilvl w:val="0"/>
          <w:numId w:val="6"/>
        </w:numPr>
      </w:pPr>
      <w:r w:rsidRPr="0041328A">
        <w:t xml:space="preserve">Find an opportunity where you can allow someone else from your team to take the lead on a project or activity you normally would do and provide them with your full support. </w:t>
      </w:r>
    </w:p>
    <w:p w:rsidR="0041328A" w:rsidRPr="0041328A" w:rsidRDefault="0041328A" w:rsidP="0041328A">
      <w:pPr>
        <w:pStyle w:val="ListParagraph"/>
        <w:numPr>
          <w:ilvl w:val="0"/>
          <w:numId w:val="6"/>
        </w:numPr>
      </w:pPr>
      <w:r w:rsidRPr="0041328A">
        <w:t>Spend some time with each member of your immediate team to find out what they are interested in, and what skills and knowledge they want to develop. Look for opportunities to give each person assignments that will exercise those skills when they are ready for them.</w:t>
      </w:r>
    </w:p>
    <w:p w:rsidR="0041328A" w:rsidRDefault="005D3922" w:rsidP="005D3922">
      <w:pPr>
        <w:pStyle w:val="ListParagraph"/>
        <w:numPr>
          <w:ilvl w:val="0"/>
          <w:numId w:val="6"/>
        </w:numPr>
      </w:pPr>
      <w:r w:rsidRPr="005D3922">
        <w:t>Assign an inexperienced employee to work with an individual who excels at something the employee needs to learn.</w:t>
      </w:r>
    </w:p>
    <w:tbl>
      <w:tblPr>
        <w:tblStyle w:val="TableGrid"/>
        <w:tblW w:w="0" w:type="auto"/>
        <w:tblLook w:val="04A0" w:firstRow="1" w:lastRow="0" w:firstColumn="1" w:lastColumn="0" w:noHBand="0" w:noVBand="1"/>
      </w:tblPr>
      <w:tblGrid>
        <w:gridCol w:w="9736"/>
      </w:tblGrid>
      <w:tr w:rsidR="00723DB9" w:rsidTr="00723DB9">
        <w:tc>
          <w:tcPr>
            <w:tcW w:w="9736" w:type="dxa"/>
          </w:tcPr>
          <w:p w:rsidR="00723DB9" w:rsidRPr="00723DB9" w:rsidRDefault="00723DB9" w:rsidP="00723DB9">
            <w:pPr>
              <w:rPr>
                <w:i/>
                <w:sz w:val="20"/>
              </w:rPr>
            </w:pPr>
            <w:r w:rsidRPr="00723DB9">
              <w:rPr>
                <w:i/>
                <w:sz w:val="20"/>
              </w:rPr>
              <w:t>Capture your notes here:</w:t>
            </w:r>
          </w:p>
          <w:p w:rsidR="00723DB9" w:rsidRDefault="00723DB9" w:rsidP="00723DB9"/>
          <w:p w:rsidR="00723DB9" w:rsidRDefault="00723DB9" w:rsidP="00723DB9"/>
          <w:p w:rsidR="00723DB9" w:rsidRDefault="00723DB9" w:rsidP="00723DB9"/>
          <w:p w:rsidR="00723DB9" w:rsidRDefault="00723DB9" w:rsidP="00723DB9"/>
        </w:tc>
      </w:tr>
    </w:tbl>
    <w:p w:rsidR="00723DB9" w:rsidRPr="005D6C4A" w:rsidRDefault="00723DB9" w:rsidP="00C754D5">
      <w:pPr>
        <w:spacing w:after="0"/>
      </w:pPr>
    </w:p>
    <w:p w:rsidR="002564E0" w:rsidRDefault="002564E0" w:rsidP="002564E0">
      <w:pPr>
        <w:pStyle w:val="Heading2"/>
        <w:spacing w:after="120"/>
      </w:pPr>
      <w:r>
        <w:t>Suggested reflection</w:t>
      </w:r>
      <w:r w:rsidR="005645CB">
        <w:t xml:space="preserve"> </w:t>
      </w:r>
      <w:r>
        <w:t>/</w:t>
      </w:r>
      <w:r w:rsidR="005645CB">
        <w:t xml:space="preserve"> </w:t>
      </w:r>
      <w:r>
        <w:t xml:space="preserve">discussion questions </w:t>
      </w:r>
      <w:r w:rsidRPr="002564E0">
        <w:rPr>
          <w:b w:val="0"/>
          <w:i/>
        </w:rPr>
        <w:t>(20)</w:t>
      </w:r>
    </w:p>
    <w:p w:rsidR="002564E0" w:rsidRDefault="002564E0" w:rsidP="002564E0">
      <w:r>
        <w:t xml:space="preserve">Q: </w:t>
      </w:r>
      <w:r w:rsidR="00177BC8" w:rsidRPr="00177BC8">
        <w:t>Think about the last time one of your team members came to you with a problem. How could a coaching-based approach have improved the outcome of that conversation?</w:t>
      </w:r>
    </w:p>
    <w:p w:rsidR="002564E0" w:rsidRDefault="002564E0" w:rsidP="002564E0">
      <w:r>
        <w:t xml:space="preserve">Q: </w:t>
      </w:r>
      <w:r w:rsidR="009343B0">
        <w:t>What considerations do you need to make when delegating a piece</w:t>
      </w:r>
      <w:r w:rsidR="0041328A">
        <w:t xml:space="preserve"> of work for the person’s level of skill and will?</w:t>
      </w:r>
      <w:r w:rsidR="009343B0">
        <w:t xml:space="preserve"> </w:t>
      </w:r>
    </w:p>
    <w:p w:rsidR="002564E0" w:rsidRDefault="002564E0" w:rsidP="00A53DD8">
      <w:pPr>
        <w:spacing w:after="240"/>
      </w:pPr>
      <w:r>
        <w:t xml:space="preserve">Q: </w:t>
      </w:r>
      <w:r w:rsidR="0041328A">
        <w:t>How do you provide mentoring as part of your role as a line manager? What opportunities are there for you to do this more?</w:t>
      </w:r>
    </w:p>
    <w:tbl>
      <w:tblPr>
        <w:tblStyle w:val="TableGrid"/>
        <w:tblW w:w="0" w:type="auto"/>
        <w:tblLook w:val="04A0" w:firstRow="1" w:lastRow="0" w:firstColumn="1" w:lastColumn="0" w:noHBand="0" w:noVBand="1"/>
      </w:tblPr>
      <w:tblGrid>
        <w:gridCol w:w="9736"/>
      </w:tblGrid>
      <w:tr w:rsidR="00723DB9" w:rsidTr="00723DB9">
        <w:tc>
          <w:tcPr>
            <w:tcW w:w="9736" w:type="dxa"/>
          </w:tcPr>
          <w:p w:rsidR="00723DB9" w:rsidRPr="00723DB9" w:rsidRDefault="00723DB9" w:rsidP="00723DB9">
            <w:pPr>
              <w:rPr>
                <w:i/>
                <w:sz w:val="20"/>
              </w:rPr>
            </w:pPr>
            <w:r w:rsidRPr="00723DB9">
              <w:rPr>
                <w:i/>
                <w:sz w:val="20"/>
              </w:rPr>
              <w:t>Capture your notes here:</w:t>
            </w:r>
          </w:p>
          <w:p w:rsidR="00723DB9" w:rsidRDefault="00723DB9" w:rsidP="00A53DD8">
            <w:pPr>
              <w:spacing w:after="240"/>
            </w:pPr>
          </w:p>
          <w:p w:rsidR="00723DB9" w:rsidRDefault="00723DB9" w:rsidP="00A53DD8">
            <w:pPr>
              <w:spacing w:after="240"/>
            </w:pPr>
          </w:p>
        </w:tc>
      </w:tr>
    </w:tbl>
    <w:p w:rsidR="007A3F1F" w:rsidRDefault="002564E0" w:rsidP="00C754D5">
      <w:pPr>
        <w:pStyle w:val="Heading2"/>
        <w:spacing w:before="100" w:beforeAutospacing="1" w:after="120"/>
      </w:pPr>
      <w:r>
        <w:lastRenderedPageBreak/>
        <w:t>Recommended</w:t>
      </w:r>
      <w:r w:rsidR="007A3F1F">
        <w:t xml:space="preserve"> learning resources</w:t>
      </w:r>
      <w:r>
        <w:t xml:space="preserve"> </w:t>
      </w:r>
      <w:r w:rsidRPr="002564E0">
        <w:rPr>
          <w:b w:val="0"/>
          <w:i/>
        </w:rPr>
        <w:t>(10)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079"/>
      </w:tblGrid>
      <w:tr w:rsidR="005D6C4A" w:rsidTr="007762F6">
        <w:trPr>
          <w:trHeight w:val="981"/>
        </w:trPr>
        <w:tc>
          <w:tcPr>
            <w:tcW w:w="1560" w:type="dxa"/>
            <w:vAlign w:val="center"/>
          </w:tcPr>
          <w:p w:rsidR="007A3F1F" w:rsidRDefault="002C6639" w:rsidP="004F0774">
            <w:pPr>
              <w:jc w:val="center"/>
            </w:pPr>
            <w:r w:rsidRPr="007A3F1F">
              <w:rPr>
                <w:noProof/>
                <w:lang w:eastAsia="en-GB"/>
              </w:rPr>
              <w:drawing>
                <wp:anchor distT="0" distB="0" distL="114300" distR="114300" simplePos="0" relativeHeight="251662336" behindDoc="0" locked="0" layoutInCell="1" allowOverlap="1" wp14:anchorId="57A5680C" wp14:editId="7F958247">
                  <wp:simplePos x="0" y="0"/>
                  <wp:positionH relativeFrom="page">
                    <wp:posOffset>152400</wp:posOffset>
                  </wp:positionH>
                  <wp:positionV relativeFrom="paragraph">
                    <wp:posOffset>45085</wp:posOffset>
                  </wp:positionV>
                  <wp:extent cx="666750" cy="600075"/>
                  <wp:effectExtent l="0" t="0" r="0" b="0"/>
                  <wp:wrapNone/>
                  <wp:docPr id="5" name="Picture 2" descr="SL&amp;D white 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SL&amp;D white block.png"/>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6750" cy="600075"/>
                          </a:xfrm>
                          <a:prstGeom prst="rect">
                            <a:avLst/>
                          </a:prstGeom>
                        </pic:spPr>
                      </pic:pic>
                    </a:graphicData>
                  </a:graphic>
                  <wp14:sizeRelH relativeFrom="page">
                    <wp14:pctWidth>0</wp14:pctWidth>
                  </wp14:sizeRelH>
                  <wp14:sizeRelV relativeFrom="page">
                    <wp14:pctHeight>0</wp14:pctHeight>
                  </wp14:sizeRelV>
                </wp:anchor>
              </w:drawing>
            </w:r>
          </w:p>
        </w:tc>
        <w:tc>
          <w:tcPr>
            <w:tcW w:w="8079" w:type="dxa"/>
            <w:vAlign w:val="center"/>
          </w:tcPr>
          <w:p w:rsidR="007762F6" w:rsidRDefault="00177BC8" w:rsidP="005D3922">
            <w:r>
              <w:t xml:space="preserve">Complete: </w:t>
            </w:r>
            <w:hyperlink r:id="rId11" w:history="1">
              <w:r w:rsidRPr="00177BC8">
                <w:rPr>
                  <w:rStyle w:val="Hyperlink"/>
                </w:rPr>
                <w:t>Coaching Lessons for Non-Coaches</w:t>
              </w:r>
            </w:hyperlink>
          </w:p>
          <w:p w:rsidR="00177BC8" w:rsidRPr="00177BC8" w:rsidRDefault="00177BC8" w:rsidP="005D3922">
            <w:pPr>
              <w:rPr>
                <w:b/>
              </w:rPr>
            </w:pPr>
            <w:bookmarkStart w:id="0" w:name="_GoBack"/>
            <w:r w:rsidRPr="00177BC8">
              <w:rPr>
                <w:b/>
              </w:rPr>
              <w:t>E-learning course – 1hour</w:t>
            </w:r>
            <w:bookmarkEnd w:id="0"/>
          </w:p>
        </w:tc>
      </w:tr>
      <w:tr w:rsidR="005D6C4A" w:rsidTr="002C6639">
        <w:tc>
          <w:tcPr>
            <w:tcW w:w="1560" w:type="dxa"/>
            <w:vAlign w:val="center"/>
          </w:tcPr>
          <w:p w:rsidR="007A3F1F" w:rsidRDefault="007A3F1F" w:rsidP="004F0774">
            <w:pPr>
              <w:jc w:val="center"/>
            </w:pPr>
            <w:r>
              <w:rPr>
                <w:noProof/>
                <w:lang w:eastAsia="en-GB"/>
              </w:rPr>
              <w:drawing>
                <wp:inline distT="0" distB="0" distL="0" distR="0" wp14:anchorId="474DBAA0" wp14:editId="0BFD6837">
                  <wp:extent cx="477078" cy="67178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r="74470"/>
                          <a:stretch/>
                        </pic:blipFill>
                        <pic:spPr bwMode="auto">
                          <a:xfrm>
                            <a:off x="0" y="0"/>
                            <a:ext cx="484872" cy="682755"/>
                          </a:xfrm>
                          <a:prstGeom prst="rect">
                            <a:avLst/>
                          </a:prstGeom>
                          <a:ln>
                            <a:noFill/>
                          </a:ln>
                          <a:extLst>
                            <a:ext uri="{53640926-AAD7-44D8-BBD7-CCE9431645EC}">
                              <a14:shadowObscured xmlns:a14="http://schemas.microsoft.com/office/drawing/2010/main"/>
                            </a:ext>
                          </a:extLst>
                        </pic:spPr>
                      </pic:pic>
                    </a:graphicData>
                  </a:graphic>
                </wp:inline>
              </w:drawing>
            </w:r>
          </w:p>
        </w:tc>
        <w:tc>
          <w:tcPr>
            <w:tcW w:w="8079" w:type="dxa"/>
            <w:vAlign w:val="center"/>
          </w:tcPr>
          <w:p w:rsidR="00575F6B" w:rsidRDefault="005D3922" w:rsidP="005D3922">
            <w:r w:rsidRPr="005D3922">
              <w:t xml:space="preserve">Watch: </w:t>
            </w:r>
            <w:hyperlink r:id="rId13" w:anchor="/manchester-tfl/s/ae22e962" w:history="1">
              <w:r w:rsidRPr="005D3922">
                <w:rPr>
                  <w:rStyle w:val="Hyperlink"/>
                </w:rPr>
                <w:t>Leaders and Managers as Coaches</w:t>
              </w:r>
            </w:hyperlink>
          </w:p>
          <w:p w:rsidR="005D3922" w:rsidRPr="005D3922" w:rsidRDefault="005D3922" w:rsidP="005D3922">
            <w:pPr>
              <w:rPr>
                <w:b/>
              </w:rPr>
            </w:pPr>
            <w:r w:rsidRPr="005D3922">
              <w:rPr>
                <w:b/>
              </w:rPr>
              <w:t>L&amp;D Toolkit – 5mins</w:t>
            </w:r>
          </w:p>
        </w:tc>
      </w:tr>
      <w:tr w:rsidR="005D3922" w:rsidTr="007762F6">
        <w:tc>
          <w:tcPr>
            <w:tcW w:w="1560" w:type="dxa"/>
            <w:vAlign w:val="center"/>
          </w:tcPr>
          <w:p w:rsidR="005D3922" w:rsidRDefault="005D3922" w:rsidP="004F0774">
            <w:pPr>
              <w:jc w:val="center"/>
              <w:rPr>
                <w:noProof/>
                <w:lang w:eastAsia="en-GB"/>
              </w:rPr>
            </w:pPr>
            <w:r>
              <w:rPr>
                <w:noProof/>
                <w:lang w:eastAsia="en-GB"/>
              </w:rPr>
              <w:drawing>
                <wp:inline distT="0" distB="0" distL="0" distR="0" wp14:anchorId="493D4993" wp14:editId="4F3C760D">
                  <wp:extent cx="707666" cy="530586"/>
                  <wp:effectExtent l="0" t="0" r="0" b="3175"/>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8963" cy="546554"/>
                          </a:xfrm>
                          <a:prstGeom prst="rect">
                            <a:avLst/>
                          </a:prstGeom>
                          <a:noFill/>
                          <a:ln>
                            <a:noFill/>
                          </a:ln>
                        </pic:spPr>
                      </pic:pic>
                    </a:graphicData>
                  </a:graphic>
                </wp:inline>
              </w:drawing>
            </w:r>
          </w:p>
        </w:tc>
        <w:tc>
          <w:tcPr>
            <w:tcW w:w="8079" w:type="dxa"/>
            <w:vAlign w:val="center"/>
          </w:tcPr>
          <w:p w:rsidR="005D3922" w:rsidRDefault="005D3922" w:rsidP="005D6C4A">
            <w:r>
              <w:t xml:space="preserve">Watch: </w:t>
            </w:r>
            <w:hyperlink r:id="rId15" w:anchor="t-12582" w:history="1">
              <w:r w:rsidRPr="005D3922">
                <w:rPr>
                  <w:rStyle w:val="Hyperlink"/>
                </w:rPr>
                <w:t>Five Ways to Lead in an Era of Constant Change</w:t>
              </w:r>
            </w:hyperlink>
          </w:p>
          <w:p w:rsidR="005D3922" w:rsidRPr="005D3922" w:rsidRDefault="005D3922" w:rsidP="005D6C4A">
            <w:pPr>
              <w:rPr>
                <w:b/>
              </w:rPr>
            </w:pPr>
            <w:r w:rsidRPr="005D3922">
              <w:rPr>
                <w:b/>
              </w:rPr>
              <w:t>Ted Talks – 13mins</w:t>
            </w:r>
          </w:p>
        </w:tc>
      </w:tr>
    </w:tbl>
    <w:p w:rsidR="004F0774" w:rsidRDefault="004F0774" w:rsidP="00C754D5">
      <w:pPr>
        <w:spacing w:after="0"/>
      </w:pPr>
    </w:p>
    <w:tbl>
      <w:tblPr>
        <w:tblStyle w:val="TableGrid"/>
        <w:tblW w:w="0" w:type="auto"/>
        <w:tblLook w:val="04A0" w:firstRow="1" w:lastRow="0" w:firstColumn="1" w:lastColumn="0" w:noHBand="0" w:noVBand="1"/>
      </w:tblPr>
      <w:tblGrid>
        <w:gridCol w:w="9736"/>
      </w:tblGrid>
      <w:tr w:rsidR="00723DB9" w:rsidTr="00723DB9">
        <w:tc>
          <w:tcPr>
            <w:tcW w:w="9736" w:type="dxa"/>
          </w:tcPr>
          <w:p w:rsidR="00723DB9" w:rsidRPr="00723DB9" w:rsidRDefault="00723DB9" w:rsidP="00723DB9">
            <w:pPr>
              <w:rPr>
                <w:i/>
                <w:sz w:val="20"/>
              </w:rPr>
            </w:pPr>
            <w:r w:rsidRPr="00723DB9">
              <w:rPr>
                <w:i/>
                <w:sz w:val="20"/>
              </w:rPr>
              <w:t>Capture your notes here:</w:t>
            </w:r>
          </w:p>
          <w:p w:rsidR="00723DB9" w:rsidRDefault="00723DB9" w:rsidP="00A53DD8"/>
          <w:p w:rsidR="00723DB9" w:rsidRDefault="00723DB9" w:rsidP="00A53DD8"/>
          <w:p w:rsidR="00723DB9" w:rsidRDefault="00723DB9" w:rsidP="00A53DD8"/>
          <w:p w:rsidR="00723DB9" w:rsidRDefault="00723DB9" w:rsidP="00A53DD8"/>
        </w:tc>
      </w:tr>
    </w:tbl>
    <w:p w:rsidR="00723DB9" w:rsidRPr="004F0774" w:rsidRDefault="00723DB9" w:rsidP="00A53DD8"/>
    <w:sectPr w:rsidR="00723DB9" w:rsidRPr="004F0774" w:rsidSect="00A53D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703" w:rsidRDefault="003F3703" w:rsidP="007A3F1F">
      <w:pPr>
        <w:spacing w:after="0" w:line="240" w:lineRule="auto"/>
      </w:pPr>
      <w:r>
        <w:separator/>
      </w:r>
    </w:p>
  </w:endnote>
  <w:endnote w:type="continuationSeparator" w:id="0">
    <w:p w:rsidR="003F3703" w:rsidRDefault="003F3703" w:rsidP="007A3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703" w:rsidRDefault="003F3703" w:rsidP="007A3F1F">
      <w:pPr>
        <w:spacing w:after="0" w:line="240" w:lineRule="auto"/>
      </w:pPr>
      <w:r>
        <w:separator/>
      </w:r>
    </w:p>
  </w:footnote>
  <w:footnote w:type="continuationSeparator" w:id="0">
    <w:p w:rsidR="003F3703" w:rsidRDefault="003F3703" w:rsidP="007A3F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91176"/>
    <w:multiLevelType w:val="hybridMultilevel"/>
    <w:tmpl w:val="184A14E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2D3AC0"/>
    <w:multiLevelType w:val="hybridMultilevel"/>
    <w:tmpl w:val="B22E0016"/>
    <w:lvl w:ilvl="0" w:tplc="85EC337C">
      <w:start w:val="1"/>
      <w:numFmt w:val="decimal"/>
      <w:lvlText w:val="%1."/>
      <w:lvlJc w:val="left"/>
      <w:pPr>
        <w:ind w:left="360" w:hanging="360"/>
      </w:pPr>
      <w:rPr>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1214384"/>
    <w:multiLevelType w:val="hybridMultilevel"/>
    <w:tmpl w:val="CF78C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E11C8A"/>
    <w:multiLevelType w:val="hybridMultilevel"/>
    <w:tmpl w:val="1A7AF8C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D5D2C27"/>
    <w:multiLevelType w:val="hybridMultilevel"/>
    <w:tmpl w:val="243EA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DA16D7E"/>
    <w:multiLevelType w:val="hybridMultilevel"/>
    <w:tmpl w:val="897AA83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F1F"/>
    <w:rsid w:val="000420E1"/>
    <w:rsid w:val="000937B2"/>
    <w:rsid w:val="00103708"/>
    <w:rsid w:val="001238AD"/>
    <w:rsid w:val="00177BC8"/>
    <w:rsid w:val="002564E0"/>
    <w:rsid w:val="002B6D06"/>
    <w:rsid w:val="002C6639"/>
    <w:rsid w:val="00315330"/>
    <w:rsid w:val="003F3703"/>
    <w:rsid w:val="0041328A"/>
    <w:rsid w:val="004F0774"/>
    <w:rsid w:val="005645CB"/>
    <w:rsid w:val="00575F6B"/>
    <w:rsid w:val="005D3922"/>
    <w:rsid w:val="005D6C4A"/>
    <w:rsid w:val="00632C59"/>
    <w:rsid w:val="00723DB9"/>
    <w:rsid w:val="007762F6"/>
    <w:rsid w:val="00784362"/>
    <w:rsid w:val="007A3F1F"/>
    <w:rsid w:val="00827F8B"/>
    <w:rsid w:val="008C0AFA"/>
    <w:rsid w:val="008D6C74"/>
    <w:rsid w:val="008F7111"/>
    <w:rsid w:val="009343B0"/>
    <w:rsid w:val="009E0932"/>
    <w:rsid w:val="00A15B6C"/>
    <w:rsid w:val="00A465BE"/>
    <w:rsid w:val="00A53DD8"/>
    <w:rsid w:val="00A971D5"/>
    <w:rsid w:val="00B6212F"/>
    <w:rsid w:val="00C754D5"/>
    <w:rsid w:val="00D728A7"/>
    <w:rsid w:val="00E6278F"/>
    <w:rsid w:val="00F01463"/>
    <w:rsid w:val="00FC3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BE0D2"/>
  <w15:chartTrackingRefBased/>
  <w15:docId w15:val="{2826520E-5A88-4F42-9F9E-1493C24B2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F1F"/>
    <w:rPr>
      <w:rFonts w:ascii="Arial" w:hAnsi="Arial"/>
    </w:rPr>
  </w:style>
  <w:style w:type="paragraph" w:styleId="Heading1">
    <w:name w:val="heading 1"/>
    <w:basedOn w:val="Normal"/>
    <w:next w:val="Normal"/>
    <w:link w:val="Heading1Char"/>
    <w:uiPriority w:val="9"/>
    <w:qFormat/>
    <w:rsid w:val="007A3F1F"/>
    <w:pPr>
      <w:keepNext/>
      <w:keepLines/>
      <w:spacing w:before="240" w:after="0"/>
      <w:outlineLvl w:val="0"/>
    </w:pPr>
    <w:rPr>
      <w:rFonts w:eastAsiaTheme="majorEastAsia" w:cstheme="majorBidi"/>
      <w:b/>
      <w:color w:val="7030A0"/>
      <w:sz w:val="32"/>
      <w:szCs w:val="32"/>
    </w:rPr>
  </w:style>
  <w:style w:type="paragraph" w:styleId="Heading2">
    <w:name w:val="heading 2"/>
    <w:basedOn w:val="Normal"/>
    <w:next w:val="Normal"/>
    <w:link w:val="Heading2Char"/>
    <w:uiPriority w:val="9"/>
    <w:unhideWhenUsed/>
    <w:qFormat/>
    <w:rsid w:val="007A3F1F"/>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F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F1F"/>
  </w:style>
  <w:style w:type="paragraph" w:styleId="Footer">
    <w:name w:val="footer"/>
    <w:basedOn w:val="Normal"/>
    <w:link w:val="FooterChar"/>
    <w:uiPriority w:val="99"/>
    <w:unhideWhenUsed/>
    <w:rsid w:val="007A3F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F1F"/>
  </w:style>
  <w:style w:type="character" w:customStyle="1" w:styleId="Heading1Char">
    <w:name w:val="Heading 1 Char"/>
    <w:basedOn w:val="DefaultParagraphFont"/>
    <w:link w:val="Heading1"/>
    <w:uiPriority w:val="9"/>
    <w:rsid w:val="007A3F1F"/>
    <w:rPr>
      <w:rFonts w:ascii="Arial" w:eastAsiaTheme="majorEastAsia" w:hAnsi="Arial" w:cstheme="majorBidi"/>
      <w:b/>
      <w:color w:val="7030A0"/>
      <w:sz w:val="32"/>
      <w:szCs w:val="32"/>
    </w:rPr>
  </w:style>
  <w:style w:type="character" w:customStyle="1" w:styleId="Heading2Char">
    <w:name w:val="Heading 2 Char"/>
    <w:basedOn w:val="DefaultParagraphFont"/>
    <w:link w:val="Heading2"/>
    <w:uiPriority w:val="9"/>
    <w:rsid w:val="007A3F1F"/>
    <w:rPr>
      <w:rFonts w:ascii="Arial" w:eastAsiaTheme="majorEastAsia" w:hAnsi="Arial" w:cstheme="majorBidi"/>
      <w:b/>
      <w:sz w:val="26"/>
      <w:szCs w:val="26"/>
    </w:rPr>
  </w:style>
  <w:style w:type="paragraph" w:styleId="ListParagraph">
    <w:name w:val="List Paragraph"/>
    <w:basedOn w:val="Normal"/>
    <w:uiPriority w:val="34"/>
    <w:qFormat/>
    <w:rsid w:val="007A3F1F"/>
    <w:pPr>
      <w:ind w:left="720"/>
      <w:contextualSpacing/>
    </w:pPr>
  </w:style>
  <w:style w:type="table" w:styleId="TableGrid">
    <w:name w:val="Table Grid"/>
    <w:basedOn w:val="TableNormal"/>
    <w:uiPriority w:val="39"/>
    <w:rsid w:val="007A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0774"/>
    <w:rPr>
      <w:color w:val="0563C1" w:themeColor="hyperlink"/>
      <w:u w:val="single"/>
    </w:rPr>
  </w:style>
  <w:style w:type="character" w:styleId="FollowedHyperlink">
    <w:name w:val="FollowedHyperlink"/>
    <w:basedOn w:val="DefaultParagraphFont"/>
    <w:uiPriority w:val="99"/>
    <w:semiHidden/>
    <w:unhideWhenUsed/>
    <w:rsid w:val="005D6C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app.goodpractice.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manchester.ac.uk/TSLD53E" TargetMode="External"/><Relationship Id="rId5" Type="http://schemas.openxmlformats.org/officeDocument/2006/relationships/footnotes" Target="footnotes.xml"/><Relationship Id="rId15" Type="http://schemas.openxmlformats.org/officeDocument/2006/relationships/hyperlink" Target="https://www.ted.com/talks/jim_hemerling_5_ways_to_lead_in_an_era_of_constant_change"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Cadd</dc:creator>
  <cp:keywords/>
  <dc:description/>
  <cp:lastModifiedBy>Esther Cadd</cp:lastModifiedBy>
  <cp:revision>4</cp:revision>
  <dcterms:created xsi:type="dcterms:W3CDTF">2020-12-16T13:54:00Z</dcterms:created>
  <dcterms:modified xsi:type="dcterms:W3CDTF">2020-12-17T12:27:00Z</dcterms:modified>
</cp:coreProperties>
</file>