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1F" w:rsidRDefault="00A53DD8">
      <w:r w:rsidRPr="007A3F1F">
        <w:rPr>
          <w:noProof/>
          <w:lang w:eastAsia="en-GB"/>
        </w:rPr>
        <w:drawing>
          <wp:anchor distT="0" distB="0" distL="114300" distR="114300" simplePos="0" relativeHeight="251659264" behindDoc="0" locked="0" layoutInCell="1" allowOverlap="1">
            <wp:simplePos x="0" y="0"/>
            <wp:positionH relativeFrom="column">
              <wp:posOffset>-261952</wp:posOffset>
            </wp:positionH>
            <wp:positionV relativeFrom="paragraph">
              <wp:posOffset>-611725</wp:posOffset>
            </wp:positionV>
            <wp:extent cx="1663700" cy="711200"/>
            <wp:effectExtent l="0" t="0" r="0" b="0"/>
            <wp:wrapNone/>
            <wp:docPr id="7"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_col_white_background.ep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A3F1F">
        <w:rPr>
          <w:noProof/>
          <w:lang w:eastAsia="en-GB"/>
        </w:rPr>
        <w:drawing>
          <wp:anchor distT="0" distB="0" distL="114300" distR="114300" simplePos="0" relativeHeight="251658240" behindDoc="0" locked="0" layoutInCell="1" allowOverlap="1">
            <wp:simplePos x="0" y="0"/>
            <wp:positionH relativeFrom="page">
              <wp:posOffset>5963478</wp:posOffset>
            </wp:positionH>
            <wp:positionV relativeFrom="paragraph">
              <wp:posOffset>-914400</wp:posOffset>
            </wp:positionV>
            <wp:extent cx="1597550" cy="1437795"/>
            <wp:effectExtent l="0" t="0" r="3175" b="0"/>
            <wp:wrapNone/>
            <wp:docPr id="3"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3049" cy="1451744"/>
                    </a:xfrm>
                    <a:prstGeom prst="rect">
                      <a:avLst/>
                    </a:prstGeom>
                  </pic:spPr>
                </pic:pic>
              </a:graphicData>
            </a:graphic>
            <wp14:sizeRelH relativeFrom="page">
              <wp14:pctWidth>0</wp14:pctWidth>
            </wp14:sizeRelH>
            <wp14:sizeRelV relativeFrom="page">
              <wp14:pctHeight>0</wp14:pctHeight>
            </wp14:sizeRelV>
          </wp:anchor>
        </w:drawing>
      </w:r>
    </w:p>
    <w:p w:rsidR="007A3F1F" w:rsidRDefault="007A3F1F" w:rsidP="00A53DD8">
      <w:pPr>
        <w:pStyle w:val="Heading1"/>
        <w:spacing w:before="0" w:after="240"/>
      </w:pPr>
      <w:r>
        <w:t>Change Leadership Skill</w:t>
      </w:r>
      <w:r w:rsidR="002564E0">
        <w:t>s</w:t>
      </w:r>
      <w:r>
        <w:t xml:space="preserve"> Framework: </w:t>
      </w:r>
      <w:r w:rsidR="00B6212F">
        <w:rPr>
          <w:i/>
        </w:rPr>
        <w:t>Collaboration</w:t>
      </w:r>
    </w:p>
    <w:p w:rsidR="007A3F1F" w:rsidRDefault="007A3F1F" w:rsidP="007A3F1F">
      <w:pPr>
        <w:pStyle w:val="Heading2"/>
        <w:spacing w:after="120"/>
      </w:pPr>
      <w:r>
        <w:t>Definition</w:t>
      </w:r>
    </w:p>
    <w:p w:rsidR="00B6212F" w:rsidRDefault="00B6212F" w:rsidP="005645CB">
      <w:pPr>
        <w:spacing w:after="120"/>
      </w:pPr>
      <w:r w:rsidRPr="00B6212F">
        <w:rPr>
          <w:i/>
        </w:rPr>
        <w:t>Collaboration</w:t>
      </w:r>
      <w:r>
        <w:t xml:space="preserve"> is about being able to work effectively with others (peers, senior leaders and direct reports) to successfully bring about change. It’s about being able to put collective results above your individual or team benefit, and fully contributing and committing to the direction and decisions made. </w:t>
      </w:r>
    </w:p>
    <w:p w:rsidR="007A3F1F" w:rsidRPr="00A53DD8" w:rsidRDefault="007A3F1F" w:rsidP="005645CB">
      <w:pPr>
        <w:spacing w:after="120"/>
        <w:rPr>
          <w:u w:val="single"/>
        </w:rPr>
      </w:pPr>
      <w:r w:rsidRPr="00A53DD8">
        <w:rPr>
          <w:u w:val="single"/>
        </w:rPr>
        <w:t xml:space="preserve">Behavioural indicators </w:t>
      </w:r>
    </w:p>
    <w:p w:rsidR="00B6212F" w:rsidRPr="00B6212F" w:rsidRDefault="00B6212F" w:rsidP="00B6212F">
      <w:pPr>
        <w:pStyle w:val="ListParagraph"/>
        <w:numPr>
          <w:ilvl w:val="0"/>
          <w:numId w:val="5"/>
        </w:numPr>
        <w:rPr>
          <w:sz w:val="24"/>
        </w:rPr>
      </w:pPr>
      <w:r>
        <w:t>I encourage my colleagues (peers and direct reports) to work together to successfully bring about change.</w:t>
      </w:r>
    </w:p>
    <w:p w:rsidR="00B6212F" w:rsidRPr="00B6212F" w:rsidRDefault="00B6212F" w:rsidP="00B6212F">
      <w:pPr>
        <w:pStyle w:val="ListParagraph"/>
        <w:numPr>
          <w:ilvl w:val="0"/>
          <w:numId w:val="5"/>
        </w:numPr>
        <w:rPr>
          <w:sz w:val="24"/>
        </w:rPr>
      </w:pPr>
      <w:r>
        <w:t>I communicate upwards to influence how decisions are made using my local knowledge and experience</w:t>
      </w:r>
      <w:r w:rsidRPr="007A3F1F">
        <w:t xml:space="preserve"> </w:t>
      </w:r>
    </w:p>
    <w:p w:rsidR="00B6212F" w:rsidRPr="00B6212F" w:rsidRDefault="00723DB9" w:rsidP="00B6212F">
      <w:pPr>
        <w:pStyle w:val="ListParagraph"/>
        <w:numPr>
          <w:ilvl w:val="0"/>
          <w:numId w:val="5"/>
        </w:numPr>
        <w:rPr>
          <w:sz w:val="24"/>
        </w:rPr>
      </w:pPr>
      <w:r>
        <w:rPr>
          <w:noProof/>
          <w:lang w:eastAsia="en-GB"/>
        </w:rPr>
        <w:drawing>
          <wp:anchor distT="0" distB="0" distL="114300" distR="114300" simplePos="0" relativeHeight="251660288" behindDoc="1" locked="0" layoutInCell="1" allowOverlap="1">
            <wp:simplePos x="0" y="0"/>
            <wp:positionH relativeFrom="column">
              <wp:posOffset>4542790</wp:posOffset>
            </wp:positionH>
            <wp:positionV relativeFrom="paragraph">
              <wp:posOffset>238760</wp:posOffset>
            </wp:positionV>
            <wp:extent cx="1541145" cy="1535430"/>
            <wp:effectExtent l="0" t="0" r="1905" b="7620"/>
            <wp:wrapTight wrapText="bothSides">
              <wp:wrapPolygon edited="0">
                <wp:start x="0" y="0"/>
                <wp:lineTo x="0" y="21439"/>
                <wp:lineTo x="21360" y="21439"/>
                <wp:lineTo x="213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14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12F">
        <w:t xml:space="preserve">I communicate and implement University/Faculty decisions with energy and commitment, even if I do not fully agree with them.  </w:t>
      </w:r>
    </w:p>
    <w:p w:rsidR="00B6212F" w:rsidRPr="00B6212F" w:rsidRDefault="00B6212F" w:rsidP="00B6212F">
      <w:pPr>
        <w:pStyle w:val="ListParagraph"/>
        <w:numPr>
          <w:ilvl w:val="0"/>
          <w:numId w:val="5"/>
        </w:numPr>
        <w:rPr>
          <w:sz w:val="24"/>
        </w:rPr>
      </w:pPr>
      <w:r>
        <w:t xml:space="preserve">I am able to put collective performance and outcomes over my individual results.   </w:t>
      </w:r>
    </w:p>
    <w:p w:rsidR="002564E0" w:rsidRDefault="005645CB" w:rsidP="002564E0">
      <w:pPr>
        <w:pStyle w:val="Heading2"/>
        <w:spacing w:after="120"/>
        <w:rPr>
          <w:b w:val="0"/>
          <w:i/>
        </w:rPr>
      </w:pPr>
      <w:r>
        <w:t>Example</w:t>
      </w:r>
      <w:r w:rsidR="002564E0">
        <w:t xml:space="preserve"> on-the-job development activities </w:t>
      </w:r>
      <w:r w:rsidR="002564E0" w:rsidRPr="002564E0">
        <w:rPr>
          <w:b w:val="0"/>
          <w:i/>
        </w:rPr>
        <w:t>(70)</w:t>
      </w:r>
    </w:p>
    <w:p w:rsidR="005D6C4A" w:rsidRDefault="005D6C4A" w:rsidP="005D6C4A">
      <w:pPr>
        <w:pStyle w:val="ListParagraph"/>
        <w:numPr>
          <w:ilvl w:val="0"/>
          <w:numId w:val="6"/>
        </w:numPr>
      </w:pPr>
      <w:r>
        <w:t>Encourage shadowing and attending team meeting for other technical teams and be curious about ways of working in other areas.</w:t>
      </w:r>
    </w:p>
    <w:p w:rsidR="005D6C4A" w:rsidRDefault="005D6C4A" w:rsidP="005D6C4A">
      <w:pPr>
        <w:pStyle w:val="ListParagraph"/>
        <w:numPr>
          <w:ilvl w:val="0"/>
          <w:numId w:val="6"/>
        </w:numPr>
      </w:pPr>
      <w:r>
        <w:t xml:space="preserve">Investigate where there is longstanding collaboration or communication issues </w:t>
      </w:r>
      <w:r w:rsidR="00315330">
        <w:t xml:space="preserve">and seek mechanisms for starting a fresh. Challenge any parties resistant to collaboration to overcome barriers. </w:t>
      </w:r>
    </w:p>
    <w:p w:rsidR="00315330" w:rsidRDefault="00315330" w:rsidP="005D6C4A">
      <w:pPr>
        <w:pStyle w:val="ListParagraph"/>
        <w:numPr>
          <w:ilvl w:val="0"/>
          <w:numId w:val="6"/>
        </w:numPr>
      </w:pPr>
      <w:r>
        <w:t xml:space="preserve">Conduct a stakeholder mapping exercise with your team to </w:t>
      </w:r>
      <w:r w:rsidR="008F7111">
        <w:t xml:space="preserve">explore </w:t>
      </w:r>
      <w:r>
        <w:t xml:space="preserve">people/groups that you need to be effectively consulting with or involving to deliver the Technical Review. Encourage individuals to consider their role in building and maintaining these connections. </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723DB9"/>
          <w:p w:rsidR="00723DB9" w:rsidRDefault="00723DB9" w:rsidP="00723DB9"/>
          <w:p w:rsidR="00723DB9" w:rsidRDefault="00723DB9" w:rsidP="00723DB9"/>
          <w:p w:rsidR="00723DB9" w:rsidRDefault="00723DB9" w:rsidP="00723DB9"/>
        </w:tc>
      </w:tr>
    </w:tbl>
    <w:p w:rsidR="00723DB9" w:rsidRPr="005D6C4A" w:rsidRDefault="00723DB9" w:rsidP="00C754D5">
      <w:pPr>
        <w:spacing w:after="0"/>
      </w:pPr>
    </w:p>
    <w:p w:rsidR="002564E0" w:rsidRDefault="002564E0" w:rsidP="002564E0">
      <w:pPr>
        <w:pStyle w:val="Heading2"/>
        <w:spacing w:after="120"/>
      </w:pPr>
      <w:r>
        <w:t>Suggested reflection</w:t>
      </w:r>
      <w:r w:rsidR="005645CB">
        <w:t xml:space="preserve"> </w:t>
      </w:r>
      <w:r>
        <w:t>/</w:t>
      </w:r>
      <w:r w:rsidR="005645CB">
        <w:t xml:space="preserve"> </w:t>
      </w:r>
      <w:r>
        <w:t xml:space="preserve">discussion questions </w:t>
      </w:r>
      <w:r w:rsidRPr="002564E0">
        <w:rPr>
          <w:b w:val="0"/>
          <w:i/>
        </w:rPr>
        <w:t>(20)</w:t>
      </w:r>
    </w:p>
    <w:p w:rsidR="002564E0" w:rsidRDefault="002564E0" w:rsidP="002564E0">
      <w:r>
        <w:t xml:space="preserve">Q: </w:t>
      </w:r>
      <w:r w:rsidR="00B6212F">
        <w:t xml:space="preserve">How do you work effectively collaborate effectively as a </w:t>
      </w:r>
      <w:r w:rsidR="005D6C4A">
        <w:t>team of leaders</w:t>
      </w:r>
      <w:r w:rsidR="00B6212F">
        <w:t xml:space="preserve"> to successfully impact change?</w:t>
      </w:r>
    </w:p>
    <w:p w:rsidR="002564E0" w:rsidRDefault="002564E0" w:rsidP="002564E0">
      <w:r>
        <w:t xml:space="preserve">Q: How will </w:t>
      </w:r>
      <w:r w:rsidR="00B6212F">
        <w:t>ensure individuals in your team are all able to contribute to the Technical Review?</w:t>
      </w:r>
    </w:p>
    <w:p w:rsidR="002564E0" w:rsidRDefault="002564E0" w:rsidP="00A53DD8">
      <w:pPr>
        <w:spacing w:after="240"/>
      </w:pPr>
      <w:r>
        <w:t xml:space="preserve">Q: </w:t>
      </w:r>
      <w:r w:rsidR="005D6C4A">
        <w:t>How will you ensure your own priorities or the priorities of your area don’t take president over collective priorities?</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Pr>
              <w:spacing w:after="240"/>
            </w:pPr>
          </w:p>
          <w:p w:rsidR="00723DB9" w:rsidRDefault="00723DB9" w:rsidP="00A53DD8">
            <w:pPr>
              <w:spacing w:after="240"/>
            </w:pPr>
          </w:p>
        </w:tc>
      </w:tr>
    </w:tbl>
    <w:p w:rsidR="00723DB9" w:rsidRDefault="00723DB9" w:rsidP="00A53DD8">
      <w:pPr>
        <w:spacing w:after="240"/>
      </w:pPr>
    </w:p>
    <w:p w:rsidR="007A3F1F" w:rsidRDefault="002564E0" w:rsidP="00C754D5">
      <w:pPr>
        <w:pStyle w:val="Heading2"/>
        <w:spacing w:before="100" w:beforeAutospacing="1" w:after="120"/>
      </w:pPr>
      <w:r>
        <w:lastRenderedPageBreak/>
        <w:t>Recommended</w:t>
      </w:r>
      <w:r w:rsidR="007A3F1F">
        <w:t xml:space="preserve"> learning resources</w:t>
      </w:r>
      <w:r>
        <w:t xml:space="preserve"> </w:t>
      </w:r>
      <w:r w:rsidRPr="002564E0">
        <w:rPr>
          <w:b w:val="0"/>
          <w:i/>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5D6C4A" w:rsidTr="00723DB9">
        <w:trPr>
          <w:trHeight w:val="981"/>
        </w:trPr>
        <w:tc>
          <w:tcPr>
            <w:tcW w:w="1560" w:type="dxa"/>
          </w:tcPr>
          <w:p w:rsidR="007A3F1F" w:rsidRDefault="005D6C4A" w:rsidP="004F0774">
            <w:pPr>
              <w:jc w:val="center"/>
            </w:pPr>
            <w:r>
              <w:rPr>
                <w:noProof/>
                <w:lang w:eastAsia="en-GB"/>
              </w:rPr>
              <w:drawing>
                <wp:inline distT="0" distB="0" distL="0" distR="0">
                  <wp:extent cx="707666" cy="530586"/>
                  <wp:effectExtent l="0" t="0" r="0" b="317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8963" cy="546554"/>
                          </a:xfrm>
                          <a:prstGeom prst="rect">
                            <a:avLst/>
                          </a:prstGeom>
                          <a:noFill/>
                          <a:ln>
                            <a:noFill/>
                          </a:ln>
                        </pic:spPr>
                      </pic:pic>
                    </a:graphicData>
                  </a:graphic>
                </wp:inline>
              </w:drawing>
            </w:r>
          </w:p>
        </w:tc>
        <w:tc>
          <w:tcPr>
            <w:tcW w:w="8079" w:type="dxa"/>
            <w:vAlign w:val="center"/>
          </w:tcPr>
          <w:p w:rsidR="005D6C4A" w:rsidRDefault="005D6C4A" w:rsidP="005D6C4A">
            <w:r>
              <w:t xml:space="preserve">Watch: </w:t>
            </w:r>
            <w:hyperlink r:id="rId11" w:history="1">
              <w:r w:rsidRPr="005C3C10">
                <w:rPr>
                  <w:rStyle w:val="Hyperlink"/>
                </w:rPr>
                <w:t>Collaboration Affect/Possibility</w:t>
              </w:r>
            </w:hyperlink>
          </w:p>
          <w:p w:rsidR="007A3F1F" w:rsidRDefault="005D6C4A" w:rsidP="005D6C4A">
            <w:r w:rsidRPr="00142809">
              <w:rPr>
                <w:b/>
              </w:rPr>
              <w:t>TED</w:t>
            </w:r>
            <w:r>
              <w:rPr>
                <w:b/>
              </w:rPr>
              <w:t xml:space="preserve"> Talk - 16</w:t>
            </w:r>
            <w:r w:rsidRPr="00142809">
              <w:rPr>
                <w:b/>
              </w:rPr>
              <w:t xml:space="preserve">mins </w:t>
            </w:r>
          </w:p>
        </w:tc>
      </w:tr>
      <w:tr w:rsidR="005D6C4A" w:rsidTr="00723DB9">
        <w:tc>
          <w:tcPr>
            <w:tcW w:w="1560" w:type="dxa"/>
          </w:tcPr>
          <w:p w:rsidR="007A3F1F" w:rsidRDefault="007A3F1F" w:rsidP="004F0774">
            <w:pPr>
              <w:jc w:val="center"/>
            </w:pPr>
            <w:r>
              <w:rPr>
                <w:noProof/>
                <w:lang w:eastAsia="en-GB"/>
              </w:rPr>
              <w:drawing>
                <wp:inline distT="0" distB="0" distL="0" distR="0" wp14:anchorId="474DBAA0" wp14:editId="0BFD6837">
                  <wp:extent cx="477078" cy="6717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74470"/>
                          <a:stretch/>
                        </pic:blipFill>
                        <pic:spPr bwMode="auto">
                          <a:xfrm>
                            <a:off x="0" y="0"/>
                            <a:ext cx="484872" cy="682755"/>
                          </a:xfrm>
                          <a:prstGeom prst="rect">
                            <a:avLst/>
                          </a:prstGeom>
                          <a:ln>
                            <a:noFill/>
                          </a:ln>
                          <a:extLst>
                            <a:ext uri="{53640926-AAD7-44D8-BBD7-CCE9431645EC}">
                              <a14:shadowObscured xmlns:a14="http://schemas.microsoft.com/office/drawing/2010/main"/>
                            </a:ext>
                          </a:extLst>
                        </pic:spPr>
                      </pic:pic>
                    </a:graphicData>
                  </a:graphic>
                </wp:inline>
              </w:drawing>
            </w:r>
          </w:p>
        </w:tc>
        <w:tc>
          <w:tcPr>
            <w:tcW w:w="8079" w:type="dxa"/>
            <w:vAlign w:val="center"/>
          </w:tcPr>
          <w:p w:rsidR="005D6C4A" w:rsidRDefault="005D6C4A" w:rsidP="005D6C4A">
            <w:r>
              <w:t xml:space="preserve">Read: </w:t>
            </w:r>
            <w:hyperlink r:id="rId13" w:anchor="/manchester-tfl/s/795eccdb" w:history="1">
              <w:r w:rsidRPr="00142809">
                <w:rPr>
                  <w:rStyle w:val="Hyperlink"/>
                </w:rPr>
                <w:t>From Silo’s to SMART collaboration</w:t>
              </w:r>
            </w:hyperlink>
          </w:p>
          <w:p w:rsidR="00103708" w:rsidRPr="00103708" w:rsidRDefault="005D6C4A" w:rsidP="005D6C4A">
            <w:pPr>
              <w:rPr>
                <w:b/>
              </w:rPr>
            </w:pPr>
            <w:r w:rsidRPr="00142809">
              <w:rPr>
                <w:b/>
              </w:rPr>
              <w:t xml:space="preserve">L&amp;D Toolkit </w:t>
            </w:r>
            <w:r>
              <w:rPr>
                <w:b/>
              </w:rPr>
              <w:t xml:space="preserve">- </w:t>
            </w:r>
            <w:r w:rsidRPr="00142809">
              <w:rPr>
                <w:b/>
              </w:rPr>
              <w:t>5mins</w:t>
            </w:r>
          </w:p>
        </w:tc>
      </w:tr>
      <w:tr w:rsidR="00632C59" w:rsidTr="00723DB9">
        <w:tc>
          <w:tcPr>
            <w:tcW w:w="1560" w:type="dxa"/>
          </w:tcPr>
          <w:p w:rsidR="00632C59" w:rsidRDefault="00632C59" w:rsidP="004F0774">
            <w:pPr>
              <w:jc w:val="center"/>
              <w:rPr>
                <w:noProof/>
                <w:lang w:eastAsia="en-GB"/>
              </w:rPr>
            </w:pPr>
            <w:r>
              <w:rPr>
                <w:noProof/>
                <w:lang w:eastAsia="en-GB"/>
              </w:rPr>
              <w:drawing>
                <wp:inline distT="0" distB="0" distL="0" distR="0" wp14:anchorId="258DBCEB" wp14:editId="4995441C">
                  <wp:extent cx="560717" cy="557099"/>
                  <wp:effectExtent l="0" t="0" r="0" b="0"/>
                  <wp:docPr id="61" name="Picture 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17" cy="557099"/>
                          </a:xfrm>
                          <a:prstGeom prst="rect">
                            <a:avLst/>
                          </a:prstGeom>
                          <a:noFill/>
                          <a:ln>
                            <a:noFill/>
                          </a:ln>
                        </pic:spPr>
                      </pic:pic>
                    </a:graphicData>
                  </a:graphic>
                </wp:inline>
              </w:drawing>
            </w:r>
          </w:p>
        </w:tc>
        <w:tc>
          <w:tcPr>
            <w:tcW w:w="8079" w:type="dxa"/>
            <w:vAlign w:val="center"/>
          </w:tcPr>
          <w:p w:rsidR="00632C59" w:rsidRDefault="00632C59" w:rsidP="005D6C4A">
            <w:r>
              <w:t xml:space="preserve">Watch: </w:t>
            </w:r>
            <w:hyperlink r:id="rId15" w:history="1">
              <w:r w:rsidRPr="00632C59">
                <w:rPr>
                  <w:rStyle w:val="Hyperlink"/>
                </w:rPr>
                <w:t>Creating a Culture of Collaboration</w:t>
              </w:r>
            </w:hyperlink>
          </w:p>
          <w:p w:rsidR="00632C59" w:rsidRPr="00632C59" w:rsidRDefault="00632C59" w:rsidP="005D6C4A">
            <w:pPr>
              <w:rPr>
                <w:b/>
              </w:rPr>
            </w:pPr>
            <w:r w:rsidRPr="00632C59">
              <w:rPr>
                <w:b/>
              </w:rPr>
              <w:t>LinkedIn Learning – 26mins</w:t>
            </w:r>
          </w:p>
        </w:tc>
      </w:tr>
    </w:tbl>
    <w:p w:rsidR="004F0774" w:rsidRDefault="004F0774" w:rsidP="00C754D5">
      <w:pPr>
        <w:spacing w:after="0"/>
      </w:pPr>
      <w:bookmarkStart w:id="0" w:name="_GoBack"/>
      <w:bookmarkEnd w:id="0"/>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 w:rsidR="00723DB9" w:rsidRDefault="00723DB9" w:rsidP="00A53DD8"/>
          <w:p w:rsidR="00723DB9" w:rsidRDefault="00723DB9" w:rsidP="00A53DD8"/>
          <w:p w:rsidR="00723DB9" w:rsidRDefault="00723DB9" w:rsidP="00A53DD8"/>
        </w:tc>
      </w:tr>
    </w:tbl>
    <w:p w:rsidR="00723DB9" w:rsidRPr="004F0774" w:rsidRDefault="00723DB9" w:rsidP="00A53DD8"/>
    <w:sectPr w:rsidR="00723DB9" w:rsidRPr="004F0774" w:rsidSect="00A53D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03" w:rsidRDefault="003F3703" w:rsidP="007A3F1F">
      <w:pPr>
        <w:spacing w:after="0" w:line="240" w:lineRule="auto"/>
      </w:pPr>
      <w:r>
        <w:separator/>
      </w:r>
    </w:p>
  </w:endnote>
  <w:endnote w:type="continuationSeparator" w:id="0">
    <w:p w:rsidR="003F3703" w:rsidRDefault="003F3703" w:rsidP="007A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03" w:rsidRDefault="003F3703" w:rsidP="007A3F1F">
      <w:pPr>
        <w:spacing w:after="0" w:line="240" w:lineRule="auto"/>
      </w:pPr>
      <w:r>
        <w:separator/>
      </w:r>
    </w:p>
  </w:footnote>
  <w:footnote w:type="continuationSeparator" w:id="0">
    <w:p w:rsidR="003F3703" w:rsidRDefault="003F3703" w:rsidP="007A3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176"/>
    <w:multiLevelType w:val="hybridMultilevel"/>
    <w:tmpl w:val="184A14E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D3AC0"/>
    <w:multiLevelType w:val="hybridMultilevel"/>
    <w:tmpl w:val="374A70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214384"/>
    <w:multiLevelType w:val="hybridMultilevel"/>
    <w:tmpl w:val="CF78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11C8A"/>
    <w:multiLevelType w:val="hybridMultilevel"/>
    <w:tmpl w:val="1A7AF8C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D2C27"/>
    <w:multiLevelType w:val="hybridMultilevel"/>
    <w:tmpl w:val="243E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A16D7E"/>
    <w:multiLevelType w:val="hybridMultilevel"/>
    <w:tmpl w:val="897AA8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1F"/>
    <w:rsid w:val="000420E1"/>
    <w:rsid w:val="00103708"/>
    <w:rsid w:val="002564E0"/>
    <w:rsid w:val="00315330"/>
    <w:rsid w:val="003F3703"/>
    <w:rsid w:val="004F0774"/>
    <w:rsid w:val="005645CB"/>
    <w:rsid w:val="005D6C4A"/>
    <w:rsid w:val="00632C59"/>
    <w:rsid w:val="00723DB9"/>
    <w:rsid w:val="007A3F1F"/>
    <w:rsid w:val="008D6C74"/>
    <w:rsid w:val="008F7111"/>
    <w:rsid w:val="00A15B6C"/>
    <w:rsid w:val="00A465BE"/>
    <w:rsid w:val="00A53DD8"/>
    <w:rsid w:val="00B6212F"/>
    <w:rsid w:val="00C754D5"/>
    <w:rsid w:val="00FC3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CA9C"/>
  <w15:chartTrackingRefBased/>
  <w15:docId w15:val="{2826520E-5A88-4F42-9F9E-1493C24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F1F"/>
    <w:rPr>
      <w:rFonts w:ascii="Arial" w:hAnsi="Arial"/>
    </w:rPr>
  </w:style>
  <w:style w:type="paragraph" w:styleId="Heading1">
    <w:name w:val="heading 1"/>
    <w:basedOn w:val="Normal"/>
    <w:next w:val="Normal"/>
    <w:link w:val="Heading1Char"/>
    <w:uiPriority w:val="9"/>
    <w:qFormat/>
    <w:rsid w:val="007A3F1F"/>
    <w:pPr>
      <w:keepNext/>
      <w:keepLines/>
      <w:spacing w:before="240" w:after="0"/>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7A3F1F"/>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F1F"/>
  </w:style>
  <w:style w:type="paragraph" w:styleId="Footer">
    <w:name w:val="footer"/>
    <w:basedOn w:val="Normal"/>
    <w:link w:val="FooterChar"/>
    <w:uiPriority w:val="99"/>
    <w:unhideWhenUsed/>
    <w:rsid w:val="007A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1F"/>
  </w:style>
  <w:style w:type="character" w:customStyle="1" w:styleId="Heading1Char">
    <w:name w:val="Heading 1 Char"/>
    <w:basedOn w:val="DefaultParagraphFont"/>
    <w:link w:val="Heading1"/>
    <w:uiPriority w:val="9"/>
    <w:rsid w:val="007A3F1F"/>
    <w:rPr>
      <w:rFonts w:ascii="Arial" w:eastAsiaTheme="majorEastAsia" w:hAnsi="Arial" w:cstheme="majorBidi"/>
      <w:b/>
      <w:color w:val="7030A0"/>
      <w:sz w:val="32"/>
      <w:szCs w:val="32"/>
    </w:rPr>
  </w:style>
  <w:style w:type="character" w:customStyle="1" w:styleId="Heading2Char">
    <w:name w:val="Heading 2 Char"/>
    <w:basedOn w:val="DefaultParagraphFont"/>
    <w:link w:val="Heading2"/>
    <w:uiPriority w:val="9"/>
    <w:rsid w:val="007A3F1F"/>
    <w:rPr>
      <w:rFonts w:ascii="Arial" w:eastAsiaTheme="majorEastAsia" w:hAnsi="Arial" w:cstheme="majorBidi"/>
      <w:b/>
      <w:sz w:val="26"/>
      <w:szCs w:val="26"/>
    </w:rPr>
  </w:style>
  <w:style w:type="paragraph" w:styleId="ListParagraph">
    <w:name w:val="List Paragraph"/>
    <w:basedOn w:val="Normal"/>
    <w:uiPriority w:val="34"/>
    <w:qFormat/>
    <w:rsid w:val="007A3F1F"/>
    <w:pPr>
      <w:ind w:left="720"/>
      <w:contextualSpacing/>
    </w:pPr>
  </w:style>
  <w:style w:type="table" w:styleId="TableGrid">
    <w:name w:val="Table Grid"/>
    <w:basedOn w:val="TableNormal"/>
    <w:uiPriority w:val="39"/>
    <w:rsid w:val="007A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774"/>
    <w:rPr>
      <w:color w:val="0563C1" w:themeColor="hyperlink"/>
      <w:u w:val="single"/>
    </w:rPr>
  </w:style>
  <w:style w:type="character" w:styleId="FollowedHyperlink">
    <w:name w:val="FollowedHyperlink"/>
    <w:basedOn w:val="DefaultParagraphFont"/>
    <w:uiPriority w:val="99"/>
    <w:semiHidden/>
    <w:unhideWhenUsed/>
    <w:rsid w:val="005D6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pp.goodpractice.ne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videos/search?view=detail&amp;mid=66C184BDF02FDF632CB166C184BDF02FDF632CB1&amp;q=ted+talk+collaboration+clay+shirky&amp;shtp=GetUrl&amp;shid=2ef76f80-8bff-4934-8266-46076868dbc2&amp;shtk=Q29sbGFib3JhdGlvbiAtIEFmZmVjdC9Qb3NzaWJpbGl0eTogS2VuIEJsYW5jaGFyZCBhdCBURUR4U2FuRGllZ28%3D&amp;shdk=U3RhdGluZyB0aGF0ICJubyBvbmUgb2YgdXMgaXMgYXMgc21hcnQgYXMgYWxsIG9mIHVzLCIgS2VuIEJsYW5jaGFyZCB0ZWFjaGVzIHVzIHRocmVlIGFzcGVjdHMgb2Ygc3VjY2Vzc2Z1bCBjb2xsYWJvcmF0aW9uOiAxLiBpZiB5b3UgbWVldCBzb21lb25lIHdobyB3YW50cyB0byBhY2NvbXBsaXNoIHNvbWV0aGluZywgYW5kIHlvdSB3YW50IHRvIGFjY29tcGxpc2ggc29tZXRoaW5nLCB0aGUgZXhwZXJpZW5jZSBpcyBtZWFudCB0byBiZSBkeW5hbWljOyAyLiByZWx5IG9uIHRoZSBkaWZmZXJlbnQgc2tpbGxzIGFuZCBleHBlcmllbmNlIHBlb3BsZSBicmluZyB0byB0aGUgdGFibGU7IDMuICJlc3NlbmNlIC4uLg%3D%3D&amp;shhk=TaiKmnfN1x6nJy8JFSKJw6pfjw6xdDcjndmysr2O%2Bzc%3D&amp;form=VDSHOT&amp;shth=OSH.PZjI4P5Ykje5GYGwQHsYeA" TargetMode="External"/><Relationship Id="rId5" Type="http://schemas.openxmlformats.org/officeDocument/2006/relationships/footnotes" Target="footnotes.xml"/><Relationship Id="rId15" Type="http://schemas.openxmlformats.org/officeDocument/2006/relationships/hyperlink" Target="https://www.linkedin.com/learning/creating-a-culture-of-collaboration?u=74653818"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Cadd</dc:creator>
  <cp:keywords/>
  <dc:description/>
  <cp:lastModifiedBy>Esther Cadd</cp:lastModifiedBy>
  <cp:revision>8</cp:revision>
  <dcterms:created xsi:type="dcterms:W3CDTF">2020-12-03T14:03:00Z</dcterms:created>
  <dcterms:modified xsi:type="dcterms:W3CDTF">2020-12-10T13:57:00Z</dcterms:modified>
</cp:coreProperties>
</file>