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669" w:type="dxa"/>
        <w:tblInd w:w="-176" w:type="dxa"/>
        <w:tblLook w:val="04A0" w:firstRow="1" w:lastRow="0" w:firstColumn="1" w:lastColumn="0" w:noHBand="0" w:noVBand="1"/>
      </w:tblPr>
      <w:tblGrid>
        <w:gridCol w:w="2988"/>
        <w:gridCol w:w="1741"/>
        <w:gridCol w:w="4940"/>
      </w:tblGrid>
      <w:tr w:rsidR="0063304D" w14:paraId="6B794C9F" w14:textId="77777777" w:rsidTr="00345BBB">
        <w:trPr>
          <w:trHeight w:val="1004"/>
        </w:trPr>
        <w:tc>
          <w:tcPr>
            <w:tcW w:w="9669" w:type="dxa"/>
            <w:gridSpan w:val="3"/>
            <w:shd w:val="clear" w:color="auto" w:fill="7030A0"/>
          </w:tcPr>
          <w:p w14:paraId="77D70091" w14:textId="77777777" w:rsidR="0063304D" w:rsidRDefault="0063304D" w:rsidP="0063304D">
            <w:pPr>
              <w:jc w:val="center"/>
              <w:rPr>
                <w:rFonts w:ascii="Arial" w:hAnsi="Arial" w:cs="Arial"/>
                <w:b/>
                <w:sz w:val="28"/>
                <w:szCs w:val="28"/>
              </w:rPr>
            </w:pPr>
          </w:p>
          <w:p w14:paraId="0E3DC406" w14:textId="77777777" w:rsidR="003B65E5" w:rsidRDefault="003B65E5" w:rsidP="0063304D">
            <w:pPr>
              <w:jc w:val="center"/>
              <w:rPr>
                <w:rFonts w:ascii="Arial" w:hAnsi="Arial" w:cs="Arial"/>
                <w:b/>
                <w:color w:val="FFFFFF" w:themeColor="background1"/>
                <w:sz w:val="28"/>
                <w:szCs w:val="28"/>
              </w:rPr>
            </w:pPr>
            <w:r>
              <w:rPr>
                <w:rFonts w:ascii="Arial" w:hAnsi="Arial" w:cs="Arial"/>
                <w:b/>
                <w:color w:val="FFFFFF" w:themeColor="background1"/>
                <w:sz w:val="28"/>
                <w:szCs w:val="28"/>
              </w:rPr>
              <w:t>Doctoral Programme</w:t>
            </w:r>
          </w:p>
          <w:p w14:paraId="7295CBB4" w14:textId="77777777" w:rsidR="0063304D" w:rsidRPr="0063304D" w:rsidRDefault="00345BBB" w:rsidP="0063304D">
            <w:pPr>
              <w:jc w:val="center"/>
              <w:rPr>
                <w:rFonts w:ascii="Arial" w:hAnsi="Arial" w:cs="Arial"/>
                <w:b/>
                <w:color w:val="FFFFFF" w:themeColor="background1"/>
                <w:sz w:val="28"/>
                <w:szCs w:val="28"/>
              </w:rPr>
            </w:pPr>
            <w:r>
              <w:rPr>
                <w:rFonts w:ascii="Arial" w:hAnsi="Arial" w:cs="Arial"/>
                <w:b/>
                <w:color w:val="FFFFFF" w:themeColor="background1"/>
                <w:sz w:val="28"/>
                <w:szCs w:val="28"/>
              </w:rPr>
              <w:t xml:space="preserve"> </w:t>
            </w:r>
            <w:r w:rsidR="0063304D" w:rsidRPr="0063304D">
              <w:rPr>
                <w:rFonts w:ascii="Arial" w:hAnsi="Arial" w:cs="Arial"/>
                <w:b/>
                <w:color w:val="FFFFFF" w:themeColor="background1"/>
                <w:sz w:val="28"/>
                <w:szCs w:val="28"/>
              </w:rPr>
              <w:t xml:space="preserve">Course unit outline </w:t>
            </w:r>
            <w:r w:rsidR="00B274A6">
              <w:rPr>
                <w:rFonts w:ascii="Arial" w:hAnsi="Arial" w:cs="Arial"/>
                <w:b/>
                <w:color w:val="FFFFFF" w:themeColor="background1"/>
                <w:sz w:val="28"/>
                <w:szCs w:val="28"/>
              </w:rPr>
              <w:t>2020/21</w:t>
            </w:r>
          </w:p>
          <w:p w14:paraId="77B4BB10" w14:textId="77777777" w:rsidR="0063304D" w:rsidRDefault="0063304D" w:rsidP="00A678DF">
            <w:pPr>
              <w:jc w:val="center"/>
              <w:rPr>
                <w:rFonts w:ascii="Arial" w:hAnsi="Arial" w:cs="Arial"/>
                <w:b/>
                <w:sz w:val="28"/>
                <w:szCs w:val="28"/>
              </w:rPr>
            </w:pPr>
          </w:p>
        </w:tc>
      </w:tr>
      <w:tr w:rsidR="0063304D" w14:paraId="792937BA" w14:textId="77777777" w:rsidTr="00345BBB">
        <w:tc>
          <w:tcPr>
            <w:tcW w:w="2988" w:type="dxa"/>
            <w:shd w:val="clear" w:color="auto" w:fill="D9D9D9" w:themeFill="background1" w:themeFillShade="D9"/>
          </w:tcPr>
          <w:p w14:paraId="277D5AB0" w14:textId="77777777" w:rsidR="0063304D" w:rsidRPr="00D42AA1" w:rsidRDefault="0063304D" w:rsidP="00D57CBE">
            <w:pPr>
              <w:rPr>
                <w:rFonts w:ascii="Calibri" w:hAnsi="Calibri" w:cs="Calibri"/>
                <w:b/>
                <w:color w:val="FF0000"/>
                <w:sz w:val="28"/>
                <w:szCs w:val="28"/>
              </w:rPr>
            </w:pPr>
            <w:r w:rsidRPr="00D42AA1">
              <w:rPr>
                <w:rFonts w:ascii="Calibri" w:hAnsi="Calibri" w:cs="Calibri"/>
                <w:b/>
                <w:sz w:val="24"/>
                <w:szCs w:val="24"/>
              </w:rPr>
              <w:t xml:space="preserve">Unit code: </w:t>
            </w:r>
          </w:p>
        </w:tc>
        <w:tc>
          <w:tcPr>
            <w:tcW w:w="6681" w:type="dxa"/>
            <w:gridSpan w:val="2"/>
          </w:tcPr>
          <w:p w14:paraId="0F0CCD36" w14:textId="350F6DE1" w:rsidR="0063304D" w:rsidRPr="00B274A6" w:rsidRDefault="00D57CBE" w:rsidP="009075AE">
            <w:pPr>
              <w:rPr>
                <w:rFonts w:cstheme="minorHAnsi"/>
                <w:b/>
              </w:rPr>
            </w:pPr>
            <w:r w:rsidRPr="0056006D">
              <w:rPr>
                <w:rFonts w:cstheme="minorHAnsi"/>
                <w:b/>
              </w:rPr>
              <w:t>BMAN</w:t>
            </w:r>
            <w:r w:rsidR="0099715A">
              <w:rPr>
                <w:rFonts w:cstheme="minorHAnsi"/>
                <w:b/>
              </w:rPr>
              <w:t>8</w:t>
            </w:r>
            <w:r w:rsidR="009075AE">
              <w:rPr>
                <w:rFonts w:cstheme="minorHAnsi"/>
                <w:b/>
              </w:rPr>
              <w:t>8152</w:t>
            </w:r>
          </w:p>
        </w:tc>
      </w:tr>
      <w:tr w:rsidR="0063304D" w14:paraId="10C97E7C" w14:textId="77777777" w:rsidTr="00345BBB">
        <w:tc>
          <w:tcPr>
            <w:tcW w:w="2988" w:type="dxa"/>
            <w:shd w:val="clear" w:color="auto" w:fill="D9D9D9" w:themeFill="background1" w:themeFillShade="D9"/>
          </w:tcPr>
          <w:p w14:paraId="3D4BD3BB" w14:textId="77777777" w:rsidR="0063304D" w:rsidRPr="00B274A6" w:rsidRDefault="0063304D" w:rsidP="00290A4D">
            <w:pPr>
              <w:rPr>
                <w:rFonts w:ascii="Calibri" w:hAnsi="Calibri" w:cs="Calibri"/>
                <w:b/>
                <w:sz w:val="24"/>
                <w:szCs w:val="24"/>
              </w:rPr>
            </w:pPr>
            <w:r w:rsidRPr="00D42AA1">
              <w:rPr>
                <w:rFonts w:ascii="Calibri" w:hAnsi="Calibri" w:cs="Calibri"/>
                <w:b/>
                <w:sz w:val="24"/>
                <w:szCs w:val="24"/>
              </w:rPr>
              <w:t>Title:</w:t>
            </w:r>
          </w:p>
        </w:tc>
        <w:tc>
          <w:tcPr>
            <w:tcW w:w="6681" w:type="dxa"/>
            <w:gridSpan w:val="2"/>
          </w:tcPr>
          <w:p w14:paraId="21067BD6" w14:textId="42F88F25" w:rsidR="0063304D" w:rsidRPr="00676A0E" w:rsidRDefault="00CF4DA9" w:rsidP="00290A4D">
            <w:pPr>
              <w:rPr>
                <w:rFonts w:cs="Palatino Linotype"/>
                <w:b/>
              </w:rPr>
            </w:pPr>
            <w:r>
              <w:rPr>
                <w:rFonts w:cs="Palatino Linotype"/>
                <w:b/>
              </w:rPr>
              <w:t>Exploratory Factor Analysis</w:t>
            </w:r>
            <w:bookmarkStart w:id="0" w:name="_GoBack"/>
            <w:bookmarkEnd w:id="0"/>
          </w:p>
        </w:tc>
      </w:tr>
      <w:tr w:rsidR="0063304D" w14:paraId="3AE72C79" w14:textId="77777777" w:rsidTr="00345BBB">
        <w:tc>
          <w:tcPr>
            <w:tcW w:w="2988" w:type="dxa"/>
            <w:shd w:val="clear" w:color="auto" w:fill="D9D9D9" w:themeFill="background1" w:themeFillShade="D9"/>
          </w:tcPr>
          <w:p w14:paraId="1D06284D" w14:textId="77777777" w:rsidR="0063304D" w:rsidRPr="00B274A6" w:rsidRDefault="0063304D" w:rsidP="00290A4D">
            <w:pPr>
              <w:rPr>
                <w:rFonts w:ascii="Calibri" w:hAnsi="Calibri" w:cs="Calibri"/>
                <w:b/>
                <w:sz w:val="24"/>
                <w:szCs w:val="24"/>
              </w:rPr>
            </w:pPr>
            <w:r w:rsidRPr="00D42AA1">
              <w:rPr>
                <w:rFonts w:ascii="Calibri" w:hAnsi="Calibri" w:cs="Calibri"/>
                <w:b/>
                <w:sz w:val="24"/>
                <w:szCs w:val="24"/>
              </w:rPr>
              <w:t xml:space="preserve">Credit </w:t>
            </w:r>
            <w:r w:rsidR="00B274A6">
              <w:rPr>
                <w:rFonts w:ascii="Calibri" w:hAnsi="Calibri" w:cs="Calibri"/>
                <w:b/>
                <w:sz w:val="24"/>
                <w:szCs w:val="24"/>
              </w:rPr>
              <w:t>value</w:t>
            </w:r>
            <w:r w:rsidRPr="00D42AA1">
              <w:rPr>
                <w:rFonts w:ascii="Calibri" w:hAnsi="Calibri" w:cs="Calibri"/>
                <w:b/>
                <w:sz w:val="24"/>
                <w:szCs w:val="24"/>
              </w:rPr>
              <w:t>:</w:t>
            </w:r>
          </w:p>
        </w:tc>
        <w:tc>
          <w:tcPr>
            <w:tcW w:w="6681" w:type="dxa"/>
            <w:gridSpan w:val="2"/>
          </w:tcPr>
          <w:p w14:paraId="1044CFDE" w14:textId="77777777" w:rsidR="0063304D" w:rsidRPr="003344E5" w:rsidRDefault="00676A0E" w:rsidP="00290A4D">
            <w:pPr>
              <w:rPr>
                <w:rFonts w:cstheme="minorHAnsi"/>
                <w:b/>
              </w:rPr>
            </w:pPr>
            <w:r w:rsidRPr="003344E5">
              <w:rPr>
                <w:rFonts w:cstheme="minorHAnsi"/>
                <w:b/>
              </w:rPr>
              <w:t>5</w:t>
            </w:r>
          </w:p>
        </w:tc>
      </w:tr>
      <w:tr w:rsidR="0063304D" w14:paraId="5D1FB6E0" w14:textId="77777777" w:rsidTr="00345BBB">
        <w:tc>
          <w:tcPr>
            <w:tcW w:w="2988" w:type="dxa"/>
            <w:shd w:val="clear" w:color="auto" w:fill="D9D9D9" w:themeFill="background1" w:themeFillShade="D9"/>
          </w:tcPr>
          <w:p w14:paraId="51A1F9F8" w14:textId="77777777" w:rsidR="00B274A6" w:rsidRPr="00B274A6" w:rsidRDefault="0063304D" w:rsidP="00290A4D">
            <w:pPr>
              <w:rPr>
                <w:rFonts w:ascii="Calibri" w:hAnsi="Calibri" w:cs="Calibri"/>
                <w:b/>
                <w:sz w:val="24"/>
                <w:szCs w:val="24"/>
              </w:rPr>
            </w:pPr>
            <w:r w:rsidRPr="00D42AA1">
              <w:rPr>
                <w:rFonts w:ascii="Calibri" w:hAnsi="Calibri" w:cs="Calibri"/>
                <w:b/>
                <w:sz w:val="24"/>
                <w:szCs w:val="24"/>
              </w:rPr>
              <w:t>Semester:</w:t>
            </w:r>
          </w:p>
        </w:tc>
        <w:tc>
          <w:tcPr>
            <w:tcW w:w="6681" w:type="dxa"/>
            <w:gridSpan w:val="2"/>
          </w:tcPr>
          <w:p w14:paraId="4DFF7B08" w14:textId="77777777" w:rsidR="0063304D" w:rsidRPr="003344E5" w:rsidRDefault="00676A0E" w:rsidP="00290A4D">
            <w:pPr>
              <w:rPr>
                <w:rFonts w:cstheme="minorHAnsi"/>
                <w:b/>
              </w:rPr>
            </w:pPr>
            <w:r w:rsidRPr="003344E5">
              <w:rPr>
                <w:rFonts w:cstheme="minorHAnsi"/>
                <w:b/>
              </w:rPr>
              <w:t>2</w:t>
            </w:r>
          </w:p>
        </w:tc>
      </w:tr>
      <w:tr w:rsidR="0063304D" w14:paraId="7C4FBFA5" w14:textId="77777777" w:rsidTr="00345BBB">
        <w:tc>
          <w:tcPr>
            <w:tcW w:w="2988" w:type="dxa"/>
            <w:shd w:val="clear" w:color="auto" w:fill="D9D9D9" w:themeFill="background1" w:themeFillShade="D9"/>
          </w:tcPr>
          <w:p w14:paraId="24B78877" w14:textId="77777777" w:rsidR="0063304D" w:rsidRPr="00D42AA1" w:rsidRDefault="0063304D" w:rsidP="0063304D">
            <w:pPr>
              <w:rPr>
                <w:rFonts w:ascii="Calibri" w:hAnsi="Calibri" w:cs="Calibri"/>
                <w:b/>
                <w:sz w:val="24"/>
                <w:szCs w:val="24"/>
              </w:rPr>
            </w:pPr>
            <w:r w:rsidRPr="00D42AA1">
              <w:rPr>
                <w:rFonts w:ascii="Calibri" w:hAnsi="Calibri" w:cs="Calibri"/>
                <w:b/>
                <w:sz w:val="24"/>
                <w:szCs w:val="24"/>
              </w:rPr>
              <w:t xml:space="preserve">Course Coordinator </w:t>
            </w:r>
          </w:p>
          <w:p w14:paraId="2FFB15F2" w14:textId="77777777" w:rsidR="0063304D" w:rsidRPr="00B274A6" w:rsidRDefault="0063304D" w:rsidP="00D57CBE">
            <w:pPr>
              <w:rPr>
                <w:rFonts w:ascii="Calibri" w:hAnsi="Calibri" w:cs="Calibri"/>
                <w:b/>
                <w:sz w:val="24"/>
                <w:szCs w:val="24"/>
              </w:rPr>
            </w:pPr>
            <w:r w:rsidRPr="00D42AA1">
              <w:rPr>
                <w:rFonts w:ascii="Calibri" w:hAnsi="Calibri" w:cs="Calibri"/>
                <w:b/>
                <w:sz w:val="24"/>
                <w:szCs w:val="24"/>
              </w:rPr>
              <w:t>contact details:</w:t>
            </w:r>
          </w:p>
        </w:tc>
        <w:tc>
          <w:tcPr>
            <w:tcW w:w="6681" w:type="dxa"/>
            <w:gridSpan w:val="2"/>
          </w:tcPr>
          <w:p w14:paraId="4E85C126" w14:textId="77777777" w:rsidR="0063304D" w:rsidRPr="003344E5" w:rsidRDefault="00676A0E" w:rsidP="00290A4D">
            <w:pPr>
              <w:rPr>
                <w:rFonts w:ascii="Arial" w:hAnsi="Arial" w:cs="Arial"/>
                <w:b/>
                <w:sz w:val="24"/>
                <w:szCs w:val="24"/>
              </w:rPr>
            </w:pPr>
            <w:r w:rsidRPr="003344E5">
              <w:t>Prof. Paul Irwing, Room 7.005, Tel. 0161-8323872/63419, Email: paul.irwing@manchester.ac.uk</w:t>
            </w:r>
          </w:p>
        </w:tc>
      </w:tr>
      <w:tr w:rsidR="0063304D" w14:paraId="30027CF2" w14:textId="77777777" w:rsidTr="00345BBB">
        <w:tc>
          <w:tcPr>
            <w:tcW w:w="2988" w:type="dxa"/>
            <w:shd w:val="clear" w:color="auto" w:fill="D9D9D9" w:themeFill="background1" w:themeFillShade="D9"/>
          </w:tcPr>
          <w:p w14:paraId="1A780BEA" w14:textId="77777777" w:rsidR="0063304D" w:rsidRPr="00B274A6" w:rsidRDefault="0063304D" w:rsidP="00D57CBE">
            <w:pPr>
              <w:rPr>
                <w:rFonts w:ascii="Calibri" w:hAnsi="Calibri" w:cs="Calibri"/>
                <w:b/>
                <w:sz w:val="24"/>
                <w:szCs w:val="24"/>
              </w:rPr>
            </w:pPr>
            <w:r w:rsidRPr="00D42AA1">
              <w:rPr>
                <w:rFonts w:ascii="Calibri" w:hAnsi="Calibri" w:cs="Calibri"/>
                <w:b/>
                <w:sz w:val="24"/>
                <w:szCs w:val="24"/>
              </w:rPr>
              <w:t>Other staff involved contact details:</w:t>
            </w:r>
          </w:p>
        </w:tc>
        <w:tc>
          <w:tcPr>
            <w:tcW w:w="6681" w:type="dxa"/>
            <w:gridSpan w:val="2"/>
          </w:tcPr>
          <w:p w14:paraId="0A6DC3F0" w14:textId="77777777" w:rsidR="0063304D" w:rsidRPr="003344E5" w:rsidRDefault="00676A0E" w:rsidP="00290A4D">
            <w:r w:rsidRPr="003344E5">
              <w:t>N/A</w:t>
            </w:r>
          </w:p>
        </w:tc>
      </w:tr>
      <w:tr w:rsidR="00345BBB" w14:paraId="750E229A" w14:textId="77777777" w:rsidTr="00345BBB">
        <w:tc>
          <w:tcPr>
            <w:tcW w:w="2988" w:type="dxa"/>
            <w:shd w:val="clear" w:color="auto" w:fill="D9D9D9" w:themeFill="background1" w:themeFillShade="D9"/>
          </w:tcPr>
          <w:p w14:paraId="6A801093" w14:textId="77777777" w:rsidR="00345BBB" w:rsidRDefault="00345BBB" w:rsidP="0063304D">
            <w:pPr>
              <w:rPr>
                <w:rFonts w:ascii="Calibri" w:hAnsi="Calibri" w:cs="Calibri"/>
                <w:b/>
                <w:sz w:val="24"/>
                <w:szCs w:val="24"/>
              </w:rPr>
            </w:pPr>
            <w:r>
              <w:rPr>
                <w:rFonts w:ascii="Calibri" w:hAnsi="Calibri" w:cs="Calibri"/>
                <w:b/>
                <w:sz w:val="24"/>
                <w:szCs w:val="24"/>
              </w:rPr>
              <w:t>Pre-requisites</w:t>
            </w:r>
          </w:p>
          <w:p w14:paraId="4E08CE3D" w14:textId="77777777" w:rsidR="00676A0E" w:rsidRDefault="00676A0E" w:rsidP="0063304D">
            <w:pPr>
              <w:rPr>
                <w:rFonts w:ascii="Calibri" w:hAnsi="Calibri" w:cs="Calibri"/>
                <w:b/>
                <w:sz w:val="24"/>
                <w:szCs w:val="24"/>
              </w:rPr>
            </w:pPr>
          </w:p>
          <w:p w14:paraId="42DCD725" w14:textId="77777777" w:rsidR="0061069A" w:rsidRDefault="0061069A" w:rsidP="0063304D">
            <w:pPr>
              <w:rPr>
                <w:rFonts w:ascii="Calibri" w:hAnsi="Calibri" w:cs="Calibri"/>
                <w:b/>
                <w:sz w:val="24"/>
                <w:szCs w:val="24"/>
              </w:rPr>
            </w:pPr>
          </w:p>
          <w:p w14:paraId="2D36903E" w14:textId="77777777" w:rsidR="00345BBB" w:rsidRDefault="00B274A6" w:rsidP="0063304D">
            <w:pPr>
              <w:rPr>
                <w:rFonts w:ascii="Calibri" w:hAnsi="Calibri" w:cs="Calibri"/>
                <w:b/>
                <w:sz w:val="24"/>
                <w:szCs w:val="24"/>
              </w:rPr>
            </w:pPr>
            <w:r>
              <w:rPr>
                <w:rFonts w:ascii="Calibri" w:hAnsi="Calibri" w:cs="Calibri"/>
                <w:b/>
                <w:sz w:val="24"/>
                <w:szCs w:val="24"/>
              </w:rPr>
              <w:t>Dependent course units</w:t>
            </w:r>
          </w:p>
          <w:p w14:paraId="21486049" w14:textId="77777777" w:rsidR="00B274A6" w:rsidRPr="00D42AA1" w:rsidRDefault="00B274A6" w:rsidP="0063304D">
            <w:pPr>
              <w:rPr>
                <w:rFonts w:ascii="Calibri" w:hAnsi="Calibri" w:cs="Calibri"/>
                <w:b/>
                <w:sz w:val="24"/>
                <w:szCs w:val="24"/>
              </w:rPr>
            </w:pPr>
          </w:p>
        </w:tc>
        <w:tc>
          <w:tcPr>
            <w:tcW w:w="6681" w:type="dxa"/>
            <w:gridSpan w:val="2"/>
          </w:tcPr>
          <w:p w14:paraId="70A2881D" w14:textId="08E7172E" w:rsidR="00676A0E" w:rsidRPr="00903436" w:rsidRDefault="00676A0E" w:rsidP="00676A0E">
            <w:pPr>
              <w:rPr>
                <w:sz w:val="20"/>
                <w:szCs w:val="20"/>
              </w:rPr>
            </w:pPr>
            <w:r w:rsidRPr="00903436">
              <w:t xml:space="preserve">Students on this course must also </w:t>
            </w:r>
            <w:r w:rsidR="00F82445">
              <w:t>have completed the prior course</w:t>
            </w:r>
            <w:r w:rsidRPr="00903436">
              <w:t xml:space="preserve"> on </w:t>
            </w:r>
            <w:r w:rsidR="00CF4DA9">
              <w:t>introduction to quantitative methods</w:t>
            </w:r>
            <w:r w:rsidR="000D0C9E">
              <w:t xml:space="preserve"> or the equivalent.</w:t>
            </w:r>
          </w:p>
          <w:p w14:paraId="264CB833" w14:textId="77777777" w:rsidR="0061069A" w:rsidRDefault="0061069A" w:rsidP="00D57CBE"/>
          <w:p w14:paraId="68433326" w14:textId="58208C52" w:rsidR="00345BBB" w:rsidRPr="00303944" w:rsidRDefault="00CF4DA9" w:rsidP="00D57CBE">
            <w:pPr>
              <w:rPr>
                <w:color w:val="FF0000"/>
              </w:rPr>
            </w:pPr>
            <w:r>
              <w:t xml:space="preserve">Multiple Regression, </w:t>
            </w:r>
            <w:r w:rsidR="00F82445">
              <w:t xml:space="preserve">Structural Equation Modelling, </w:t>
            </w:r>
            <w:r w:rsidR="000D0C9E">
              <w:t xml:space="preserve">Introduction to </w:t>
            </w:r>
            <w:r w:rsidR="008139C6">
              <w:t>Hierarchical Linear Modelling with HLM</w:t>
            </w:r>
          </w:p>
        </w:tc>
      </w:tr>
      <w:tr w:rsidR="00A25907" w14:paraId="04561C37" w14:textId="77777777" w:rsidTr="00345BBB">
        <w:tc>
          <w:tcPr>
            <w:tcW w:w="9669" w:type="dxa"/>
            <w:gridSpan w:val="3"/>
            <w:shd w:val="clear" w:color="auto" w:fill="7030A0"/>
          </w:tcPr>
          <w:p w14:paraId="3A525A11" w14:textId="77777777" w:rsidR="00A25907" w:rsidRPr="00F429F4" w:rsidRDefault="00F429F4" w:rsidP="004003EA">
            <w:pPr>
              <w:rPr>
                <w:rFonts w:ascii="Arial" w:hAnsi="Arial" w:cs="Arial"/>
                <w:b/>
                <w:color w:val="FFFFFF" w:themeColor="background1"/>
                <w:sz w:val="24"/>
                <w:szCs w:val="24"/>
              </w:rPr>
            </w:pPr>
            <w:r>
              <w:rPr>
                <w:rFonts w:ascii="Arial" w:hAnsi="Arial" w:cs="Arial"/>
                <w:b/>
                <w:color w:val="FFFFFF" w:themeColor="background1"/>
                <w:sz w:val="24"/>
                <w:szCs w:val="24"/>
              </w:rPr>
              <w:t>Course unit overview</w:t>
            </w:r>
          </w:p>
        </w:tc>
      </w:tr>
      <w:tr w:rsidR="00F429F4" w14:paraId="6B8B85E4" w14:textId="77777777" w:rsidTr="00345BBB">
        <w:tc>
          <w:tcPr>
            <w:tcW w:w="9669" w:type="dxa"/>
            <w:gridSpan w:val="3"/>
            <w:shd w:val="clear" w:color="auto" w:fill="auto"/>
          </w:tcPr>
          <w:p w14:paraId="76851BE1" w14:textId="77777777" w:rsidR="00F429F4" w:rsidRDefault="008F6278" w:rsidP="00E25F37">
            <w:pPr>
              <w:rPr>
                <w:rFonts w:ascii="Arial" w:hAnsi="Arial" w:cs="Arial"/>
                <w:b/>
                <w:color w:val="FFFFFF" w:themeColor="background1"/>
                <w:sz w:val="24"/>
                <w:szCs w:val="24"/>
              </w:rPr>
            </w:pPr>
            <w:r>
              <w:rPr>
                <w:bCs/>
              </w:rPr>
              <w:t>Any empirical study is no stronger th</w:t>
            </w:r>
            <w:r w:rsidR="00E25F37">
              <w:rPr>
                <w:bCs/>
              </w:rPr>
              <w:t>an the measures it uses. The sci</w:t>
            </w:r>
            <w:r>
              <w:rPr>
                <w:bCs/>
              </w:rPr>
              <w:t xml:space="preserve">ence of </w:t>
            </w:r>
            <w:r w:rsidR="00E25F37">
              <w:rPr>
                <w:bCs/>
              </w:rPr>
              <w:t>developing</w:t>
            </w:r>
            <w:r>
              <w:rPr>
                <w:bCs/>
              </w:rPr>
              <w:t xml:space="preserve"> valid measures</w:t>
            </w:r>
            <w:r w:rsidR="00E25F37">
              <w:rPr>
                <w:bCs/>
              </w:rPr>
              <w:t>, often denoted psychometrics, is heavily dependent on factor analysis. This course will teach both the theory and application of factor analysis to real life data sets.</w:t>
            </w:r>
          </w:p>
        </w:tc>
      </w:tr>
      <w:tr w:rsidR="004003EA" w14:paraId="23F98293" w14:textId="77777777" w:rsidTr="00345BBB">
        <w:tc>
          <w:tcPr>
            <w:tcW w:w="9669" w:type="dxa"/>
            <w:gridSpan w:val="3"/>
            <w:shd w:val="clear" w:color="auto" w:fill="7030A0"/>
          </w:tcPr>
          <w:p w14:paraId="629C5F1B" w14:textId="77777777" w:rsidR="004003EA" w:rsidRPr="004003EA" w:rsidRDefault="004003EA" w:rsidP="004003EA">
            <w:pPr>
              <w:rPr>
                <w:rFonts w:ascii="Arial" w:hAnsi="Arial" w:cs="Arial"/>
                <w:b/>
                <w:color w:val="FFFFFF" w:themeColor="background1"/>
                <w:sz w:val="24"/>
                <w:szCs w:val="24"/>
              </w:rPr>
            </w:pPr>
            <w:r>
              <w:rPr>
                <w:rFonts w:ascii="Arial" w:hAnsi="Arial" w:cs="Arial"/>
                <w:b/>
                <w:color w:val="FFFFFF" w:themeColor="background1"/>
                <w:sz w:val="24"/>
                <w:szCs w:val="24"/>
              </w:rPr>
              <w:t>Aims</w:t>
            </w:r>
          </w:p>
        </w:tc>
      </w:tr>
      <w:tr w:rsidR="00C7344D" w14:paraId="13EF6362" w14:textId="77777777" w:rsidTr="00345BBB">
        <w:tc>
          <w:tcPr>
            <w:tcW w:w="9669" w:type="dxa"/>
            <w:gridSpan w:val="3"/>
          </w:tcPr>
          <w:p w14:paraId="36130D3B" w14:textId="77777777" w:rsidR="00CF3EFD" w:rsidRPr="00F82445" w:rsidRDefault="008F6278" w:rsidP="008F6278">
            <w:pPr>
              <w:rPr>
                <w:bCs/>
                <w:szCs w:val="24"/>
              </w:rPr>
            </w:pPr>
            <w:r>
              <w:rPr>
                <w:bCs/>
                <w:szCs w:val="24"/>
              </w:rPr>
              <w:t>Quantitative studies in business are never better than the quality of measures used to gather data. Commonly, many such</w:t>
            </w:r>
            <w:r w:rsidRPr="00612BD1">
              <w:rPr>
                <w:bCs/>
                <w:szCs w:val="24"/>
              </w:rPr>
              <w:t xml:space="preserve"> studies involve the </w:t>
            </w:r>
            <w:r>
              <w:rPr>
                <w:bCs/>
                <w:szCs w:val="24"/>
              </w:rPr>
              <w:t>use of scales composed of multiple components, very often in the form of questionnaire items. Exploratory factor analysis is a key technique used in the development of valid scales.</w:t>
            </w:r>
            <w:r w:rsidRPr="00612BD1">
              <w:rPr>
                <w:bCs/>
                <w:szCs w:val="24"/>
              </w:rPr>
              <w:t xml:space="preserve"> </w:t>
            </w:r>
            <w:r w:rsidR="00F82445" w:rsidRPr="00612BD1">
              <w:rPr>
                <w:bCs/>
                <w:szCs w:val="24"/>
              </w:rPr>
              <w:t xml:space="preserve">This course is intended to provide students with a grounding in the statistical techniques </w:t>
            </w:r>
            <w:r>
              <w:rPr>
                <w:bCs/>
                <w:szCs w:val="24"/>
              </w:rPr>
              <w:t>used in c=scale development</w:t>
            </w:r>
            <w:r w:rsidR="00F82445" w:rsidRPr="00612BD1">
              <w:rPr>
                <w:bCs/>
                <w:szCs w:val="24"/>
              </w:rPr>
              <w:t xml:space="preserve">. The emphasis is on the development of the practical skills required to carry out such analyses using SPSS software. </w:t>
            </w:r>
          </w:p>
        </w:tc>
      </w:tr>
      <w:tr w:rsidR="004003EA" w14:paraId="45309DE5" w14:textId="77777777" w:rsidTr="00345BBB">
        <w:tc>
          <w:tcPr>
            <w:tcW w:w="9669" w:type="dxa"/>
            <w:gridSpan w:val="3"/>
            <w:shd w:val="clear" w:color="auto" w:fill="7030A0"/>
          </w:tcPr>
          <w:p w14:paraId="61C45CFF" w14:textId="77777777" w:rsidR="004003EA" w:rsidRPr="004003EA" w:rsidRDefault="004003EA" w:rsidP="004003EA">
            <w:pPr>
              <w:rPr>
                <w:rFonts w:ascii="Arial" w:hAnsi="Arial" w:cs="Arial"/>
                <w:b/>
                <w:color w:val="FFFFFF" w:themeColor="background1"/>
                <w:sz w:val="24"/>
                <w:szCs w:val="24"/>
              </w:rPr>
            </w:pPr>
            <w:r>
              <w:rPr>
                <w:rFonts w:ascii="Arial" w:hAnsi="Arial" w:cs="Arial"/>
                <w:b/>
                <w:color w:val="FFFFFF" w:themeColor="background1"/>
                <w:sz w:val="24"/>
                <w:szCs w:val="24"/>
              </w:rPr>
              <w:t>Objectives (Learning outcomes)</w:t>
            </w:r>
          </w:p>
        </w:tc>
      </w:tr>
      <w:tr w:rsidR="00CF3EFD" w14:paraId="1C265049" w14:textId="77777777" w:rsidTr="00345BBB">
        <w:tc>
          <w:tcPr>
            <w:tcW w:w="9669" w:type="dxa"/>
            <w:gridSpan w:val="3"/>
          </w:tcPr>
          <w:p w14:paraId="75262C4F" w14:textId="77777777" w:rsidR="00676A0E" w:rsidRPr="00903436" w:rsidRDefault="00676A0E" w:rsidP="00676A0E">
            <w:pPr>
              <w:rPr>
                <w:rFonts w:cs="Arial"/>
                <w:i/>
                <w:iCs/>
              </w:rPr>
            </w:pPr>
            <w:r w:rsidRPr="00903436">
              <w:rPr>
                <w:rFonts w:cs="Arial"/>
                <w:i/>
                <w:iCs/>
              </w:rPr>
              <w:t>On completion of this unit successful students will be able to:</w:t>
            </w:r>
          </w:p>
          <w:p w14:paraId="547ED5E6" w14:textId="77777777" w:rsidR="00CF4DA9" w:rsidRPr="001B1E6C" w:rsidRDefault="00CF4DA9" w:rsidP="00CF4DA9">
            <w:pPr>
              <w:numPr>
                <w:ilvl w:val="0"/>
                <w:numId w:val="1"/>
              </w:numPr>
              <w:autoSpaceDE w:val="0"/>
              <w:autoSpaceDN w:val="0"/>
              <w:rPr>
                <w:rFonts w:cstheme="minorHAnsi"/>
              </w:rPr>
            </w:pPr>
            <w:r w:rsidRPr="001B1E6C">
              <w:rPr>
                <w:rFonts w:cstheme="minorHAnsi"/>
              </w:rPr>
              <w:t>conduct factor analyses;</w:t>
            </w:r>
          </w:p>
          <w:p w14:paraId="20E0B47E" w14:textId="77777777" w:rsidR="00CF4DA9" w:rsidRPr="001B1E6C" w:rsidRDefault="00CF4DA9" w:rsidP="00CF4DA9">
            <w:pPr>
              <w:numPr>
                <w:ilvl w:val="0"/>
                <w:numId w:val="1"/>
              </w:numPr>
              <w:autoSpaceDE w:val="0"/>
              <w:autoSpaceDN w:val="0"/>
              <w:rPr>
                <w:rFonts w:cstheme="minorHAnsi"/>
                <w:bCs/>
              </w:rPr>
            </w:pPr>
            <w:r w:rsidRPr="001B1E6C">
              <w:rPr>
                <w:rFonts w:cstheme="minorHAnsi"/>
                <w:bCs/>
              </w:rPr>
              <w:t>understand the principles of estimation</w:t>
            </w:r>
          </w:p>
          <w:p w14:paraId="67791ABD" w14:textId="77777777" w:rsidR="00CF4DA9" w:rsidRPr="001B1E6C" w:rsidRDefault="00CF4DA9" w:rsidP="00CF4DA9">
            <w:pPr>
              <w:numPr>
                <w:ilvl w:val="0"/>
                <w:numId w:val="1"/>
              </w:numPr>
              <w:autoSpaceDE w:val="0"/>
              <w:autoSpaceDN w:val="0"/>
              <w:rPr>
                <w:rFonts w:cstheme="minorHAnsi"/>
                <w:bCs/>
              </w:rPr>
            </w:pPr>
            <w:r w:rsidRPr="001B1E6C">
              <w:rPr>
                <w:rFonts w:cstheme="minorHAnsi"/>
                <w:bCs/>
              </w:rPr>
              <w:t>apply these analytic methods to publishable data sets</w:t>
            </w:r>
          </w:p>
          <w:p w14:paraId="2C03C41D" w14:textId="77777777" w:rsidR="00CF4DA9" w:rsidRPr="001B1E6C" w:rsidRDefault="00CF4DA9" w:rsidP="00CF4DA9">
            <w:pPr>
              <w:numPr>
                <w:ilvl w:val="0"/>
                <w:numId w:val="1"/>
              </w:numPr>
              <w:autoSpaceDE w:val="0"/>
              <w:autoSpaceDN w:val="0"/>
              <w:rPr>
                <w:rFonts w:cstheme="minorHAnsi"/>
                <w:bCs/>
              </w:rPr>
            </w:pPr>
            <w:r w:rsidRPr="001B1E6C">
              <w:rPr>
                <w:rFonts w:cstheme="minorHAnsi"/>
                <w:bCs/>
              </w:rPr>
              <w:t>know how to report quantitative analyses in journal style</w:t>
            </w:r>
          </w:p>
          <w:p w14:paraId="27876541" w14:textId="77777777" w:rsidR="00CF4DA9" w:rsidRPr="001B1E6C" w:rsidRDefault="00CF4DA9" w:rsidP="00CF4DA9">
            <w:pPr>
              <w:numPr>
                <w:ilvl w:val="0"/>
                <w:numId w:val="1"/>
              </w:numPr>
              <w:rPr>
                <w:rFonts w:cstheme="minorHAnsi"/>
              </w:rPr>
            </w:pPr>
            <w:r w:rsidRPr="001B1E6C">
              <w:rPr>
                <w:rFonts w:cstheme="minorHAnsi"/>
              </w:rPr>
              <w:t xml:space="preserve">interpret arguments based on </w:t>
            </w:r>
            <w:r>
              <w:rPr>
                <w:rFonts w:cstheme="minorHAnsi"/>
              </w:rPr>
              <w:t>factor models</w:t>
            </w:r>
          </w:p>
          <w:p w14:paraId="1044247D" w14:textId="77777777" w:rsidR="00CF4DA9" w:rsidRPr="001B1E6C" w:rsidRDefault="00CF4DA9" w:rsidP="00CF4DA9">
            <w:pPr>
              <w:numPr>
                <w:ilvl w:val="0"/>
                <w:numId w:val="1"/>
              </w:numPr>
              <w:rPr>
                <w:rFonts w:cstheme="minorHAnsi"/>
              </w:rPr>
            </w:pPr>
            <w:r w:rsidRPr="001B1E6C">
              <w:rPr>
                <w:rFonts w:cstheme="minorHAnsi"/>
              </w:rPr>
              <w:t>think critically, analytically and synthetically about research data</w:t>
            </w:r>
          </w:p>
          <w:p w14:paraId="213899E4" w14:textId="77777777" w:rsidR="00F82445" w:rsidRPr="00F82445" w:rsidRDefault="00CF4DA9" w:rsidP="00CF4DA9">
            <w:pPr>
              <w:numPr>
                <w:ilvl w:val="0"/>
                <w:numId w:val="1"/>
              </w:numPr>
              <w:autoSpaceDE w:val="0"/>
              <w:autoSpaceDN w:val="0"/>
              <w:rPr>
                <w:rFonts w:cstheme="minorHAnsi"/>
                <w:i/>
                <w:iCs/>
              </w:rPr>
            </w:pPr>
            <w:r w:rsidRPr="001B1E6C">
              <w:rPr>
                <w:rFonts w:cstheme="minorHAnsi"/>
              </w:rPr>
              <w:t>analyze, interpret and extrapolate from data</w:t>
            </w:r>
          </w:p>
          <w:p w14:paraId="13748870" w14:textId="77777777" w:rsidR="00F82445" w:rsidRPr="00F82445" w:rsidRDefault="00F82445" w:rsidP="00CF4DA9">
            <w:pPr>
              <w:pStyle w:val="ListParagraph"/>
              <w:numPr>
                <w:ilvl w:val="0"/>
                <w:numId w:val="1"/>
              </w:numPr>
              <w:rPr>
                <w:rFonts w:asciiTheme="minorHAnsi" w:hAnsiTheme="minorHAnsi" w:cstheme="minorHAnsi"/>
                <w:iCs/>
                <w:sz w:val="22"/>
                <w:szCs w:val="22"/>
              </w:rPr>
            </w:pPr>
            <w:r w:rsidRPr="00F82445">
              <w:rPr>
                <w:rFonts w:asciiTheme="minorHAnsi" w:hAnsiTheme="minorHAnsi" w:cstheme="minorHAnsi"/>
                <w:iCs/>
                <w:sz w:val="22"/>
                <w:szCs w:val="22"/>
              </w:rPr>
              <w:t>Know how to write up these analyses in journal form</w:t>
            </w:r>
          </w:p>
          <w:p w14:paraId="78A2E489" w14:textId="77777777" w:rsidR="00CF3EFD" w:rsidRDefault="00CF3EFD" w:rsidP="00B274A6">
            <w:pPr>
              <w:ind w:left="-142"/>
              <w:rPr>
                <w:rFonts w:eastAsia="Batang" w:cs="Arial"/>
                <w:color w:val="FF0000"/>
                <w:lang w:eastAsia="de-DE"/>
              </w:rPr>
            </w:pPr>
          </w:p>
        </w:tc>
      </w:tr>
      <w:tr w:rsidR="004003EA" w14:paraId="0ABAF14F" w14:textId="77777777" w:rsidTr="00345BBB">
        <w:tc>
          <w:tcPr>
            <w:tcW w:w="9669" w:type="dxa"/>
            <w:gridSpan w:val="3"/>
            <w:shd w:val="clear" w:color="auto" w:fill="7030A0"/>
          </w:tcPr>
          <w:p w14:paraId="04E2C562" w14:textId="77777777" w:rsidR="004003EA" w:rsidRPr="004003EA" w:rsidRDefault="0056006D" w:rsidP="004003EA">
            <w:pPr>
              <w:rPr>
                <w:rFonts w:ascii="Arial" w:hAnsi="Arial" w:cs="Arial"/>
                <w:b/>
                <w:color w:val="FFFFFF" w:themeColor="background1"/>
                <w:sz w:val="24"/>
                <w:szCs w:val="24"/>
              </w:rPr>
            </w:pPr>
            <w:r>
              <w:rPr>
                <w:rFonts w:ascii="Arial" w:hAnsi="Arial" w:cs="Arial"/>
                <w:b/>
                <w:color w:val="FFFFFF" w:themeColor="background1"/>
                <w:sz w:val="24"/>
                <w:szCs w:val="24"/>
              </w:rPr>
              <w:t>Syllabus</w:t>
            </w:r>
            <w:r w:rsidR="00B274A6">
              <w:rPr>
                <w:rFonts w:ascii="Arial" w:hAnsi="Arial" w:cs="Arial"/>
                <w:b/>
                <w:color w:val="FFFFFF" w:themeColor="background1"/>
                <w:sz w:val="24"/>
                <w:szCs w:val="24"/>
              </w:rPr>
              <w:t xml:space="preserve"> content</w:t>
            </w:r>
          </w:p>
        </w:tc>
      </w:tr>
      <w:tr w:rsidR="00C7344D" w14:paraId="1A7EEFFC" w14:textId="77777777" w:rsidTr="00345BBB">
        <w:tc>
          <w:tcPr>
            <w:tcW w:w="9669" w:type="dxa"/>
            <w:gridSpan w:val="3"/>
          </w:tcPr>
          <w:p w14:paraId="40C819B9" w14:textId="77777777" w:rsidR="00CF4DA9" w:rsidRDefault="00CF4DA9" w:rsidP="00CF4DA9">
            <w:pPr>
              <w:numPr>
                <w:ilvl w:val="0"/>
                <w:numId w:val="2"/>
              </w:numPr>
              <w:autoSpaceDE w:val="0"/>
              <w:autoSpaceDN w:val="0"/>
              <w:adjustRightInd w:val="0"/>
              <w:rPr>
                <w:rFonts w:cstheme="minorHAnsi"/>
              </w:rPr>
            </w:pPr>
            <w:r w:rsidRPr="001B1E6C">
              <w:rPr>
                <w:rFonts w:cstheme="minorHAnsi"/>
              </w:rPr>
              <w:t xml:space="preserve">Exploratory factor analysis </w:t>
            </w:r>
          </w:p>
          <w:p w14:paraId="578FA69F" w14:textId="77777777" w:rsidR="00CF4DA9" w:rsidRDefault="00CF4DA9" w:rsidP="00CF4DA9">
            <w:pPr>
              <w:numPr>
                <w:ilvl w:val="0"/>
                <w:numId w:val="2"/>
              </w:numPr>
              <w:autoSpaceDE w:val="0"/>
              <w:autoSpaceDN w:val="0"/>
              <w:adjustRightInd w:val="0"/>
              <w:rPr>
                <w:rFonts w:cstheme="minorHAnsi"/>
              </w:rPr>
            </w:pPr>
            <w:r>
              <w:rPr>
                <w:rFonts w:cstheme="minorHAnsi"/>
              </w:rPr>
              <w:t>E</w:t>
            </w:r>
            <w:r w:rsidRPr="001B1E6C">
              <w:rPr>
                <w:rFonts w:cstheme="minorHAnsi"/>
              </w:rPr>
              <w:t>stimation methods</w:t>
            </w:r>
            <w:r>
              <w:rPr>
                <w:rFonts w:cstheme="minorHAnsi"/>
              </w:rPr>
              <w:t xml:space="preserve"> including principal components and maximum likelihood</w:t>
            </w:r>
            <w:r w:rsidRPr="001B1E6C">
              <w:rPr>
                <w:rFonts w:cstheme="minorHAnsi"/>
              </w:rPr>
              <w:t xml:space="preserve">, </w:t>
            </w:r>
          </w:p>
          <w:p w14:paraId="3CF8087D" w14:textId="77777777" w:rsidR="00CF4DA9" w:rsidRDefault="00CF4DA9" w:rsidP="00CF4DA9">
            <w:pPr>
              <w:numPr>
                <w:ilvl w:val="0"/>
                <w:numId w:val="2"/>
              </w:numPr>
              <w:autoSpaceDE w:val="0"/>
              <w:autoSpaceDN w:val="0"/>
              <w:adjustRightInd w:val="0"/>
              <w:rPr>
                <w:rFonts w:cstheme="minorHAnsi"/>
              </w:rPr>
            </w:pPr>
            <w:r>
              <w:rPr>
                <w:rFonts w:cstheme="minorHAnsi"/>
              </w:rPr>
              <w:t>R</w:t>
            </w:r>
            <w:r w:rsidRPr="001B1E6C">
              <w:rPr>
                <w:rFonts w:cstheme="minorHAnsi"/>
              </w:rPr>
              <w:t>otation</w:t>
            </w:r>
            <w:r>
              <w:rPr>
                <w:rFonts w:cstheme="minorHAnsi"/>
              </w:rPr>
              <w:t>: orthogonal and oblique methods</w:t>
            </w:r>
            <w:r w:rsidRPr="001B1E6C">
              <w:rPr>
                <w:rFonts w:cstheme="minorHAnsi"/>
              </w:rPr>
              <w:t xml:space="preserve">, </w:t>
            </w:r>
          </w:p>
          <w:p w14:paraId="126A7E60" w14:textId="77777777" w:rsidR="00C7344D" w:rsidRPr="00CF4DA9" w:rsidRDefault="00CF4DA9" w:rsidP="00CF4DA9">
            <w:pPr>
              <w:numPr>
                <w:ilvl w:val="0"/>
                <w:numId w:val="2"/>
              </w:numPr>
              <w:autoSpaceDE w:val="0"/>
              <w:autoSpaceDN w:val="0"/>
              <w:adjustRightInd w:val="0"/>
              <w:rPr>
                <w:rFonts w:cstheme="minorHAnsi"/>
              </w:rPr>
            </w:pPr>
            <w:r>
              <w:rPr>
                <w:rFonts w:cstheme="minorHAnsi"/>
              </w:rPr>
              <w:t>D</w:t>
            </w:r>
            <w:r w:rsidRPr="001B1E6C">
              <w:rPr>
                <w:rFonts w:cstheme="minorHAnsi"/>
              </w:rPr>
              <w:t>etermining the number of factors</w:t>
            </w:r>
            <w:r>
              <w:rPr>
                <w:rFonts w:cstheme="minorHAnsi"/>
              </w:rPr>
              <w:t>: Kaiser criterion, Scree test and parallel analysis</w:t>
            </w:r>
          </w:p>
        </w:tc>
      </w:tr>
      <w:tr w:rsidR="009A2688" w:rsidRPr="004003EA" w14:paraId="515460E4" w14:textId="77777777" w:rsidTr="00345BBB">
        <w:tc>
          <w:tcPr>
            <w:tcW w:w="9669" w:type="dxa"/>
            <w:gridSpan w:val="3"/>
            <w:shd w:val="clear" w:color="auto" w:fill="7030A0"/>
          </w:tcPr>
          <w:p w14:paraId="12C9587D" w14:textId="77777777" w:rsidR="009A2688" w:rsidRPr="004003EA" w:rsidRDefault="00C7344D" w:rsidP="003A0F8F">
            <w:pPr>
              <w:rPr>
                <w:rFonts w:ascii="Arial" w:hAnsi="Arial" w:cs="Arial"/>
                <w:b/>
                <w:color w:val="FFFFFF" w:themeColor="background1"/>
                <w:sz w:val="24"/>
                <w:szCs w:val="24"/>
              </w:rPr>
            </w:pPr>
            <w:r>
              <w:rPr>
                <w:rFonts w:ascii="Arial" w:hAnsi="Arial" w:cs="Arial"/>
                <w:b/>
                <w:color w:val="FFFFFF" w:themeColor="background1"/>
                <w:sz w:val="24"/>
                <w:szCs w:val="24"/>
              </w:rPr>
              <w:t>M</w:t>
            </w:r>
            <w:r w:rsidR="00AA2E20">
              <w:rPr>
                <w:rFonts w:ascii="Arial" w:hAnsi="Arial" w:cs="Arial"/>
                <w:b/>
                <w:color w:val="FFFFFF" w:themeColor="background1"/>
                <w:sz w:val="24"/>
                <w:szCs w:val="24"/>
              </w:rPr>
              <w:t>ethods of d</w:t>
            </w:r>
            <w:r w:rsidR="009A2688">
              <w:rPr>
                <w:rFonts w:ascii="Arial" w:hAnsi="Arial" w:cs="Arial"/>
                <w:b/>
                <w:color w:val="FFFFFF" w:themeColor="background1"/>
                <w:sz w:val="24"/>
                <w:szCs w:val="24"/>
              </w:rPr>
              <w:t>elivery</w:t>
            </w:r>
          </w:p>
        </w:tc>
      </w:tr>
      <w:tr w:rsidR="00AA2E20" w14:paraId="467485D0" w14:textId="77777777" w:rsidTr="006A15A6">
        <w:tc>
          <w:tcPr>
            <w:tcW w:w="4729" w:type="dxa"/>
            <w:gridSpan w:val="2"/>
            <w:shd w:val="clear" w:color="auto" w:fill="D9D9D9" w:themeFill="background1" w:themeFillShade="D9"/>
          </w:tcPr>
          <w:p w14:paraId="2D15EE7C" w14:textId="77777777" w:rsidR="00AA2E20" w:rsidRPr="00D42AA1" w:rsidRDefault="00AA2E20" w:rsidP="004003EA">
            <w:pPr>
              <w:rPr>
                <w:rFonts w:ascii="Calibri" w:hAnsi="Calibri" w:cs="Calibri"/>
                <w:b/>
                <w:sz w:val="24"/>
                <w:szCs w:val="24"/>
              </w:rPr>
            </w:pPr>
            <w:r w:rsidRPr="00D42AA1">
              <w:rPr>
                <w:rFonts w:ascii="Calibri" w:hAnsi="Calibri" w:cs="Calibri"/>
                <w:b/>
                <w:sz w:val="24"/>
                <w:szCs w:val="24"/>
              </w:rPr>
              <w:lastRenderedPageBreak/>
              <w:t>Lectures</w:t>
            </w:r>
          </w:p>
        </w:tc>
        <w:tc>
          <w:tcPr>
            <w:tcW w:w="4940" w:type="dxa"/>
          </w:tcPr>
          <w:p w14:paraId="3D6AD4DA" w14:textId="77777777" w:rsidR="00AA2E20" w:rsidRPr="003344E5" w:rsidRDefault="003344E5" w:rsidP="00003E4A">
            <w:pPr>
              <w:rPr>
                <w:b/>
                <w:color w:val="FF0000"/>
              </w:rPr>
            </w:pPr>
            <w:r w:rsidRPr="003344E5">
              <w:rPr>
                <w:b/>
              </w:rPr>
              <w:t>6 hours</w:t>
            </w:r>
            <w:r w:rsidR="00DE6D09">
              <w:rPr>
                <w:b/>
              </w:rPr>
              <w:t xml:space="preserve">. </w:t>
            </w:r>
            <w:r w:rsidR="00DE6D09">
              <w:t>The course will be delivered over two consecutive days</w:t>
            </w:r>
          </w:p>
        </w:tc>
      </w:tr>
      <w:tr w:rsidR="00AA2E20" w14:paraId="693C60EB" w14:textId="77777777" w:rsidTr="006A15A6">
        <w:tc>
          <w:tcPr>
            <w:tcW w:w="4729" w:type="dxa"/>
            <w:gridSpan w:val="2"/>
            <w:shd w:val="clear" w:color="auto" w:fill="D9D9D9" w:themeFill="background1" w:themeFillShade="D9"/>
          </w:tcPr>
          <w:p w14:paraId="7F3E5580" w14:textId="77777777" w:rsidR="00AA2E20" w:rsidRPr="00D42AA1" w:rsidRDefault="00AA2E20" w:rsidP="004003EA">
            <w:pPr>
              <w:rPr>
                <w:rFonts w:ascii="Calibri" w:hAnsi="Calibri" w:cs="Calibri"/>
                <w:b/>
                <w:sz w:val="24"/>
                <w:szCs w:val="24"/>
              </w:rPr>
            </w:pPr>
            <w:r w:rsidRPr="00D42AA1">
              <w:rPr>
                <w:rFonts w:ascii="Calibri" w:hAnsi="Calibri" w:cs="Calibri"/>
                <w:b/>
                <w:sz w:val="24"/>
                <w:szCs w:val="24"/>
              </w:rPr>
              <w:t>Seminar/Tutorial/Workshop/Lab Hours</w:t>
            </w:r>
          </w:p>
          <w:p w14:paraId="156300A5" w14:textId="77777777" w:rsidR="00AA2E20" w:rsidRPr="00D42AA1" w:rsidRDefault="00AA2E20" w:rsidP="004003EA">
            <w:pPr>
              <w:rPr>
                <w:rFonts w:ascii="Calibri" w:hAnsi="Calibri" w:cs="Calibri"/>
                <w:b/>
                <w:sz w:val="24"/>
                <w:szCs w:val="24"/>
              </w:rPr>
            </w:pPr>
          </w:p>
        </w:tc>
        <w:tc>
          <w:tcPr>
            <w:tcW w:w="4940" w:type="dxa"/>
          </w:tcPr>
          <w:p w14:paraId="121C7836" w14:textId="77777777" w:rsidR="00AA2E20" w:rsidRPr="00DE6D09" w:rsidRDefault="003344E5" w:rsidP="00DE6D09">
            <w:pPr>
              <w:rPr>
                <w:b/>
                <w:color w:val="FF0000"/>
              </w:rPr>
            </w:pPr>
            <w:r w:rsidRPr="00DE6D09">
              <w:rPr>
                <w:b/>
              </w:rPr>
              <w:t xml:space="preserve">6 hours </w:t>
            </w:r>
          </w:p>
        </w:tc>
      </w:tr>
      <w:tr w:rsidR="00AA2E20" w14:paraId="454777AA" w14:textId="77777777" w:rsidTr="006A15A6">
        <w:tc>
          <w:tcPr>
            <w:tcW w:w="4729" w:type="dxa"/>
            <w:gridSpan w:val="2"/>
            <w:shd w:val="clear" w:color="auto" w:fill="D9D9D9" w:themeFill="background1" w:themeFillShade="D9"/>
          </w:tcPr>
          <w:p w14:paraId="4C5F0524" w14:textId="77777777" w:rsidR="00AA2E20" w:rsidRPr="00D42AA1" w:rsidRDefault="00CF3EFD" w:rsidP="004003EA">
            <w:pPr>
              <w:rPr>
                <w:rFonts w:ascii="Calibri" w:hAnsi="Calibri" w:cs="Calibri"/>
                <w:b/>
                <w:sz w:val="24"/>
                <w:szCs w:val="24"/>
              </w:rPr>
            </w:pPr>
            <w:r>
              <w:rPr>
                <w:rFonts w:ascii="Calibri" w:hAnsi="Calibri" w:cs="Calibri"/>
                <w:b/>
                <w:sz w:val="24"/>
                <w:szCs w:val="24"/>
              </w:rPr>
              <w:t>Independent</w:t>
            </w:r>
            <w:r w:rsidR="00AA2E20" w:rsidRPr="00D42AA1">
              <w:rPr>
                <w:rFonts w:ascii="Calibri" w:hAnsi="Calibri" w:cs="Calibri"/>
                <w:b/>
                <w:sz w:val="24"/>
                <w:szCs w:val="24"/>
              </w:rPr>
              <w:t xml:space="preserve"> Study</w:t>
            </w:r>
          </w:p>
        </w:tc>
        <w:tc>
          <w:tcPr>
            <w:tcW w:w="4940" w:type="dxa"/>
          </w:tcPr>
          <w:p w14:paraId="745513E3" w14:textId="77777777" w:rsidR="00AA2E20" w:rsidRPr="00DE6D09" w:rsidRDefault="00DE6D09" w:rsidP="004003EA">
            <w:pPr>
              <w:rPr>
                <w:b/>
              </w:rPr>
            </w:pPr>
            <w:r w:rsidRPr="00DE6D09">
              <w:rPr>
                <w:b/>
              </w:rPr>
              <w:t>38 hours</w:t>
            </w:r>
          </w:p>
          <w:p w14:paraId="7EE8D52F" w14:textId="77777777" w:rsidR="00B274A6" w:rsidRPr="00DE6D09" w:rsidRDefault="00B274A6" w:rsidP="004003EA">
            <w:pPr>
              <w:rPr>
                <w:b/>
              </w:rPr>
            </w:pPr>
          </w:p>
        </w:tc>
      </w:tr>
      <w:tr w:rsidR="00AA2E20" w14:paraId="336075F4" w14:textId="77777777" w:rsidTr="006A15A6">
        <w:tc>
          <w:tcPr>
            <w:tcW w:w="4729" w:type="dxa"/>
            <w:gridSpan w:val="2"/>
            <w:shd w:val="clear" w:color="auto" w:fill="D9D9D9" w:themeFill="background1" w:themeFillShade="D9"/>
          </w:tcPr>
          <w:p w14:paraId="61C69DE1" w14:textId="77777777" w:rsidR="00AA2E20" w:rsidRPr="00D42AA1" w:rsidRDefault="00AA2E20" w:rsidP="004003EA">
            <w:pPr>
              <w:rPr>
                <w:rFonts w:ascii="Calibri" w:hAnsi="Calibri" w:cs="Calibri"/>
                <w:b/>
                <w:sz w:val="24"/>
                <w:szCs w:val="24"/>
              </w:rPr>
            </w:pPr>
            <w:r w:rsidRPr="00D42AA1">
              <w:rPr>
                <w:rFonts w:ascii="Calibri" w:hAnsi="Calibri" w:cs="Calibri"/>
                <w:b/>
                <w:sz w:val="24"/>
                <w:szCs w:val="24"/>
              </w:rPr>
              <w:t>Total Study Hours</w:t>
            </w:r>
          </w:p>
          <w:p w14:paraId="1BA3BAE0" w14:textId="77777777" w:rsidR="00AA2E20" w:rsidRPr="00D42AA1" w:rsidRDefault="00AA2E20" w:rsidP="004003EA">
            <w:pPr>
              <w:rPr>
                <w:rFonts w:ascii="Calibri" w:hAnsi="Calibri" w:cs="Calibri"/>
                <w:b/>
                <w:color w:val="FF0000"/>
                <w:sz w:val="24"/>
                <w:szCs w:val="24"/>
              </w:rPr>
            </w:pPr>
          </w:p>
        </w:tc>
        <w:tc>
          <w:tcPr>
            <w:tcW w:w="4940" w:type="dxa"/>
          </w:tcPr>
          <w:p w14:paraId="7344D9B2" w14:textId="77777777" w:rsidR="00B274A6" w:rsidRPr="00DE6D09" w:rsidRDefault="00DE6D09" w:rsidP="004003EA">
            <w:pPr>
              <w:rPr>
                <w:b/>
              </w:rPr>
            </w:pPr>
            <w:r w:rsidRPr="00DE6D09">
              <w:rPr>
                <w:b/>
              </w:rPr>
              <w:t>50 hours</w:t>
            </w:r>
          </w:p>
        </w:tc>
      </w:tr>
      <w:tr w:rsidR="00B76C82" w:rsidRPr="004003EA" w14:paraId="2961A591" w14:textId="77777777" w:rsidTr="00345BBB">
        <w:trPr>
          <w:trHeight w:val="254"/>
        </w:trPr>
        <w:tc>
          <w:tcPr>
            <w:tcW w:w="9669" w:type="dxa"/>
            <w:gridSpan w:val="3"/>
            <w:shd w:val="clear" w:color="auto" w:fill="7030A0"/>
          </w:tcPr>
          <w:p w14:paraId="1699E7E3" w14:textId="77777777" w:rsidR="00B76C82" w:rsidRPr="004003EA" w:rsidRDefault="00B76C82" w:rsidP="003A0F8F">
            <w:pPr>
              <w:rPr>
                <w:rFonts w:ascii="Arial" w:hAnsi="Arial" w:cs="Arial"/>
                <w:b/>
                <w:color w:val="FFFFFF" w:themeColor="background1"/>
                <w:sz w:val="24"/>
                <w:szCs w:val="24"/>
              </w:rPr>
            </w:pPr>
            <w:r>
              <w:rPr>
                <w:rFonts w:ascii="Arial" w:hAnsi="Arial" w:cs="Arial"/>
                <w:b/>
                <w:color w:val="FFFFFF" w:themeColor="background1"/>
                <w:sz w:val="24"/>
                <w:szCs w:val="24"/>
              </w:rPr>
              <w:t>Reading List</w:t>
            </w:r>
          </w:p>
        </w:tc>
      </w:tr>
      <w:tr w:rsidR="0056006D" w14:paraId="76EE5AA1" w14:textId="77777777" w:rsidTr="00345BBB">
        <w:tc>
          <w:tcPr>
            <w:tcW w:w="9669" w:type="dxa"/>
            <w:gridSpan w:val="3"/>
          </w:tcPr>
          <w:p w14:paraId="221964B3" w14:textId="77777777" w:rsidR="00DE6D09" w:rsidRDefault="00345BBB" w:rsidP="00DE6D09">
            <w:pPr>
              <w:tabs>
                <w:tab w:val="left" w:pos="360"/>
                <w:tab w:val="left" w:pos="1985"/>
              </w:tabs>
            </w:pPr>
            <w:r w:rsidRPr="00B274A6">
              <w:rPr>
                <w:rFonts w:cstheme="minorHAnsi"/>
                <w:b/>
              </w:rPr>
              <w:t>Pre Reading</w:t>
            </w:r>
            <w:r w:rsidRPr="00345BBB">
              <w:rPr>
                <w:rFonts w:cstheme="minorHAnsi"/>
                <w:color w:val="FF0000"/>
              </w:rPr>
              <w:t>:</w:t>
            </w:r>
            <w:r w:rsidR="00DE6D09">
              <w:rPr>
                <w:rFonts w:cstheme="minorHAnsi"/>
                <w:color w:val="FF0000"/>
              </w:rPr>
              <w:t xml:space="preserve"> </w:t>
            </w:r>
            <w:r w:rsidR="00DE6D09">
              <w:t xml:space="preserve">Tokarev, A., Phillips, A.R., Hughes, D.J., &amp; Irwing, P. (2017). Leader dark traits, workplace bullying, and employee depression: Exploring mediation and the role of the dark core. Journal of Abnormal Psychology, 126, 911-920. http://psycnet.apa.org/doiLanding?doi=10.1037%2Fabn0000299 </w:t>
            </w:r>
          </w:p>
          <w:p w14:paraId="4338E345" w14:textId="77777777" w:rsidR="00DE6D09" w:rsidRDefault="00DE6D09" w:rsidP="00DE6D09">
            <w:pPr>
              <w:tabs>
                <w:tab w:val="left" w:pos="360"/>
                <w:tab w:val="left" w:pos="1985"/>
              </w:tabs>
            </w:pPr>
          </w:p>
          <w:p w14:paraId="7873A967" w14:textId="77777777" w:rsidR="00DE6D09" w:rsidRDefault="00345BBB" w:rsidP="00DE6D09">
            <w:pPr>
              <w:rPr>
                <w:rFonts w:ascii="Calibri" w:hAnsi="Calibri"/>
                <w:b/>
                <w:bCs/>
                <w:i/>
                <w:iCs/>
              </w:rPr>
            </w:pPr>
            <w:r w:rsidRPr="00B274A6">
              <w:rPr>
                <w:rFonts w:cstheme="minorHAnsi"/>
                <w:b/>
              </w:rPr>
              <w:t>Core Text</w:t>
            </w:r>
            <w:r w:rsidR="0061069A">
              <w:rPr>
                <w:rFonts w:cstheme="minorHAnsi"/>
                <w:b/>
              </w:rPr>
              <w:t>s</w:t>
            </w:r>
            <w:r w:rsidRPr="00B274A6">
              <w:rPr>
                <w:rFonts w:cstheme="minorHAnsi"/>
                <w:b/>
              </w:rPr>
              <w:t>:</w:t>
            </w:r>
            <w:r w:rsidRPr="00B274A6">
              <w:rPr>
                <w:rFonts w:cstheme="minorHAnsi"/>
              </w:rPr>
              <w:t xml:space="preserve"> </w:t>
            </w:r>
          </w:p>
          <w:p w14:paraId="0836BE5F" w14:textId="77777777" w:rsidR="00DE6D09" w:rsidRDefault="00DE6D09" w:rsidP="00DE6D09">
            <w:pPr>
              <w:rPr>
                <w:rFonts w:ascii="Calibri" w:hAnsi="Calibri"/>
                <w:b/>
                <w:bCs/>
                <w:i/>
                <w:iCs/>
              </w:rPr>
            </w:pPr>
          </w:p>
          <w:p w14:paraId="3731EFFE" w14:textId="77777777" w:rsidR="00DE6D09" w:rsidRPr="00F745F4" w:rsidRDefault="00DE6D09" w:rsidP="00DE6D09">
            <w:pPr>
              <w:tabs>
                <w:tab w:val="left" w:pos="360"/>
                <w:tab w:val="left" w:pos="1985"/>
              </w:tabs>
              <w:rPr>
                <w:rFonts w:ascii="Calibri" w:hAnsi="Calibri"/>
              </w:rPr>
            </w:pPr>
            <w:r w:rsidRPr="00F745F4">
              <w:rPr>
                <w:rFonts w:ascii="Calibri" w:hAnsi="Calibri"/>
              </w:rPr>
              <w:t>Hair, J. F., Jr., An</w:t>
            </w:r>
            <w:r>
              <w:rPr>
                <w:rFonts w:ascii="Calibri" w:hAnsi="Calibri"/>
              </w:rPr>
              <w:t>derson, R. E., Tatham, R. L. &amp; B</w:t>
            </w:r>
            <w:r w:rsidRPr="00F745F4">
              <w:rPr>
                <w:rFonts w:ascii="Calibri" w:hAnsi="Calibri"/>
              </w:rPr>
              <w:t>lack, W. C. (2006).  Multivariate Data Analysis. Upper Saddle River, NJ: Prentice-Hall.</w:t>
            </w:r>
          </w:p>
          <w:p w14:paraId="11D0C6EE" w14:textId="77777777" w:rsidR="00DE6D09" w:rsidRDefault="00DE6D09" w:rsidP="00DE6D09">
            <w:pPr>
              <w:rPr>
                <w:rFonts w:ascii="Calibri" w:hAnsi="Calibri"/>
                <w:b/>
                <w:bCs/>
                <w:iCs/>
              </w:rPr>
            </w:pPr>
          </w:p>
          <w:p w14:paraId="116C6245" w14:textId="77777777" w:rsidR="0061069A" w:rsidRDefault="0061069A" w:rsidP="00DE6D09">
            <w:pPr>
              <w:rPr>
                <w:rFonts w:cstheme="minorHAnsi"/>
                <w:b/>
              </w:rPr>
            </w:pPr>
            <w:r w:rsidRPr="00B274A6">
              <w:rPr>
                <w:rFonts w:cstheme="minorHAnsi"/>
                <w:b/>
              </w:rPr>
              <w:t>Supplementary Text</w:t>
            </w:r>
            <w:r>
              <w:rPr>
                <w:rFonts w:cstheme="minorHAnsi"/>
                <w:b/>
              </w:rPr>
              <w:t>s:</w:t>
            </w:r>
          </w:p>
          <w:p w14:paraId="0602A153" w14:textId="77777777" w:rsidR="003926BA" w:rsidRDefault="003926BA" w:rsidP="00DE6D09">
            <w:pPr>
              <w:rPr>
                <w:rFonts w:cstheme="minorHAnsi"/>
                <w:b/>
              </w:rPr>
            </w:pPr>
          </w:p>
          <w:p w14:paraId="2DF39FBB" w14:textId="77777777" w:rsidR="003926BA" w:rsidRPr="001B1E6C" w:rsidRDefault="003926BA" w:rsidP="003926BA">
            <w:pPr>
              <w:tabs>
                <w:tab w:val="left" w:pos="1985"/>
              </w:tabs>
              <w:rPr>
                <w:rFonts w:cstheme="minorHAnsi"/>
                <w:b/>
                <w:bCs/>
                <w:i/>
                <w:iCs/>
              </w:rPr>
            </w:pPr>
            <w:r w:rsidRPr="001B1E6C">
              <w:rPr>
                <w:rFonts w:cstheme="minorHAnsi"/>
                <w:b/>
                <w:bCs/>
                <w:i/>
                <w:iCs/>
              </w:rPr>
              <w:t>SPSS</w:t>
            </w:r>
            <w:r w:rsidRPr="001B1E6C">
              <w:rPr>
                <w:rFonts w:cstheme="minorHAnsi"/>
                <w:b/>
                <w:bCs/>
                <w:i/>
                <w:iCs/>
              </w:rPr>
              <w:tab/>
            </w:r>
          </w:p>
          <w:p w14:paraId="764393B6" w14:textId="77777777" w:rsidR="003926BA" w:rsidRPr="001B1E6C" w:rsidRDefault="003926BA" w:rsidP="003926BA">
            <w:pPr>
              <w:rPr>
                <w:rFonts w:cstheme="minorHAnsi"/>
              </w:rPr>
            </w:pPr>
          </w:p>
          <w:p w14:paraId="19869199" w14:textId="77777777" w:rsidR="003926BA" w:rsidRDefault="003926BA" w:rsidP="00DE6D09">
            <w:pPr>
              <w:rPr>
                <w:rFonts w:cstheme="minorHAnsi"/>
              </w:rPr>
            </w:pPr>
            <w:r w:rsidRPr="001B1E6C">
              <w:rPr>
                <w:rFonts w:cstheme="minorHAnsi"/>
              </w:rPr>
              <w:t>Field, Andy (2013) Discovering Statistics using IBM SPSS for Windows, Sage Publications.</w:t>
            </w:r>
          </w:p>
          <w:p w14:paraId="5A8C6463" w14:textId="77777777" w:rsidR="00CF4DA9" w:rsidRPr="001B1E6C" w:rsidRDefault="00CF4DA9" w:rsidP="00CF4DA9">
            <w:pPr>
              <w:rPr>
                <w:rFonts w:cstheme="minorHAnsi"/>
                <w:b/>
                <w:i/>
              </w:rPr>
            </w:pPr>
          </w:p>
          <w:p w14:paraId="56F40095" w14:textId="77777777" w:rsidR="00CF4DA9" w:rsidRPr="001B1E6C" w:rsidRDefault="008F6278" w:rsidP="00CF4DA9">
            <w:pPr>
              <w:rPr>
                <w:rFonts w:cstheme="minorHAnsi"/>
                <w:b/>
              </w:rPr>
            </w:pPr>
            <w:r>
              <w:rPr>
                <w:rFonts w:cstheme="minorHAnsi"/>
                <w:b/>
              </w:rPr>
              <w:t xml:space="preserve">Factor Analysis </w:t>
            </w:r>
            <w:r w:rsidR="00CF4DA9" w:rsidRPr="001B1E6C">
              <w:rPr>
                <w:rFonts w:cstheme="minorHAnsi"/>
                <w:b/>
              </w:rPr>
              <w:t>In Test Development</w:t>
            </w:r>
          </w:p>
          <w:p w14:paraId="69C72D11" w14:textId="77777777" w:rsidR="00CF4DA9" w:rsidRPr="001B1E6C" w:rsidRDefault="00CF4DA9" w:rsidP="00CF4DA9">
            <w:pPr>
              <w:rPr>
                <w:rFonts w:cstheme="minorHAnsi"/>
                <w:b/>
                <w:i/>
              </w:rPr>
            </w:pPr>
          </w:p>
          <w:p w14:paraId="1918D652" w14:textId="77777777" w:rsidR="00CF4DA9" w:rsidRPr="001B1E6C" w:rsidRDefault="00CF4DA9" w:rsidP="00CF4DA9">
            <w:pPr>
              <w:ind w:left="720"/>
              <w:rPr>
                <w:rFonts w:cstheme="minorHAnsi"/>
              </w:rPr>
            </w:pPr>
            <w:r w:rsidRPr="001B1E6C">
              <w:rPr>
                <w:rFonts w:cstheme="minorHAnsi"/>
              </w:rPr>
              <w:t>Irwing, P., &amp; Hughes, D. J. (2017). Test development. In P. Irwing, T. Booth &amp; D. Hughes (Eds.),</w:t>
            </w:r>
            <w:r w:rsidRPr="001B1E6C">
              <w:rPr>
                <w:rFonts w:cstheme="minorHAnsi"/>
                <w:i/>
              </w:rPr>
              <w:t xml:space="preserve"> </w:t>
            </w:r>
            <w:r w:rsidRPr="001B1E6C">
              <w:rPr>
                <w:rFonts w:cstheme="minorHAnsi"/>
                <w:i/>
                <w:iCs/>
              </w:rPr>
              <w:t>The Wiley Handbook of PsychometricTesting</w:t>
            </w:r>
            <w:r w:rsidRPr="001B1E6C">
              <w:rPr>
                <w:rFonts w:cstheme="minorHAnsi"/>
                <w:i/>
                <w:szCs w:val="9"/>
              </w:rPr>
              <w:t xml:space="preserve"> A Multidisciplinary Reference on Survey, Scale and Test Development</w:t>
            </w:r>
            <w:r w:rsidRPr="001B1E6C">
              <w:rPr>
                <w:rFonts w:cstheme="minorHAnsi"/>
                <w:i/>
                <w:iCs/>
              </w:rPr>
              <w:t>.:.</w:t>
            </w:r>
            <w:r w:rsidRPr="001B1E6C">
              <w:rPr>
                <w:rFonts w:cstheme="minorHAnsi"/>
                <w:i/>
              </w:rPr>
              <w:t xml:space="preserve"> </w:t>
            </w:r>
            <w:r w:rsidRPr="001B1E6C">
              <w:rPr>
                <w:rFonts w:cstheme="minorHAnsi"/>
              </w:rPr>
              <w:t xml:space="preserve">London: John Wiley &amp; Sons. </w:t>
            </w:r>
          </w:p>
          <w:p w14:paraId="68E2C5E7" w14:textId="77777777" w:rsidR="00CF4DA9" w:rsidRPr="001B1E6C" w:rsidRDefault="00CF4DA9" w:rsidP="00CF4DA9">
            <w:pPr>
              <w:ind w:left="720"/>
              <w:rPr>
                <w:rFonts w:cstheme="minorHAnsi"/>
              </w:rPr>
            </w:pPr>
          </w:p>
          <w:p w14:paraId="5ECF1F02" w14:textId="77777777" w:rsidR="00CF4DA9" w:rsidRPr="001B1E6C" w:rsidRDefault="00CF4DA9" w:rsidP="00CF4DA9">
            <w:pPr>
              <w:ind w:left="720"/>
              <w:rPr>
                <w:rFonts w:cstheme="minorHAnsi"/>
              </w:rPr>
            </w:pPr>
            <w:r w:rsidRPr="001B1E6C">
              <w:rPr>
                <w:rFonts w:cstheme="minorHAnsi"/>
              </w:rPr>
              <w:t xml:space="preserve">Although this chapter’s focus is not factor analysis per se, you will probably find this the most useful read of all to understand the course material as a whole. </w:t>
            </w:r>
          </w:p>
          <w:p w14:paraId="4AE585BD" w14:textId="77777777" w:rsidR="00CF4DA9" w:rsidRPr="001B1E6C" w:rsidRDefault="00CF4DA9" w:rsidP="00CF4DA9">
            <w:pPr>
              <w:rPr>
                <w:rFonts w:cstheme="minorHAnsi"/>
                <w:b/>
              </w:rPr>
            </w:pPr>
          </w:p>
          <w:p w14:paraId="624880B8" w14:textId="77777777" w:rsidR="00CF4DA9" w:rsidRPr="001B1E6C" w:rsidRDefault="00CF4DA9" w:rsidP="00CF4DA9">
            <w:pPr>
              <w:rPr>
                <w:rFonts w:cstheme="minorHAnsi"/>
                <w:b/>
              </w:rPr>
            </w:pPr>
            <w:r w:rsidRPr="001B1E6C">
              <w:rPr>
                <w:rFonts w:cstheme="minorHAnsi"/>
                <w:b/>
              </w:rPr>
              <w:t>Introduction</w:t>
            </w:r>
            <w:r w:rsidRPr="001B1E6C">
              <w:rPr>
                <w:rFonts w:cstheme="minorHAnsi"/>
              </w:rPr>
              <w:t xml:space="preserve">  </w:t>
            </w:r>
          </w:p>
          <w:p w14:paraId="127F039D" w14:textId="77777777" w:rsidR="00CF4DA9" w:rsidRPr="001B1E6C" w:rsidRDefault="00CF4DA9" w:rsidP="00CF4DA9">
            <w:pPr>
              <w:rPr>
                <w:rFonts w:cstheme="minorHAnsi"/>
                <w:b/>
              </w:rPr>
            </w:pPr>
          </w:p>
          <w:p w14:paraId="2DBA5FAC" w14:textId="77777777" w:rsidR="00CF4DA9" w:rsidRPr="001B1E6C" w:rsidRDefault="00CF4DA9" w:rsidP="00CF4DA9">
            <w:pPr>
              <w:ind w:left="720"/>
              <w:rPr>
                <w:rFonts w:cstheme="minorHAnsi"/>
              </w:rPr>
            </w:pPr>
            <w:r w:rsidRPr="001B1E6C">
              <w:rPr>
                <w:rFonts w:cstheme="minorHAnsi"/>
              </w:rPr>
              <w:t>Mulaik, S. (2018). Fudamentals of common factor analysis. In P. Irwing, T. Booth &amp; D. Hughes (Eds.),</w:t>
            </w:r>
            <w:r w:rsidRPr="001B1E6C">
              <w:rPr>
                <w:rFonts w:cstheme="minorHAnsi"/>
                <w:i/>
              </w:rPr>
              <w:t xml:space="preserve"> </w:t>
            </w:r>
            <w:r w:rsidRPr="001B1E6C">
              <w:rPr>
                <w:rFonts w:cstheme="minorHAnsi"/>
                <w:i/>
                <w:iCs/>
              </w:rPr>
              <w:t>The Wiley Handbook of PsychometricTesting</w:t>
            </w:r>
            <w:r w:rsidRPr="001B1E6C">
              <w:rPr>
                <w:rFonts w:cstheme="minorHAnsi"/>
                <w:i/>
                <w:szCs w:val="9"/>
              </w:rPr>
              <w:t xml:space="preserve"> A Multidisciplinary Reference on Survey, Scale and Test Development</w:t>
            </w:r>
            <w:r w:rsidRPr="001B1E6C">
              <w:rPr>
                <w:rFonts w:cstheme="minorHAnsi"/>
                <w:i/>
                <w:iCs/>
              </w:rPr>
              <w:t>.:.</w:t>
            </w:r>
            <w:r w:rsidRPr="001B1E6C">
              <w:rPr>
                <w:rFonts w:cstheme="minorHAnsi"/>
                <w:i/>
              </w:rPr>
              <w:t xml:space="preserve"> </w:t>
            </w:r>
            <w:r w:rsidRPr="001B1E6C">
              <w:rPr>
                <w:rFonts w:cstheme="minorHAnsi"/>
              </w:rPr>
              <w:t xml:space="preserve">London: John Wiley &amp; Sons.  </w:t>
            </w:r>
          </w:p>
          <w:p w14:paraId="61F527D1" w14:textId="77777777" w:rsidR="00CF4DA9" w:rsidRPr="001B1E6C" w:rsidRDefault="00CF4DA9" w:rsidP="00CF4DA9">
            <w:pPr>
              <w:rPr>
                <w:rFonts w:cstheme="minorHAnsi"/>
                <w:b/>
              </w:rPr>
            </w:pPr>
          </w:p>
          <w:p w14:paraId="15057111" w14:textId="77777777" w:rsidR="00CF4DA9" w:rsidRPr="001B1E6C" w:rsidRDefault="00CF4DA9" w:rsidP="00CF4DA9">
            <w:pPr>
              <w:rPr>
                <w:rFonts w:cstheme="minorHAnsi"/>
                <w:b/>
                <w:i/>
              </w:rPr>
            </w:pPr>
          </w:p>
          <w:p w14:paraId="0CCF617C" w14:textId="77777777" w:rsidR="00CF4DA9" w:rsidRPr="001B1E6C" w:rsidRDefault="00CF4DA9" w:rsidP="00CF4DA9">
            <w:pPr>
              <w:rPr>
                <w:rFonts w:cstheme="minorHAnsi"/>
                <w:b/>
              </w:rPr>
            </w:pPr>
            <w:r w:rsidRPr="001B1E6C">
              <w:rPr>
                <w:rFonts w:cstheme="minorHAnsi"/>
                <w:b/>
              </w:rPr>
              <w:t>General Review Articles</w:t>
            </w:r>
          </w:p>
          <w:p w14:paraId="0ADB9064" w14:textId="77777777" w:rsidR="00CF4DA9" w:rsidRPr="001B1E6C" w:rsidRDefault="00CF4DA9" w:rsidP="00CF4DA9">
            <w:pPr>
              <w:rPr>
                <w:rFonts w:cstheme="minorHAnsi"/>
                <w:b/>
              </w:rPr>
            </w:pPr>
          </w:p>
          <w:p w14:paraId="243F049A" w14:textId="77777777" w:rsidR="00CF4DA9" w:rsidRPr="001B1E6C" w:rsidRDefault="00CF4DA9" w:rsidP="00CF4DA9">
            <w:pPr>
              <w:ind w:left="720" w:hanging="720"/>
              <w:rPr>
                <w:rFonts w:cstheme="minorHAnsi"/>
              </w:rPr>
            </w:pPr>
            <w:r w:rsidRPr="001B1E6C">
              <w:rPr>
                <w:rFonts w:cstheme="minorHAnsi"/>
              </w:rPr>
              <w:t xml:space="preserve">(*) Fabrigar, L.R., Wegener, D.T., MacCallum, R.C. &amp; Strahan, E.J. (1999). "Evaluating the use of exploratory factor analysis in psychological research." </w:t>
            </w:r>
            <w:r w:rsidRPr="001B1E6C">
              <w:rPr>
                <w:rStyle w:val="Emphasis"/>
                <w:rFonts w:cstheme="minorHAnsi"/>
              </w:rPr>
              <w:t>Psychological Methods</w:t>
            </w:r>
            <w:r w:rsidRPr="001B1E6C">
              <w:rPr>
                <w:rStyle w:val="Emphasis"/>
                <w:rFonts w:cstheme="minorHAnsi"/>
                <w:b/>
              </w:rPr>
              <w:t xml:space="preserve">, </w:t>
            </w:r>
            <w:r w:rsidRPr="001B1E6C">
              <w:rPr>
                <w:rStyle w:val="Strong"/>
                <w:rFonts w:cstheme="minorHAnsi"/>
              </w:rPr>
              <w:t xml:space="preserve">4, 272-299. </w:t>
            </w:r>
          </w:p>
          <w:p w14:paraId="20A04B3C" w14:textId="77777777" w:rsidR="00CF4DA9" w:rsidRPr="001B1E6C" w:rsidRDefault="00CF4DA9" w:rsidP="00CF4DA9">
            <w:pPr>
              <w:ind w:left="720" w:hanging="720"/>
              <w:rPr>
                <w:rFonts w:cstheme="minorHAnsi"/>
              </w:rPr>
            </w:pPr>
            <w:r w:rsidRPr="001B1E6C">
              <w:rPr>
                <w:rFonts w:cstheme="minorHAnsi"/>
              </w:rPr>
              <w:t xml:space="preserve">  </w:t>
            </w:r>
          </w:p>
          <w:p w14:paraId="4072F49E" w14:textId="77777777" w:rsidR="00CF4DA9" w:rsidRPr="001B1E6C" w:rsidRDefault="00CF4DA9" w:rsidP="00CF4DA9">
            <w:pPr>
              <w:ind w:left="720" w:hanging="720"/>
              <w:rPr>
                <w:rFonts w:cstheme="minorHAnsi"/>
              </w:rPr>
            </w:pPr>
            <w:r w:rsidRPr="001B1E6C">
              <w:rPr>
                <w:rFonts w:cstheme="minorHAnsi"/>
              </w:rPr>
              <w:t xml:space="preserve">Russell, D.W. (2002). "In search of underlying dimensions: the use (and abuse) of factor analysis in </w:t>
            </w:r>
            <w:r w:rsidRPr="001B1E6C">
              <w:rPr>
                <w:rStyle w:val="Emphasis"/>
                <w:rFonts w:cstheme="minorHAnsi"/>
              </w:rPr>
              <w:t>Personality and Social Psychology Bulletin." Personality and Social Psychology Bulletin</w:t>
            </w:r>
            <w:r w:rsidRPr="001B1E6C">
              <w:rPr>
                <w:rStyle w:val="Emphasis"/>
                <w:rFonts w:cstheme="minorHAnsi"/>
                <w:b/>
              </w:rPr>
              <w:t xml:space="preserve">, </w:t>
            </w:r>
            <w:r w:rsidRPr="001B1E6C">
              <w:rPr>
                <w:rStyle w:val="Strong"/>
                <w:rFonts w:cstheme="minorHAnsi"/>
              </w:rPr>
              <w:t xml:space="preserve">28, 1629-1646. </w:t>
            </w:r>
          </w:p>
          <w:p w14:paraId="151F379B" w14:textId="77777777" w:rsidR="00CF4DA9" w:rsidRPr="001B1E6C" w:rsidRDefault="00CF4DA9" w:rsidP="00CF4DA9">
            <w:pPr>
              <w:ind w:left="720" w:hanging="720"/>
              <w:rPr>
                <w:rFonts w:cstheme="minorHAnsi"/>
              </w:rPr>
            </w:pPr>
            <w:r w:rsidRPr="001B1E6C">
              <w:rPr>
                <w:rFonts w:cstheme="minorHAnsi"/>
              </w:rPr>
              <w:lastRenderedPageBreak/>
              <w:t xml:space="preserve">  </w:t>
            </w:r>
          </w:p>
          <w:p w14:paraId="69A4DF7E" w14:textId="77777777" w:rsidR="00CF4DA9" w:rsidRPr="001B1E6C" w:rsidRDefault="00CF4DA9" w:rsidP="00CF4DA9">
            <w:pPr>
              <w:ind w:left="720" w:hanging="720"/>
              <w:rPr>
                <w:rFonts w:cstheme="minorHAnsi"/>
              </w:rPr>
            </w:pPr>
            <w:r w:rsidRPr="001B1E6C">
              <w:rPr>
                <w:rFonts w:cstheme="minorHAnsi"/>
              </w:rPr>
              <w:t xml:space="preserve">Osbourne, J.W. &amp; Costello, A.B. (2005). "Best practices in exploratory factor analysis: four recommendations for getting the most from your analysis." </w:t>
            </w:r>
            <w:r w:rsidRPr="001B1E6C">
              <w:rPr>
                <w:rStyle w:val="Emphasis"/>
                <w:rFonts w:cstheme="minorHAnsi"/>
              </w:rPr>
              <w:t>Practical Assessment, Research &amp; Evaluation</w:t>
            </w:r>
            <w:r w:rsidRPr="001B1E6C">
              <w:rPr>
                <w:rStyle w:val="Emphasis"/>
                <w:rFonts w:cstheme="minorHAnsi"/>
                <w:b/>
              </w:rPr>
              <w:t xml:space="preserve">, </w:t>
            </w:r>
            <w:r w:rsidRPr="001B1E6C">
              <w:rPr>
                <w:rStyle w:val="Strong"/>
                <w:rFonts w:cstheme="minorHAnsi"/>
              </w:rPr>
              <w:t xml:space="preserve">10, 1-9. </w:t>
            </w:r>
          </w:p>
          <w:p w14:paraId="751EC8BA" w14:textId="77777777" w:rsidR="00CF4DA9" w:rsidRPr="001B1E6C" w:rsidRDefault="00CF4DA9" w:rsidP="00CF4DA9">
            <w:pPr>
              <w:rPr>
                <w:rFonts w:cstheme="minorHAnsi"/>
                <w:b/>
              </w:rPr>
            </w:pPr>
          </w:p>
          <w:p w14:paraId="39076D40" w14:textId="77777777" w:rsidR="008F6278" w:rsidRDefault="008F6278" w:rsidP="00CF4DA9">
            <w:pPr>
              <w:rPr>
                <w:rFonts w:cstheme="minorHAnsi"/>
                <w:b/>
              </w:rPr>
            </w:pPr>
          </w:p>
          <w:p w14:paraId="6CF6F675" w14:textId="77777777" w:rsidR="00CF4DA9" w:rsidRPr="001B1E6C" w:rsidRDefault="00CF4DA9" w:rsidP="00CF4DA9">
            <w:pPr>
              <w:rPr>
                <w:rFonts w:cstheme="minorHAnsi"/>
                <w:b/>
              </w:rPr>
            </w:pPr>
            <w:r w:rsidRPr="001B1E6C">
              <w:rPr>
                <w:rFonts w:cstheme="minorHAnsi"/>
                <w:b/>
              </w:rPr>
              <w:t>Specific Factor Analysis Books</w:t>
            </w:r>
          </w:p>
          <w:p w14:paraId="5959C7E9" w14:textId="77777777" w:rsidR="00CF4DA9" w:rsidRPr="001B1E6C" w:rsidRDefault="00CF4DA9" w:rsidP="00CF4DA9">
            <w:pPr>
              <w:rPr>
                <w:rFonts w:cstheme="minorHAnsi"/>
                <w:b/>
              </w:rPr>
            </w:pPr>
          </w:p>
          <w:p w14:paraId="64571494" w14:textId="77777777" w:rsidR="00CF4DA9" w:rsidRPr="001B1E6C" w:rsidRDefault="00CF4DA9" w:rsidP="008F6278">
            <w:pPr>
              <w:rPr>
                <w:rFonts w:cstheme="minorHAnsi"/>
              </w:rPr>
            </w:pPr>
            <w:r w:rsidRPr="001B1E6C">
              <w:rPr>
                <w:rFonts w:cstheme="minorHAnsi"/>
              </w:rPr>
              <w:t xml:space="preserve">Kline, P. (1994). </w:t>
            </w:r>
            <w:r w:rsidRPr="001B1E6C">
              <w:rPr>
                <w:rFonts w:cstheme="minorHAnsi"/>
                <w:i/>
              </w:rPr>
              <w:t xml:space="preserve">An Easy Guide to Factor Analysis. </w:t>
            </w:r>
            <w:r w:rsidRPr="001B1E6C">
              <w:rPr>
                <w:rFonts w:cstheme="minorHAnsi"/>
              </w:rPr>
              <w:t>Routledge: London.</w:t>
            </w:r>
          </w:p>
          <w:p w14:paraId="7BBD50EC" w14:textId="77777777" w:rsidR="00CF4DA9" w:rsidRPr="001B1E6C" w:rsidRDefault="00CF4DA9" w:rsidP="00CF4DA9">
            <w:pPr>
              <w:ind w:left="720" w:hanging="720"/>
              <w:rPr>
                <w:rFonts w:cstheme="minorHAnsi"/>
              </w:rPr>
            </w:pPr>
          </w:p>
          <w:p w14:paraId="28D661CD" w14:textId="77777777" w:rsidR="00CF4DA9" w:rsidRPr="001B1E6C" w:rsidRDefault="00CF4DA9" w:rsidP="00CF4DA9">
            <w:pPr>
              <w:ind w:left="720" w:hanging="720"/>
              <w:rPr>
                <w:rFonts w:cstheme="minorHAnsi"/>
              </w:rPr>
            </w:pPr>
            <w:r w:rsidRPr="001B1E6C">
              <w:rPr>
                <w:rFonts w:cstheme="minorHAnsi"/>
              </w:rPr>
              <w:t xml:space="preserve">(*) Comrey, A.L. &amp; Lee, H.B. (1992). </w:t>
            </w:r>
            <w:r w:rsidRPr="001B1E6C">
              <w:rPr>
                <w:rFonts w:cstheme="minorHAnsi"/>
                <w:i/>
              </w:rPr>
              <w:t xml:space="preserve">A First Course in Factor Analysis. </w:t>
            </w:r>
            <w:r w:rsidRPr="001B1E6C">
              <w:rPr>
                <w:rFonts w:cstheme="minorHAnsi"/>
              </w:rPr>
              <w:t>Laurence Erlbaum Associates</w:t>
            </w:r>
          </w:p>
          <w:p w14:paraId="4372B6E3" w14:textId="77777777" w:rsidR="00CF4DA9" w:rsidRPr="001B1E6C" w:rsidRDefault="00CF4DA9" w:rsidP="00CF4DA9">
            <w:pPr>
              <w:rPr>
                <w:rFonts w:cstheme="minorHAnsi"/>
              </w:rPr>
            </w:pPr>
            <w:r w:rsidRPr="001B1E6C">
              <w:rPr>
                <w:rFonts w:cstheme="minorHAnsi"/>
              </w:rPr>
              <w:t xml:space="preserve"> </w:t>
            </w:r>
          </w:p>
          <w:p w14:paraId="22DEEBE6" w14:textId="77777777" w:rsidR="00CF4DA9" w:rsidRPr="001B1E6C" w:rsidRDefault="00CF4DA9" w:rsidP="00CF4DA9">
            <w:pPr>
              <w:rPr>
                <w:rFonts w:cstheme="minorHAnsi"/>
                <w:b/>
              </w:rPr>
            </w:pPr>
            <w:r w:rsidRPr="001B1E6C">
              <w:rPr>
                <w:rFonts w:cstheme="minorHAnsi"/>
                <w:b/>
              </w:rPr>
              <w:t>Specific Issues in EFA</w:t>
            </w:r>
          </w:p>
          <w:p w14:paraId="5D0C8A54" w14:textId="77777777" w:rsidR="00CF4DA9" w:rsidRPr="001B1E6C" w:rsidRDefault="00CF4DA9" w:rsidP="00CF4DA9">
            <w:pPr>
              <w:rPr>
                <w:rFonts w:cstheme="minorHAnsi"/>
                <w:b/>
              </w:rPr>
            </w:pPr>
          </w:p>
          <w:p w14:paraId="4523A610" w14:textId="77777777" w:rsidR="00CF4DA9" w:rsidRPr="001B1E6C" w:rsidRDefault="00CF4DA9" w:rsidP="00CF4DA9">
            <w:pPr>
              <w:rPr>
                <w:rFonts w:cstheme="minorHAnsi"/>
                <w:b/>
              </w:rPr>
            </w:pPr>
            <w:r w:rsidRPr="001B1E6C">
              <w:rPr>
                <w:rFonts w:cstheme="minorHAnsi"/>
                <w:b/>
              </w:rPr>
              <w:t>Rotation</w:t>
            </w:r>
          </w:p>
          <w:p w14:paraId="03A67CB9" w14:textId="77777777" w:rsidR="00CF4DA9" w:rsidRPr="001B1E6C" w:rsidRDefault="00CF4DA9" w:rsidP="00CF4DA9">
            <w:pPr>
              <w:rPr>
                <w:rFonts w:cstheme="minorHAnsi"/>
                <w:b/>
              </w:rPr>
            </w:pPr>
          </w:p>
          <w:p w14:paraId="250B6E92" w14:textId="77777777" w:rsidR="00CF4DA9" w:rsidRPr="001B1E6C" w:rsidRDefault="00CF4DA9" w:rsidP="00CF4DA9">
            <w:pPr>
              <w:ind w:left="720"/>
              <w:rPr>
                <w:rFonts w:cstheme="minorHAnsi"/>
              </w:rPr>
            </w:pPr>
            <w:r w:rsidRPr="001B1E6C">
              <w:rPr>
                <w:rFonts w:cstheme="minorHAnsi"/>
              </w:rPr>
              <w:t>Jennrich, R. I. (2018). Rotation. In P. Irwing, T. Booth &amp; D. Hughes (Eds.),</w:t>
            </w:r>
            <w:r w:rsidRPr="001B1E6C">
              <w:rPr>
                <w:rFonts w:cstheme="minorHAnsi"/>
                <w:i/>
              </w:rPr>
              <w:t xml:space="preserve"> </w:t>
            </w:r>
            <w:r w:rsidRPr="001B1E6C">
              <w:rPr>
                <w:rFonts w:cstheme="minorHAnsi"/>
                <w:i/>
                <w:iCs/>
              </w:rPr>
              <w:t>The Wiley Handbook of PsychometricTesting</w:t>
            </w:r>
            <w:r w:rsidRPr="001B1E6C">
              <w:rPr>
                <w:rFonts w:cstheme="minorHAnsi"/>
                <w:i/>
                <w:szCs w:val="9"/>
              </w:rPr>
              <w:t xml:space="preserve"> A Multidisciplinary Reference on Survey, Scale and Test Development</w:t>
            </w:r>
            <w:r w:rsidRPr="001B1E6C">
              <w:rPr>
                <w:rFonts w:cstheme="minorHAnsi"/>
                <w:i/>
                <w:iCs/>
              </w:rPr>
              <w:t>.:.</w:t>
            </w:r>
            <w:r w:rsidRPr="001B1E6C">
              <w:rPr>
                <w:rFonts w:cstheme="minorHAnsi"/>
                <w:i/>
              </w:rPr>
              <w:t xml:space="preserve"> </w:t>
            </w:r>
            <w:r w:rsidRPr="001B1E6C">
              <w:rPr>
                <w:rFonts w:cstheme="minorHAnsi"/>
              </w:rPr>
              <w:t>London: John Wiley &amp; Sons.</w:t>
            </w:r>
          </w:p>
          <w:p w14:paraId="429D94B5" w14:textId="77777777" w:rsidR="00CF4DA9" w:rsidRPr="001B1E6C" w:rsidRDefault="00CF4DA9" w:rsidP="00CF4DA9">
            <w:pPr>
              <w:ind w:left="720"/>
              <w:rPr>
                <w:rFonts w:cstheme="minorHAnsi"/>
              </w:rPr>
            </w:pPr>
          </w:p>
          <w:p w14:paraId="325EAA0A" w14:textId="77777777" w:rsidR="00CF4DA9" w:rsidRPr="001B1E6C" w:rsidRDefault="00CF4DA9" w:rsidP="00CF4DA9">
            <w:pPr>
              <w:rPr>
                <w:rFonts w:cstheme="minorHAnsi"/>
                <w:b/>
              </w:rPr>
            </w:pPr>
            <w:r w:rsidRPr="001B1E6C">
              <w:rPr>
                <w:rFonts w:cstheme="minorHAnsi"/>
                <w:b/>
              </w:rPr>
              <w:t xml:space="preserve">Number of Factors Problem  </w:t>
            </w:r>
          </w:p>
          <w:p w14:paraId="74AE03A4" w14:textId="77777777" w:rsidR="00CF4DA9" w:rsidRPr="001B1E6C" w:rsidRDefault="00CF4DA9" w:rsidP="00CF4DA9">
            <w:pPr>
              <w:rPr>
                <w:rFonts w:cstheme="minorHAnsi"/>
                <w:b/>
              </w:rPr>
            </w:pPr>
          </w:p>
          <w:p w14:paraId="52CEABC1" w14:textId="77777777" w:rsidR="00CF4DA9" w:rsidRPr="001B1E6C" w:rsidRDefault="00CF4DA9" w:rsidP="00CF4DA9">
            <w:pPr>
              <w:ind w:left="720"/>
              <w:rPr>
                <w:rFonts w:cstheme="minorHAnsi"/>
              </w:rPr>
            </w:pPr>
            <w:r w:rsidRPr="001B1E6C">
              <w:rPr>
                <w:rFonts w:cstheme="minorHAnsi"/>
              </w:rPr>
              <w:t>Timmerman, M. E., Lorenzo-Seva, U., &amp; Ceulemans, E. (2018). The number of factors problem. In P. Irwing, T. Booth &amp; D. Hughes (Eds.),</w:t>
            </w:r>
            <w:r w:rsidRPr="001B1E6C">
              <w:rPr>
                <w:rFonts w:cstheme="minorHAnsi"/>
                <w:i/>
              </w:rPr>
              <w:t xml:space="preserve"> </w:t>
            </w:r>
            <w:r w:rsidRPr="001B1E6C">
              <w:rPr>
                <w:rFonts w:cstheme="minorHAnsi"/>
                <w:i/>
                <w:iCs/>
              </w:rPr>
              <w:t>The Wiley Handbook of PsychometricTesting</w:t>
            </w:r>
            <w:r w:rsidRPr="001B1E6C">
              <w:rPr>
                <w:rFonts w:cstheme="minorHAnsi"/>
                <w:i/>
                <w:szCs w:val="9"/>
              </w:rPr>
              <w:t xml:space="preserve"> A Multidisciplinary Reference on Survey, Scale and Test Development</w:t>
            </w:r>
            <w:r w:rsidRPr="001B1E6C">
              <w:rPr>
                <w:rFonts w:cstheme="minorHAnsi"/>
                <w:i/>
                <w:iCs/>
              </w:rPr>
              <w:t>.:.</w:t>
            </w:r>
            <w:r w:rsidRPr="001B1E6C">
              <w:rPr>
                <w:rFonts w:cstheme="minorHAnsi"/>
                <w:i/>
              </w:rPr>
              <w:t xml:space="preserve"> </w:t>
            </w:r>
            <w:r w:rsidRPr="001B1E6C">
              <w:rPr>
                <w:rFonts w:cstheme="minorHAnsi"/>
              </w:rPr>
              <w:t xml:space="preserve">London: John Wiley &amp; Sons.  </w:t>
            </w:r>
          </w:p>
          <w:p w14:paraId="5D9FEAA5" w14:textId="77777777" w:rsidR="00CF4DA9" w:rsidRPr="001B1E6C" w:rsidRDefault="00CF4DA9" w:rsidP="00CF4DA9">
            <w:pPr>
              <w:rPr>
                <w:rFonts w:cstheme="minorHAnsi"/>
                <w:b/>
              </w:rPr>
            </w:pPr>
          </w:p>
          <w:p w14:paraId="5AF9AC7B" w14:textId="77777777" w:rsidR="00CF4DA9" w:rsidRPr="001B1E6C" w:rsidRDefault="00CF4DA9" w:rsidP="00CF4DA9">
            <w:pPr>
              <w:rPr>
                <w:rFonts w:cstheme="minorHAnsi"/>
                <w:b/>
                <w:i/>
              </w:rPr>
            </w:pPr>
            <w:r w:rsidRPr="001B1E6C">
              <w:rPr>
                <w:rFonts w:cstheme="minorHAnsi"/>
                <w:b/>
                <w:i/>
              </w:rPr>
              <w:t>PCA vs Common Factor Model</w:t>
            </w:r>
          </w:p>
          <w:p w14:paraId="375AE425" w14:textId="77777777" w:rsidR="00CF4DA9" w:rsidRPr="001B1E6C" w:rsidRDefault="00CF4DA9" w:rsidP="00CF4DA9">
            <w:pPr>
              <w:ind w:left="720" w:hanging="720"/>
              <w:rPr>
                <w:rFonts w:cstheme="minorHAnsi"/>
                <w:b/>
                <w:i/>
              </w:rPr>
            </w:pPr>
          </w:p>
          <w:p w14:paraId="34EF23C7" w14:textId="77777777" w:rsidR="00CF4DA9" w:rsidRPr="001B1E6C" w:rsidRDefault="00CF4DA9" w:rsidP="00CF4DA9">
            <w:pPr>
              <w:ind w:left="720" w:hanging="720"/>
              <w:rPr>
                <w:rFonts w:cstheme="minorHAnsi"/>
              </w:rPr>
            </w:pPr>
            <w:r w:rsidRPr="001B1E6C">
              <w:rPr>
                <w:rFonts w:cstheme="minorHAnsi"/>
              </w:rPr>
              <w:t xml:space="preserve">(*) Bentler, P.M. &amp; Kano, Y. (1990). “On the Equivalence of Factors and Components.” </w:t>
            </w:r>
            <w:r w:rsidRPr="001B1E6C">
              <w:rPr>
                <w:rFonts w:cstheme="minorHAnsi"/>
                <w:i/>
              </w:rPr>
              <w:t xml:space="preserve">Multivariate Behavioral Research, </w:t>
            </w:r>
            <w:r w:rsidRPr="001B1E6C">
              <w:rPr>
                <w:rFonts w:cstheme="minorHAnsi"/>
              </w:rPr>
              <w:t>25, 67-74.</w:t>
            </w:r>
          </w:p>
          <w:p w14:paraId="553C55F2" w14:textId="77777777" w:rsidR="00CF4DA9" w:rsidRPr="001B1E6C" w:rsidRDefault="00CF4DA9" w:rsidP="00CF4DA9">
            <w:pPr>
              <w:ind w:left="720" w:hanging="720"/>
              <w:rPr>
                <w:rFonts w:cstheme="minorHAnsi"/>
              </w:rPr>
            </w:pPr>
          </w:p>
          <w:p w14:paraId="06B9F7CA" w14:textId="77777777" w:rsidR="00CF4DA9" w:rsidRPr="001B1E6C" w:rsidRDefault="00CF4DA9" w:rsidP="00CF4DA9">
            <w:pPr>
              <w:ind w:left="720" w:hanging="720"/>
              <w:rPr>
                <w:rFonts w:cstheme="minorHAnsi"/>
              </w:rPr>
            </w:pPr>
            <w:r w:rsidRPr="001B1E6C">
              <w:rPr>
                <w:rFonts w:cstheme="minorHAnsi"/>
              </w:rPr>
              <w:t xml:space="preserve">(*)Velicer, W.F. &amp; Jackson, D.N. (1990). “Component Analysis versus Common Factor Analysis: Some Further Observations.” </w:t>
            </w:r>
            <w:r w:rsidRPr="001B1E6C">
              <w:rPr>
                <w:rFonts w:cstheme="minorHAnsi"/>
                <w:i/>
              </w:rPr>
              <w:t xml:space="preserve">Multivariate Behavioral Research, </w:t>
            </w:r>
            <w:r w:rsidRPr="001B1E6C">
              <w:rPr>
                <w:rFonts w:cstheme="minorHAnsi"/>
              </w:rPr>
              <w:t>25, 97-114.</w:t>
            </w:r>
          </w:p>
          <w:p w14:paraId="2763AFD0" w14:textId="77777777" w:rsidR="00CF4DA9" w:rsidRPr="001B1E6C" w:rsidRDefault="00CF4DA9" w:rsidP="00CF4DA9">
            <w:pPr>
              <w:ind w:left="720" w:hanging="720"/>
              <w:rPr>
                <w:rFonts w:cstheme="minorHAnsi"/>
                <w:b/>
              </w:rPr>
            </w:pPr>
          </w:p>
          <w:p w14:paraId="365C9794" w14:textId="77777777" w:rsidR="00CF4DA9" w:rsidRPr="001B1E6C" w:rsidRDefault="00CF4DA9" w:rsidP="00CF4DA9">
            <w:pPr>
              <w:ind w:left="720" w:hanging="720"/>
              <w:rPr>
                <w:rFonts w:cstheme="minorHAnsi"/>
                <w:b/>
              </w:rPr>
            </w:pPr>
            <w:r w:rsidRPr="001B1E6C">
              <w:rPr>
                <w:rFonts w:cstheme="minorHAnsi"/>
              </w:rPr>
              <w:t xml:space="preserve">(*) Widaman, K.F. (1993). “Common Factor Analysis Versus Principal Components Analysis: Differential Bias in Representing Model Parameters?” </w:t>
            </w:r>
            <w:r w:rsidRPr="001B1E6C">
              <w:rPr>
                <w:rFonts w:cstheme="minorHAnsi"/>
                <w:i/>
              </w:rPr>
              <w:t xml:space="preserve">Multivariate Behavioral Research, </w:t>
            </w:r>
            <w:r w:rsidRPr="001B1E6C">
              <w:rPr>
                <w:rFonts w:cstheme="minorHAnsi"/>
              </w:rPr>
              <w:t>28, 263-311.</w:t>
            </w:r>
          </w:p>
          <w:p w14:paraId="192FDA84" w14:textId="77777777" w:rsidR="00CF4DA9" w:rsidRPr="001B1E6C" w:rsidRDefault="00CF4DA9" w:rsidP="00CF4DA9">
            <w:pPr>
              <w:rPr>
                <w:rFonts w:cstheme="minorHAnsi"/>
                <w:b/>
              </w:rPr>
            </w:pPr>
          </w:p>
          <w:p w14:paraId="5BDEB3F2" w14:textId="77777777" w:rsidR="00CF4DA9" w:rsidRPr="001B1E6C" w:rsidRDefault="00CF4DA9" w:rsidP="00CF4DA9">
            <w:pPr>
              <w:rPr>
                <w:rFonts w:cstheme="minorHAnsi"/>
                <w:b/>
                <w:i/>
              </w:rPr>
            </w:pPr>
            <w:r w:rsidRPr="001B1E6C">
              <w:rPr>
                <w:rFonts w:cstheme="minorHAnsi"/>
                <w:b/>
                <w:i/>
              </w:rPr>
              <w:t>Sample Size</w:t>
            </w:r>
          </w:p>
          <w:p w14:paraId="09AA3B63" w14:textId="77777777" w:rsidR="00CF4DA9" w:rsidRPr="001B1E6C" w:rsidRDefault="00CF4DA9" w:rsidP="00CF4DA9">
            <w:pPr>
              <w:rPr>
                <w:rFonts w:cstheme="minorHAnsi"/>
                <w:b/>
                <w:i/>
              </w:rPr>
            </w:pPr>
          </w:p>
          <w:p w14:paraId="62B4EABA" w14:textId="77777777" w:rsidR="00CF4DA9" w:rsidRPr="001B1E6C" w:rsidRDefault="00CF4DA9" w:rsidP="00CF4DA9">
            <w:pPr>
              <w:ind w:left="720" w:hanging="720"/>
              <w:rPr>
                <w:rFonts w:cstheme="minorHAnsi"/>
                <w:b/>
              </w:rPr>
            </w:pPr>
            <w:r w:rsidRPr="001B1E6C">
              <w:rPr>
                <w:rFonts w:cstheme="minorHAnsi"/>
              </w:rPr>
              <w:t xml:space="preserve">(*) MacCallum, R.C., Widaman, K.F., Zhang, S. &amp; Hong, S. (1999). “Sample Size in Factor Analysis.” </w:t>
            </w:r>
            <w:r w:rsidRPr="001B1E6C">
              <w:rPr>
                <w:rFonts w:cstheme="minorHAnsi"/>
                <w:i/>
              </w:rPr>
              <w:t xml:space="preserve">Psychological Methods, </w:t>
            </w:r>
            <w:r w:rsidRPr="001B1E6C">
              <w:rPr>
                <w:rFonts w:cstheme="minorHAnsi"/>
              </w:rPr>
              <w:t>4, 84-99.</w:t>
            </w:r>
          </w:p>
          <w:p w14:paraId="519DD063" w14:textId="77777777" w:rsidR="00CF4DA9" w:rsidRPr="001B1E6C" w:rsidRDefault="00CF4DA9" w:rsidP="00CF4DA9">
            <w:pPr>
              <w:rPr>
                <w:rFonts w:cstheme="minorHAnsi"/>
                <w:b/>
              </w:rPr>
            </w:pPr>
          </w:p>
          <w:p w14:paraId="2E50589B" w14:textId="77777777" w:rsidR="00CF4DA9" w:rsidRPr="001B1E6C" w:rsidRDefault="00CF4DA9" w:rsidP="00CF4DA9">
            <w:pPr>
              <w:rPr>
                <w:rFonts w:cstheme="minorHAnsi"/>
                <w:b/>
                <w:i/>
              </w:rPr>
            </w:pPr>
            <w:r w:rsidRPr="001B1E6C">
              <w:rPr>
                <w:rFonts w:cstheme="minorHAnsi"/>
                <w:b/>
                <w:i/>
              </w:rPr>
              <w:t>Computing Factor Scores</w:t>
            </w:r>
          </w:p>
          <w:p w14:paraId="5B6408B3" w14:textId="77777777" w:rsidR="00CF4DA9" w:rsidRPr="001B1E6C" w:rsidRDefault="00CF4DA9" w:rsidP="00CF4DA9">
            <w:pPr>
              <w:rPr>
                <w:rFonts w:cstheme="minorHAnsi"/>
                <w:b/>
                <w:i/>
              </w:rPr>
            </w:pPr>
          </w:p>
          <w:p w14:paraId="27AEA56D" w14:textId="77777777" w:rsidR="00CF4DA9" w:rsidRPr="001B1E6C" w:rsidRDefault="00CF4DA9" w:rsidP="00CF4DA9">
            <w:pPr>
              <w:ind w:left="720" w:hanging="720"/>
              <w:rPr>
                <w:rFonts w:cstheme="minorHAnsi"/>
                <w:b/>
              </w:rPr>
            </w:pPr>
            <w:r w:rsidRPr="001B1E6C">
              <w:rPr>
                <w:rFonts w:cstheme="minorHAnsi"/>
              </w:rPr>
              <w:t xml:space="preserve">(*) Grice, J.W. (2001). “Computing and Evaluating Factor Scores.” </w:t>
            </w:r>
            <w:r w:rsidRPr="001B1E6C">
              <w:rPr>
                <w:rFonts w:cstheme="minorHAnsi"/>
                <w:i/>
              </w:rPr>
              <w:t xml:space="preserve">Psychological Methods, </w:t>
            </w:r>
            <w:r w:rsidRPr="001B1E6C">
              <w:rPr>
                <w:rFonts w:cstheme="minorHAnsi"/>
              </w:rPr>
              <w:t>6, 430.450.</w:t>
            </w:r>
          </w:p>
          <w:p w14:paraId="720D1DBD" w14:textId="77777777" w:rsidR="00CF4DA9" w:rsidRPr="001B1E6C" w:rsidRDefault="00CF4DA9" w:rsidP="00CF4DA9">
            <w:pPr>
              <w:rPr>
                <w:rFonts w:cstheme="minorHAnsi"/>
                <w:b/>
              </w:rPr>
            </w:pPr>
          </w:p>
          <w:p w14:paraId="7C3ABF03" w14:textId="77777777" w:rsidR="00CF4DA9" w:rsidRPr="001B1E6C" w:rsidRDefault="00CF4DA9" w:rsidP="00CF4DA9">
            <w:pPr>
              <w:rPr>
                <w:rFonts w:cstheme="minorHAnsi"/>
                <w:b/>
              </w:rPr>
            </w:pPr>
            <w:r w:rsidRPr="001B1E6C">
              <w:rPr>
                <w:rFonts w:cstheme="minorHAnsi"/>
                <w:b/>
              </w:rPr>
              <w:t>Theoretical Application Article</w:t>
            </w:r>
          </w:p>
          <w:p w14:paraId="74BED0E5" w14:textId="77777777" w:rsidR="00CF4DA9" w:rsidRPr="001B1E6C" w:rsidRDefault="00CF4DA9" w:rsidP="00CF4DA9">
            <w:pPr>
              <w:rPr>
                <w:rFonts w:cstheme="minorHAnsi"/>
                <w:b/>
              </w:rPr>
            </w:pPr>
          </w:p>
          <w:p w14:paraId="5760D64E" w14:textId="77777777" w:rsidR="00CF4DA9" w:rsidRPr="001B1E6C" w:rsidRDefault="00CF4DA9" w:rsidP="00CF4DA9">
            <w:pPr>
              <w:ind w:left="720" w:hanging="720"/>
              <w:rPr>
                <w:rStyle w:val="Strong"/>
                <w:rFonts w:cstheme="minorHAnsi"/>
                <w:bCs w:val="0"/>
              </w:rPr>
            </w:pPr>
            <w:r w:rsidRPr="001B1E6C">
              <w:rPr>
                <w:rFonts w:cstheme="minorHAnsi"/>
              </w:rPr>
              <w:lastRenderedPageBreak/>
              <w:t xml:space="preserve">Kline, P. (1987). "Factor analysis and personality theory." </w:t>
            </w:r>
            <w:r w:rsidRPr="001B1E6C">
              <w:rPr>
                <w:rStyle w:val="Emphasis"/>
                <w:rFonts w:cstheme="minorHAnsi"/>
              </w:rPr>
              <w:t>European Journal of Personality</w:t>
            </w:r>
            <w:r w:rsidRPr="001B1E6C">
              <w:rPr>
                <w:rStyle w:val="Emphasis"/>
                <w:rFonts w:cstheme="minorHAnsi"/>
                <w:b/>
              </w:rPr>
              <w:t xml:space="preserve">, </w:t>
            </w:r>
            <w:r w:rsidRPr="001B1E6C">
              <w:rPr>
                <w:rStyle w:val="Strong"/>
                <w:rFonts w:cstheme="minorHAnsi"/>
              </w:rPr>
              <w:t>1, 21-36.</w:t>
            </w:r>
          </w:p>
          <w:p w14:paraId="390A4494" w14:textId="77777777" w:rsidR="00CF4DA9" w:rsidRPr="003926BA" w:rsidRDefault="00CF4DA9" w:rsidP="00DE6D09">
            <w:pPr>
              <w:rPr>
                <w:rFonts w:cstheme="minorHAnsi"/>
              </w:rPr>
            </w:pPr>
          </w:p>
          <w:p w14:paraId="59F5BE3A" w14:textId="77777777" w:rsidR="003926BA" w:rsidRDefault="003926BA" w:rsidP="00DE6D09">
            <w:pPr>
              <w:rPr>
                <w:rFonts w:cstheme="minorHAnsi"/>
                <w:b/>
              </w:rPr>
            </w:pPr>
          </w:p>
          <w:p w14:paraId="438F9674" w14:textId="77777777" w:rsidR="003926BA" w:rsidRDefault="003926BA" w:rsidP="003926BA">
            <w:pPr>
              <w:tabs>
                <w:tab w:val="left" w:pos="1985"/>
              </w:tabs>
              <w:rPr>
                <w:bCs/>
                <w:iCs/>
                <w:szCs w:val="24"/>
              </w:rPr>
            </w:pPr>
          </w:p>
          <w:p w14:paraId="768BC2BE" w14:textId="77777777" w:rsidR="003926BA" w:rsidRPr="007B28EC" w:rsidRDefault="003926BA" w:rsidP="00DE6D09">
            <w:pPr>
              <w:rPr>
                <w:rFonts w:ascii="Calibri" w:hAnsi="Calibri"/>
                <w:b/>
                <w:bCs/>
                <w:iCs/>
              </w:rPr>
            </w:pPr>
          </w:p>
          <w:p w14:paraId="6ABAF4B9" w14:textId="77777777" w:rsidR="00DE6D09" w:rsidRPr="00F745F4" w:rsidRDefault="00DE6D09" w:rsidP="00DE6D09">
            <w:pPr>
              <w:rPr>
                <w:rFonts w:ascii="Calibri" w:hAnsi="Calibri"/>
                <w:b/>
                <w:bCs/>
                <w:i/>
                <w:iCs/>
              </w:rPr>
            </w:pPr>
          </w:p>
          <w:p w14:paraId="214B473C" w14:textId="77777777" w:rsidR="00DE6D09" w:rsidRDefault="00DE6D09" w:rsidP="00DE6D09">
            <w:pPr>
              <w:autoSpaceDE w:val="0"/>
              <w:autoSpaceDN w:val="0"/>
              <w:adjustRightInd w:val="0"/>
              <w:ind w:left="720" w:hanging="720"/>
              <w:rPr>
                <w:b/>
              </w:rPr>
            </w:pPr>
          </w:p>
          <w:p w14:paraId="5FF87D18" w14:textId="77777777" w:rsidR="00345BBB" w:rsidRPr="00345BBB" w:rsidRDefault="00345BBB" w:rsidP="00345BBB">
            <w:pPr>
              <w:rPr>
                <w:rFonts w:cstheme="minorHAnsi"/>
                <w:color w:val="FF0000"/>
              </w:rPr>
            </w:pPr>
          </w:p>
          <w:p w14:paraId="5AE3F9AD" w14:textId="77777777" w:rsidR="0056006D" w:rsidRPr="00345BBB" w:rsidRDefault="0056006D" w:rsidP="00D42AA1">
            <w:pPr>
              <w:rPr>
                <w:rFonts w:cstheme="minorHAnsi"/>
                <w:color w:val="FF0000"/>
              </w:rPr>
            </w:pPr>
          </w:p>
        </w:tc>
      </w:tr>
      <w:tr w:rsidR="00B76C82" w:rsidRPr="004003EA" w14:paraId="78DB2EFA" w14:textId="77777777" w:rsidTr="00345BBB">
        <w:trPr>
          <w:trHeight w:val="328"/>
        </w:trPr>
        <w:tc>
          <w:tcPr>
            <w:tcW w:w="9669" w:type="dxa"/>
            <w:gridSpan w:val="3"/>
            <w:shd w:val="clear" w:color="auto" w:fill="7030A0"/>
          </w:tcPr>
          <w:p w14:paraId="3117CB33" w14:textId="77777777" w:rsidR="00B76C82" w:rsidRPr="004003EA" w:rsidRDefault="00B76C82" w:rsidP="00D42AA1">
            <w:pPr>
              <w:ind w:right="-70"/>
              <w:rPr>
                <w:rFonts w:ascii="Arial" w:hAnsi="Arial" w:cs="Arial"/>
                <w:b/>
                <w:color w:val="FFFFFF" w:themeColor="background1"/>
                <w:sz w:val="24"/>
                <w:szCs w:val="24"/>
              </w:rPr>
            </w:pPr>
            <w:r>
              <w:rPr>
                <w:rFonts w:ascii="Arial" w:hAnsi="Arial" w:cs="Arial"/>
                <w:b/>
                <w:color w:val="FFFFFF" w:themeColor="background1"/>
                <w:sz w:val="24"/>
                <w:szCs w:val="24"/>
              </w:rPr>
              <w:lastRenderedPageBreak/>
              <w:t>Assessment</w:t>
            </w:r>
          </w:p>
        </w:tc>
      </w:tr>
    </w:tbl>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17"/>
        <w:gridCol w:w="1984"/>
        <w:gridCol w:w="2439"/>
      </w:tblGrid>
      <w:tr w:rsidR="002F7643" w:rsidRPr="002F7643" w14:paraId="0FAD8761" w14:textId="77777777" w:rsidTr="006A15A6">
        <w:tc>
          <w:tcPr>
            <w:tcW w:w="5217" w:type="dxa"/>
            <w:shd w:val="clear" w:color="auto" w:fill="D9D9D9" w:themeFill="background1" w:themeFillShade="D9"/>
            <w:vAlign w:val="center"/>
          </w:tcPr>
          <w:p w14:paraId="0BA629A8" w14:textId="77777777" w:rsidR="002F7643" w:rsidRPr="00D42AA1" w:rsidRDefault="00A25907" w:rsidP="00A25907">
            <w:pPr>
              <w:keepNext/>
              <w:autoSpaceDE w:val="0"/>
              <w:autoSpaceDN w:val="0"/>
              <w:spacing w:before="120" w:after="120" w:line="240" w:lineRule="auto"/>
              <w:ind w:left="284"/>
              <w:jc w:val="center"/>
              <w:outlineLvl w:val="2"/>
              <w:rPr>
                <w:rFonts w:ascii="Calibri" w:eastAsia="Batang" w:hAnsi="Calibri" w:cs="Calibri"/>
                <w:b/>
                <w:sz w:val="24"/>
                <w:szCs w:val="24"/>
                <w:lang w:eastAsia="ko-KR"/>
              </w:rPr>
            </w:pPr>
            <w:r>
              <w:rPr>
                <w:rFonts w:ascii="Calibri" w:eastAsia="Batang" w:hAnsi="Calibri" w:cs="Calibri"/>
                <w:b/>
                <w:sz w:val="24"/>
                <w:szCs w:val="24"/>
                <w:lang w:eastAsia="ko-KR"/>
              </w:rPr>
              <w:t>Mode of Assessment</w:t>
            </w:r>
          </w:p>
        </w:tc>
        <w:tc>
          <w:tcPr>
            <w:tcW w:w="1984" w:type="dxa"/>
            <w:shd w:val="clear" w:color="auto" w:fill="D9D9D9" w:themeFill="background1" w:themeFillShade="D9"/>
          </w:tcPr>
          <w:p w14:paraId="0098B6D3" w14:textId="77777777" w:rsidR="002F7643" w:rsidRPr="00D42AA1" w:rsidRDefault="002F7643" w:rsidP="002F7643">
            <w:pPr>
              <w:autoSpaceDE w:val="0"/>
              <w:autoSpaceDN w:val="0"/>
              <w:spacing w:before="120" w:after="120" w:line="240" w:lineRule="auto"/>
              <w:jc w:val="center"/>
              <w:rPr>
                <w:rFonts w:ascii="Calibri" w:eastAsia="Batang" w:hAnsi="Calibri" w:cs="Calibri"/>
                <w:b/>
                <w:bCs/>
                <w:sz w:val="24"/>
                <w:szCs w:val="24"/>
                <w:lang w:eastAsia="ko-KR"/>
              </w:rPr>
            </w:pPr>
            <w:r w:rsidRPr="00D42AA1">
              <w:rPr>
                <w:rFonts w:ascii="Calibri" w:eastAsia="Batang" w:hAnsi="Calibri" w:cs="Calibri"/>
                <w:b/>
                <w:bCs/>
                <w:sz w:val="24"/>
                <w:szCs w:val="24"/>
                <w:lang w:eastAsia="ko-KR"/>
              </w:rPr>
              <w:t>Length required</w:t>
            </w:r>
          </w:p>
        </w:tc>
        <w:tc>
          <w:tcPr>
            <w:tcW w:w="2439" w:type="dxa"/>
            <w:shd w:val="clear" w:color="auto" w:fill="D9D9D9" w:themeFill="background1" w:themeFillShade="D9"/>
          </w:tcPr>
          <w:p w14:paraId="7DAA773E" w14:textId="77777777" w:rsidR="002F7643" w:rsidRPr="00D42AA1" w:rsidRDefault="002F7643" w:rsidP="002F7643">
            <w:pPr>
              <w:autoSpaceDE w:val="0"/>
              <w:autoSpaceDN w:val="0"/>
              <w:spacing w:before="120" w:after="120" w:line="240" w:lineRule="auto"/>
              <w:jc w:val="center"/>
              <w:rPr>
                <w:rFonts w:ascii="Calibri" w:eastAsia="Batang" w:hAnsi="Calibri" w:cs="Calibri"/>
                <w:b/>
                <w:bCs/>
                <w:sz w:val="24"/>
                <w:szCs w:val="24"/>
                <w:lang w:eastAsia="ko-KR"/>
              </w:rPr>
            </w:pPr>
            <w:r w:rsidRPr="00D42AA1">
              <w:rPr>
                <w:rFonts w:ascii="Calibri" w:eastAsia="Batang" w:hAnsi="Calibri" w:cs="Calibri"/>
                <w:b/>
                <w:bCs/>
                <w:sz w:val="24"/>
                <w:szCs w:val="24"/>
                <w:lang w:eastAsia="ko-KR"/>
              </w:rPr>
              <w:t>Weighting within unit</w:t>
            </w:r>
          </w:p>
        </w:tc>
      </w:tr>
      <w:tr w:rsidR="002F7643" w:rsidRPr="002F7643" w14:paraId="41244109" w14:textId="77777777" w:rsidTr="00345BBB">
        <w:tc>
          <w:tcPr>
            <w:tcW w:w="5217" w:type="dxa"/>
          </w:tcPr>
          <w:tbl>
            <w:tblPr>
              <w:tblW w:w="9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60"/>
              <w:gridCol w:w="1924"/>
              <w:gridCol w:w="2410"/>
            </w:tblGrid>
            <w:tr w:rsidR="0061069A" w:rsidRPr="00903436" w14:paraId="53136318" w14:textId="77777777" w:rsidTr="00B35FDF">
              <w:tc>
                <w:tcPr>
                  <w:tcW w:w="5360" w:type="dxa"/>
                  <w:tcBorders>
                    <w:top w:val="nil"/>
                    <w:left w:val="nil"/>
                    <w:bottom w:val="nil"/>
                    <w:right w:val="nil"/>
                  </w:tcBorders>
                </w:tcPr>
                <w:p w14:paraId="0F2F4B04" w14:textId="77777777" w:rsidR="0061069A" w:rsidRPr="00903436" w:rsidRDefault="0061069A" w:rsidP="00B35FDF">
                  <w:pPr>
                    <w:spacing w:after="0" w:line="240" w:lineRule="auto"/>
                  </w:pPr>
                  <w:r w:rsidRPr="00903436">
                    <w:t>This will comprise a write up of the class exercises in the form of a journal article.</w:t>
                  </w:r>
                </w:p>
              </w:tc>
              <w:tc>
                <w:tcPr>
                  <w:tcW w:w="1924" w:type="dxa"/>
                  <w:tcBorders>
                    <w:left w:val="nil"/>
                  </w:tcBorders>
                </w:tcPr>
                <w:p w14:paraId="245D8377" w14:textId="77777777" w:rsidR="0061069A" w:rsidRPr="00903436" w:rsidRDefault="0061069A" w:rsidP="0061069A">
                  <w:r w:rsidRPr="00903436">
                    <w:t>3,500 words</w:t>
                  </w:r>
                </w:p>
              </w:tc>
              <w:tc>
                <w:tcPr>
                  <w:tcW w:w="2410" w:type="dxa"/>
                </w:tcPr>
                <w:p w14:paraId="328929BF" w14:textId="77777777" w:rsidR="0061069A" w:rsidRPr="00903436" w:rsidRDefault="0061069A" w:rsidP="0061069A">
                  <w:r w:rsidRPr="00903436">
                    <w:t>100%</w:t>
                  </w:r>
                </w:p>
              </w:tc>
            </w:tr>
          </w:tbl>
          <w:p w14:paraId="29CD8056" w14:textId="77777777" w:rsidR="002F7643" w:rsidRPr="00345BBB" w:rsidRDefault="002F7643" w:rsidP="00345BBB">
            <w:pPr>
              <w:autoSpaceDE w:val="0"/>
              <w:autoSpaceDN w:val="0"/>
              <w:spacing w:before="120" w:after="120" w:line="240" w:lineRule="auto"/>
              <w:rPr>
                <w:rFonts w:eastAsia="Batang" w:cs="Palatino Linotype"/>
                <w:color w:val="FF0000"/>
                <w:lang w:eastAsia="ko-KR"/>
              </w:rPr>
            </w:pPr>
          </w:p>
        </w:tc>
        <w:tc>
          <w:tcPr>
            <w:tcW w:w="1984" w:type="dxa"/>
          </w:tcPr>
          <w:p w14:paraId="4BC13D4E" w14:textId="77777777" w:rsidR="002F7643" w:rsidRPr="002F7643" w:rsidRDefault="002F7643" w:rsidP="002F7643">
            <w:pPr>
              <w:autoSpaceDE w:val="0"/>
              <w:autoSpaceDN w:val="0"/>
              <w:spacing w:before="120" w:after="120" w:line="240" w:lineRule="auto"/>
              <w:jc w:val="center"/>
              <w:rPr>
                <w:rFonts w:eastAsia="Batang" w:cs="Palatino Linotype"/>
                <w:lang w:eastAsia="ko-KR"/>
              </w:rPr>
            </w:pPr>
          </w:p>
        </w:tc>
        <w:tc>
          <w:tcPr>
            <w:tcW w:w="2439" w:type="dxa"/>
          </w:tcPr>
          <w:p w14:paraId="4F59BFEA" w14:textId="77777777" w:rsidR="002F7643" w:rsidRPr="002F7643" w:rsidRDefault="002F7643" w:rsidP="002F7643">
            <w:pPr>
              <w:autoSpaceDE w:val="0"/>
              <w:autoSpaceDN w:val="0"/>
              <w:spacing w:before="120" w:after="120" w:line="240" w:lineRule="auto"/>
              <w:jc w:val="center"/>
              <w:rPr>
                <w:rFonts w:eastAsia="Batang" w:cs="Palatino Linotype"/>
                <w:lang w:eastAsia="ko-KR"/>
              </w:rPr>
            </w:pPr>
          </w:p>
        </w:tc>
      </w:tr>
      <w:tr w:rsidR="002F7643" w:rsidRPr="002F7643" w14:paraId="19518292" w14:textId="77777777" w:rsidTr="00345BBB">
        <w:tc>
          <w:tcPr>
            <w:tcW w:w="5217" w:type="dxa"/>
          </w:tcPr>
          <w:p w14:paraId="26DFC59F" w14:textId="77777777" w:rsidR="001B624E" w:rsidRPr="001D10D2" w:rsidRDefault="001B624E" w:rsidP="001B624E">
            <w:pPr>
              <w:autoSpaceDE w:val="0"/>
              <w:autoSpaceDN w:val="0"/>
              <w:spacing w:before="120" w:after="120" w:line="240" w:lineRule="auto"/>
              <w:rPr>
                <w:rFonts w:eastAsia="Batang" w:cs="Palatino Linotype"/>
                <w:b/>
                <w:lang w:eastAsia="ko-KR"/>
              </w:rPr>
            </w:pPr>
            <w:r w:rsidRPr="001D10D2">
              <w:rPr>
                <w:b/>
              </w:rPr>
              <w:t>Assessment is for those requiring unit credits (please make this clear to the tutor at the start of the elective)</w:t>
            </w:r>
          </w:p>
          <w:p w14:paraId="71AD25F2" w14:textId="77777777" w:rsidR="003926BA" w:rsidRDefault="003926BA" w:rsidP="00A25907">
            <w:pPr>
              <w:spacing w:after="0" w:line="240" w:lineRule="auto"/>
              <w:rPr>
                <w:rFonts w:eastAsia="Batang" w:cs="Palatino Linotype"/>
                <w:b/>
                <w:lang w:eastAsia="ko-KR"/>
              </w:rPr>
            </w:pPr>
          </w:p>
          <w:p w14:paraId="1A95B62B" w14:textId="77777777" w:rsidR="003926BA" w:rsidRDefault="003926BA" w:rsidP="00A25907">
            <w:pPr>
              <w:spacing w:after="0" w:line="240" w:lineRule="auto"/>
              <w:rPr>
                <w:rFonts w:eastAsia="Batang" w:cs="Palatino Linotype"/>
                <w:b/>
                <w:lang w:eastAsia="ko-KR"/>
              </w:rPr>
            </w:pPr>
          </w:p>
          <w:p w14:paraId="7C7A4FD5" w14:textId="77777777" w:rsidR="002F7643" w:rsidRDefault="0061069A" w:rsidP="00A25907">
            <w:pPr>
              <w:spacing w:after="0" w:line="240" w:lineRule="auto"/>
              <w:rPr>
                <w:rFonts w:eastAsia="Batang" w:cs="Palatino Linotype"/>
                <w:b/>
                <w:lang w:eastAsia="ko-KR"/>
              </w:rPr>
            </w:pPr>
            <w:r>
              <w:rPr>
                <w:rFonts w:eastAsia="Batang" w:cs="Palatino Linotype"/>
                <w:b/>
                <w:lang w:eastAsia="ko-KR"/>
              </w:rPr>
              <w:t>Coursework</w:t>
            </w:r>
          </w:p>
          <w:p w14:paraId="668F2287" w14:textId="0D864251" w:rsidR="003D3BBC" w:rsidRDefault="003D3BBC" w:rsidP="003D3BBC">
            <w:pPr>
              <w:pStyle w:val="CommentText"/>
            </w:pPr>
            <w:r>
              <w:t xml:space="preserve">PGRs may take this elective as a stand-alone assessed 5 credit module. In which case they will complete a 1500 word assignment based on EFA. If this elective is taken alongside multiple regression then please see that outline for guidance on the 10 credit assessment. If the three electives are taken together then PGRs should see the SEM outline for the 15 credit guidance. </w:t>
            </w:r>
          </w:p>
          <w:p w14:paraId="1CC601EB" w14:textId="77777777" w:rsidR="00414AF0" w:rsidRPr="00D42AA1" w:rsidRDefault="00414AF0" w:rsidP="003926BA">
            <w:pPr>
              <w:spacing w:after="0" w:line="240" w:lineRule="auto"/>
              <w:rPr>
                <w:color w:val="FF0000"/>
              </w:rPr>
            </w:pPr>
          </w:p>
        </w:tc>
        <w:tc>
          <w:tcPr>
            <w:tcW w:w="1984" w:type="dxa"/>
          </w:tcPr>
          <w:p w14:paraId="734455A1" w14:textId="77777777" w:rsidR="00384580" w:rsidRDefault="00384580" w:rsidP="002F7643">
            <w:pPr>
              <w:autoSpaceDE w:val="0"/>
              <w:autoSpaceDN w:val="0"/>
              <w:spacing w:before="120" w:after="120" w:line="240" w:lineRule="auto"/>
              <w:jc w:val="center"/>
            </w:pPr>
          </w:p>
          <w:p w14:paraId="1F9609B6" w14:textId="77777777" w:rsidR="001B624E" w:rsidRDefault="001B624E" w:rsidP="002F7643">
            <w:pPr>
              <w:autoSpaceDE w:val="0"/>
              <w:autoSpaceDN w:val="0"/>
              <w:spacing w:before="120" w:after="120" w:line="240" w:lineRule="auto"/>
              <w:jc w:val="center"/>
            </w:pPr>
          </w:p>
          <w:p w14:paraId="59FF4749" w14:textId="77777777" w:rsidR="001B624E" w:rsidRDefault="001B624E" w:rsidP="002F7643">
            <w:pPr>
              <w:autoSpaceDE w:val="0"/>
              <w:autoSpaceDN w:val="0"/>
              <w:spacing w:before="120" w:after="120" w:line="240" w:lineRule="auto"/>
              <w:jc w:val="center"/>
            </w:pPr>
          </w:p>
          <w:p w14:paraId="315E8FE4" w14:textId="77777777" w:rsidR="001B624E" w:rsidRDefault="001B624E" w:rsidP="002F7643">
            <w:pPr>
              <w:autoSpaceDE w:val="0"/>
              <w:autoSpaceDN w:val="0"/>
              <w:spacing w:before="120" w:after="120" w:line="240" w:lineRule="auto"/>
              <w:jc w:val="center"/>
            </w:pPr>
          </w:p>
          <w:p w14:paraId="13C2E58A" w14:textId="0FE4F75E" w:rsidR="002F7643" w:rsidRPr="002F7643" w:rsidRDefault="003D3BBC" w:rsidP="002F7643">
            <w:pPr>
              <w:autoSpaceDE w:val="0"/>
              <w:autoSpaceDN w:val="0"/>
              <w:spacing w:before="120" w:after="120" w:line="240" w:lineRule="auto"/>
              <w:jc w:val="center"/>
              <w:rPr>
                <w:rFonts w:eastAsia="Batang" w:cs="Palatino Linotype"/>
                <w:lang w:eastAsia="ko-KR"/>
              </w:rPr>
            </w:pPr>
            <w:r>
              <w:t>1</w:t>
            </w:r>
            <w:r w:rsidR="00384580" w:rsidRPr="00903436">
              <w:t>,500 words</w:t>
            </w:r>
          </w:p>
        </w:tc>
        <w:tc>
          <w:tcPr>
            <w:tcW w:w="2439" w:type="dxa"/>
          </w:tcPr>
          <w:p w14:paraId="36EC8C17" w14:textId="77777777" w:rsidR="00384580" w:rsidRDefault="00384580" w:rsidP="002F7643">
            <w:pPr>
              <w:autoSpaceDE w:val="0"/>
              <w:autoSpaceDN w:val="0"/>
              <w:spacing w:before="120" w:after="120" w:line="240" w:lineRule="auto"/>
              <w:jc w:val="center"/>
              <w:rPr>
                <w:rFonts w:eastAsia="Batang" w:cs="Palatino Linotype"/>
                <w:lang w:eastAsia="ko-KR"/>
              </w:rPr>
            </w:pPr>
          </w:p>
          <w:p w14:paraId="2BC72799" w14:textId="77777777" w:rsidR="001B624E" w:rsidRDefault="001B624E" w:rsidP="002F7643">
            <w:pPr>
              <w:autoSpaceDE w:val="0"/>
              <w:autoSpaceDN w:val="0"/>
              <w:spacing w:before="120" w:after="120" w:line="240" w:lineRule="auto"/>
              <w:jc w:val="center"/>
              <w:rPr>
                <w:rFonts w:eastAsia="Batang" w:cs="Palatino Linotype"/>
                <w:lang w:eastAsia="ko-KR"/>
              </w:rPr>
            </w:pPr>
          </w:p>
          <w:p w14:paraId="1246D8E0" w14:textId="77777777" w:rsidR="001B624E" w:rsidRDefault="001B624E" w:rsidP="002F7643">
            <w:pPr>
              <w:autoSpaceDE w:val="0"/>
              <w:autoSpaceDN w:val="0"/>
              <w:spacing w:before="120" w:after="120" w:line="240" w:lineRule="auto"/>
              <w:jc w:val="center"/>
              <w:rPr>
                <w:rFonts w:eastAsia="Batang" w:cs="Palatino Linotype"/>
                <w:lang w:eastAsia="ko-KR"/>
              </w:rPr>
            </w:pPr>
          </w:p>
          <w:p w14:paraId="42FAB702" w14:textId="77777777" w:rsidR="001B624E" w:rsidRDefault="001B624E" w:rsidP="002F7643">
            <w:pPr>
              <w:autoSpaceDE w:val="0"/>
              <w:autoSpaceDN w:val="0"/>
              <w:spacing w:before="120" w:after="120" w:line="240" w:lineRule="auto"/>
              <w:jc w:val="center"/>
              <w:rPr>
                <w:rFonts w:eastAsia="Batang" w:cs="Palatino Linotype"/>
                <w:lang w:eastAsia="ko-KR"/>
              </w:rPr>
            </w:pPr>
          </w:p>
          <w:p w14:paraId="274B92F5" w14:textId="77777777" w:rsidR="002F7643" w:rsidRPr="002F7643" w:rsidRDefault="00384580" w:rsidP="002F7643">
            <w:pPr>
              <w:autoSpaceDE w:val="0"/>
              <w:autoSpaceDN w:val="0"/>
              <w:spacing w:before="120" w:after="120" w:line="240" w:lineRule="auto"/>
              <w:jc w:val="center"/>
              <w:rPr>
                <w:rFonts w:eastAsia="Batang" w:cs="Palatino Linotype"/>
                <w:lang w:eastAsia="ko-KR"/>
              </w:rPr>
            </w:pPr>
            <w:r>
              <w:rPr>
                <w:rFonts w:eastAsia="Batang" w:cs="Palatino Linotype"/>
                <w:lang w:eastAsia="ko-KR"/>
              </w:rPr>
              <w:t>100%</w:t>
            </w:r>
          </w:p>
        </w:tc>
      </w:tr>
    </w:tbl>
    <w:tbl>
      <w:tblPr>
        <w:tblStyle w:val="TableGrid"/>
        <w:tblW w:w="9640" w:type="dxa"/>
        <w:tblInd w:w="-147" w:type="dxa"/>
        <w:tblLook w:val="04A0" w:firstRow="1" w:lastRow="0" w:firstColumn="1" w:lastColumn="0" w:noHBand="0" w:noVBand="1"/>
      </w:tblPr>
      <w:tblGrid>
        <w:gridCol w:w="9640"/>
      </w:tblGrid>
      <w:tr w:rsidR="009526CA" w:rsidRPr="004003EA" w14:paraId="244293E5" w14:textId="77777777" w:rsidTr="00345BBB">
        <w:tc>
          <w:tcPr>
            <w:tcW w:w="9640" w:type="dxa"/>
            <w:shd w:val="clear" w:color="auto" w:fill="7030A0"/>
          </w:tcPr>
          <w:p w14:paraId="670ACC0A" w14:textId="77777777" w:rsidR="009526CA" w:rsidRPr="004003EA" w:rsidRDefault="009526CA" w:rsidP="003A0F8F">
            <w:pPr>
              <w:rPr>
                <w:rFonts w:ascii="Arial" w:hAnsi="Arial" w:cs="Arial"/>
                <w:b/>
                <w:color w:val="FFFFFF" w:themeColor="background1"/>
                <w:sz w:val="24"/>
                <w:szCs w:val="24"/>
              </w:rPr>
            </w:pPr>
            <w:r>
              <w:rPr>
                <w:rFonts w:ascii="Arial" w:hAnsi="Arial" w:cs="Arial"/>
                <w:b/>
                <w:color w:val="FFFFFF" w:themeColor="background1"/>
                <w:sz w:val="24"/>
                <w:szCs w:val="24"/>
              </w:rPr>
              <w:t>Feedback</w:t>
            </w:r>
            <w:r w:rsidR="00A25907">
              <w:rPr>
                <w:rFonts w:ascii="Arial" w:hAnsi="Arial" w:cs="Arial"/>
                <w:b/>
                <w:color w:val="FFFFFF" w:themeColor="background1"/>
                <w:sz w:val="24"/>
                <w:szCs w:val="24"/>
              </w:rPr>
              <w:t xml:space="preserve"> methods</w:t>
            </w:r>
          </w:p>
        </w:tc>
      </w:tr>
      <w:tr w:rsidR="00A25907" w14:paraId="44B00D7D" w14:textId="77777777" w:rsidTr="00345BBB">
        <w:tc>
          <w:tcPr>
            <w:tcW w:w="9640" w:type="dxa"/>
          </w:tcPr>
          <w:p w14:paraId="29308020" w14:textId="3C49BAA0" w:rsidR="00A25907" w:rsidRDefault="000D0C9E" w:rsidP="004003EA">
            <w:pPr>
              <w:rPr>
                <w:rFonts w:ascii="Arial" w:hAnsi="Arial" w:cs="Arial"/>
                <w:b/>
                <w:color w:val="FF0000"/>
                <w:sz w:val="24"/>
                <w:szCs w:val="24"/>
              </w:rPr>
            </w:pPr>
            <w:r>
              <w:rPr>
                <w:rFonts w:ascii="Calibri" w:hAnsi="Calibri" w:cs="Calibri"/>
                <w:szCs w:val="24"/>
              </w:rPr>
              <w:t>PG</w:t>
            </w:r>
            <w:r w:rsidR="0087569E">
              <w:rPr>
                <w:rFonts w:ascii="Calibri" w:hAnsi="Calibri" w:cs="Calibri"/>
                <w:szCs w:val="24"/>
              </w:rPr>
              <w:t>R</w:t>
            </w:r>
            <w:r>
              <w:rPr>
                <w:rFonts w:ascii="Calibri" w:hAnsi="Calibri" w:cs="Calibri"/>
                <w:szCs w:val="24"/>
              </w:rPr>
              <w:t>s</w:t>
            </w:r>
            <w:r w:rsidRPr="003611BA">
              <w:rPr>
                <w:rFonts w:ascii="Calibri" w:hAnsi="Calibri" w:cs="Calibri"/>
                <w:szCs w:val="24"/>
              </w:rPr>
              <w:t xml:space="preserve"> </w:t>
            </w:r>
            <w:r w:rsidR="0061069A" w:rsidRPr="003611BA">
              <w:rPr>
                <w:rFonts w:ascii="Calibri" w:hAnsi="Calibri" w:cs="Calibri"/>
                <w:szCs w:val="24"/>
              </w:rPr>
              <w:t>are encouraged to express any constructive comments or to</w:t>
            </w:r>
            <w:r w:rsidR="0061069A">
              <w:rPr>
                <w:rFonts w:ascii="Calibri" w:hAnsi="Calibri" w:cs="Calibri"/>
                <w:szCs w:val="24"/>
              </w:rPr>
              <w:t xml:space="preserve"> seek help and </w:t>
            </w:r>
            <w:r w:rsidR="0061069A" w:rsidRPr="003611BA">
              <w:rPr>
                <w:rFonts w:ascii="Calibri" w:hAnsi="Calibri" w:cs="Calibri"/>
                <w:szCs w:val="24"/>
              </w:rPr>
              <w:t>advice from the individual lecturers involved. At the end</w:t>
            </w:r>
            <w:r w:rsidR="0061069A">
              <w:rPr>
                <w:rFonts w:ascii="Calibri" w:hAnsi="Calibri" w:cs="Calibri"/>
                <w:szCs w:val="24"/>
              </w:rPr>
              <w:t xml:space="preserve"> </w:t>
            </w:r>
            <w:r w:rsidR="0061069A" w:rsidRPr="003611BA">
              <w:rPr>
                <w:rFonts w:ascii="Calibri" w:hAnsi="Calibri" w:cs="Calibri"/>
                <w:szCs w:val="24"/>
              </w:rPr>
              <w:t xml:space="preserve">of the semester there will be the opportunity to give feedback on the course </w:t>
            </w:r>
            <w:r w:rsidR="0061069A">
              <w:rPr>
                <w:rFonts w:ascii="Calibri" w:hAnsi="Calibri" w:cs="Calibri"/>
                <w:szCs w:val="24"/>
              </w:rPr>
              <w:t xml:space="preserve">by means of a feedback </w:t>
            </w:r>
            <w:r w:rsidR="0061069A" w:rsidRPr="003611BA">
              <w:rPr>
                <w:rFonts w:ascii="Calibri" w:hAnsi="Calibri" w:cs="Calibri"/>
                <w:szCs w:val="24"/>
              </w:rPr>
              <w:t>questionnaire.</w:t>
            </w:r>
            <w:r w:rsidR="0061069A">
              <w:rPr>
                <w:rFonts w:ascii="Calibri" w:hAnsi="Calibri" w:cs="Calibri"/>
                <w:szCs w:val="24"/>
              </w:rPr>
              <w:t xml:space="preserve"> In addition there will be a group presentation in which both </w:t>
            </w:r>
            <w:r w:rsidR="0087569E">
              <w:rPr>
                <w:rFonts w:ascii="Calibri" w:hAnsi="Calibri" w:cs="Calibri"/>
                <w:szCs w:val="24"/>
              </w:rPr>
              <w:t xml:space="preserve">PGRs </w:t>
            </w:r>
            <w:r w:rsidR="0061069A">
              <w:rPr>
                <w:rFonts w:ascii="Calibri" w:hAnsi="Calibri" w:cs="Calibri"/>
                <w:szCs w:val="24"/>
              </w:rPr>
              <w:t xml:space="preserve">and staff will provide constructive feedback. For the coursework, there is a standard template which specifies the exact criteria used to assess the coursework. At the end of the course an exemplary piece of coursework will be posted on Blackboard. </w:t>
            </w:r>
          </w:p>
        </w:tc>
      </w:tr>
    </w:tbl>
    <w:p w14:paraId="3102414A" w14:textId="77777777" w:rsidR="009526CA" w:rsidRPr="00290A4D" w:rsidRDefault="009526CA" w:rsidP="00D42AA1">
      <w:pPr>
        <w:spacing w:after="0" w:line="240" w:lineRule="auto"/>
        <w:ind w:left="-142" w:right="-188"/>
        <w:rPr>
          <w:rFonts w:ascii="Arial" w:hAnsi="Arial" w:cs="Arial"/>
          <w:b/>
          <w:color w:val="FF0000"/>
          <w:sz w:val="24"/>
          <w:szCs w:val="24"/>
        </w:rPr>
      </w:pPr>
      <w:r w:rsidRPr="00290A4D">
        <w:rPr>
          <w:color w:val="FF0000"/>
        </w:rPr>
        <w:t xml:space="preserve"> </w:t>
      </w:r>
    </w:p>
    <w:sectPr w:rsidR="009526CA" w:rsidRPr="00290A4D" w:rsidSect="00D42AA1">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D2F8CBA" w16cid:durableId="22E69CC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AF9F7C" w14:textId="77777777" w:rsidR="00A157C8" w:rsidRDefault="00A157C8" w:rsidP="00A678DF">
      <w:pPr>
        <w:spacing w:after="0" w:line="240" w:lineRule="auto"/>
      </w:pPr>
      <w:r>
        <w:separator/>
      </w:r>
    </w:p>
  </w:endnote>
  <w:endnote w:type="continuationSeparator" w:id="0">
    <w:p w14:paraId="4309DC19" w14:textId="77777777" w:rsidR="00A157C8" w:rsidRDefault="00A157C8" w:rsidP="00A678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atang">
    <w:altName w:val="바탕"/>
    <w:panose1 w:val="02030600000101010101"/>
    <w:charset w:val="81"/>
    <w:family w:val="roman"/>
    <w:notTrueType/>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EB7FB5" w14:textId="77777777" w:rsidR="003B65E5" w:rsidRDefault="003B65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E7604F" w14:textId="77777777" w:rsidR="003B65E5" w:rsidRDefault="003B65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79A58E" w14:textId="77777777" w:rsidR="003B65E5" w:rsidRDefault="003B65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610234" w14:textId="77777777" w:rsidR="00A157C8" w:rsidRDefault="00A157C8" w:rsidP="00A678DF">
      <w:pPr>
        <w:spacing w:after="0" w:line="240" w:lineRule="auto"/>
      </w:pPr>
      <w:r>
        <w:separator/>
      </w:r>
    </w:p>
  </w:footnote>
  <w:footnote w:type="continuationSeparator" w:id="0">
    <w:p w14:paraId="71C49C2E" w14:textId="77777777" w:rsidR="00A157C8" w:rsidRDefault="00A157C8" w:rsidP="00A678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7E15C5" w14:textId="77777777" w:rsidR="003B65E5" w:rsidRDefault="003B65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86C924" w14:textId="77777777" w:rsidR="003B65E5" w:rsidRDefault="003B65E5" w:rsidP="003B65E5">
    <w:pPr>
      <w:pStyle w:val="Header"/>
      <w:rPr>
        <w:rFonts w:ascii="Arial" w:hAnsi="Arial" w:cs="Arial"/>
        <w:b/>
      </w:rPr>
    </w:pPr>
    <w:r>
      <w:rPr>
        <w:noProof/>
        <w:lang w:eastAsia="en-GB"/>
      </w:rPr>
      <w:drawing>
        <wp:inline distT="0" distB="0" distL="0" distR="0" wp14:anchorId="501892C0" wp14:editId="59C29FFF">
          <wp:extent cx="1581150" cy="657225"/>
          <wp:effectExtent l="0" t="0" r="0" b="9525"/>
          <wp:docPr id="2" name="Picture 3" descr="The University of Manchester" title="University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The University of Manchester">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1150" cy="657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14:paraId="7ADF2F75" w14:textId="77777777" w:rsidR="003B65E5" w:rsidRDefault="003B65E5" w:rsidP="003B65E5">
    <w:pPr>
      <w:pStyle w:val="Header"/>
      <w:rPr>
        <w:rFonts w:ascii="Arial" w:hAnsi="Arial" w:cs="Arial"/>
        <w:b/>
      </w:rPr>
    </w:pPr>
  </w:p>
  <w:p w14:paraId="5F2CA359" w14:textId="77777777" w:rsidR="00A678DF" w:rsidRDefault="003B65E5" w:rsidP="003B65E5">
    <w:pPr>
      <w:pStyle w:val="Header"/>
      <w:rPr>
        <w:rFonts w:ascii="Arial" w:hAnsi="Arial" w:cs="Arial"/>
        <w:b/>
      </w:rPr>
    </w:pPr>
    <w:r>
      <w:rPr>
        <w:rFonts w:ascii="Arial" w:hAnsi="Arial" w:cs="Arial"/>
        <w:b/>
      </w:rPr>
      <w:tab/>
    </w:r>
    <w:r w:rsidR="00A678DF">
      <w:rPr>
        <w:rFonts w:ascii="Arial" w:hAnsi="Arial" w:cs="Arial"/>
        <w:b/>
      </w:rPr>
      <w:t>Alliance Manchester Business School</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651F96" w14:textId="77777777" w:rsidR="003B65E5" w:rsidRDefault="003B65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4615C6"/>
    <w:multiLevelType w:val="hybridMultilevel"/>
    <w:tmpl w:val="DDD0F560"/>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84F6DD3"/>
    <w:multiLevelType w:val="hybridMultilevel"/>
    <w:tmpl w:val="F5D81ACA"/>
    <w:lvl w:ilvl="0" w:tplc="04090001">
      <w:start w:val="1"/>
      <w:numFmt w:val="bullet"/>
      <w:lvlText w:val=""/>
      <w:lvlJc w:val="left"/>
      <w:pPr>
        <w:ind w:left="90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B9866BB"/>
    <w:multiLevelType w:val="hybridMultilevel"/>
    <w:tmpl w:val="AAA8901A"/>
    <w:lvl w:ilvl="0" w:tplc="08090001">
      <w:start w:val="1"/>
      <w:numFmt w:val="bullet"/>
      <w:lvlText w:val=""/>
      <w:lvlJc w:val="left"/>
      <w:pPr>
        <w:ind w:left="1125" w:hanging="360"/>
      </w:pPr>
      <w:rPr>
        <w:rFonts w:ascii="Symbol" w:hAnsi="Symbo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3" w15:restartNumberingAfterBreak="0">
    <w:nsid w:val="4A612D7B"/>
    <w:multiLevelType w:val="hybridMultilevel"/>
    <w:tmpl w:val="F2FC645E"/>
    <w:lvl w:ilvl="0" w:tplc="04090001">
      <w:start w:val="1"/>
      <w:numFmt w:val="bullet"/>
      <w:lvlText w:val=""/>
      <w:lvlJc w:val="left"/>
      <w:pPr>
        <w:ind w:left="90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0702056"/>
    <w:multiLevelType w:val="hybridMultilevel"/>
    <w:tmpl w:val="6DDC18CA"/>
    <w:lvl w:ilvl="0" w:tplc="08090001">
      <w:start w:val="1"/>
      <w:numFmt w:val="bullet"/>
      <w:lvlText w:val=""/>
      <w:lvlJc w:val="left"/>
      <w:pPr>
        <w:tabs>
          <w:tab w:val="num" w:pos="936"/>
        </w:tabs>
        <w:ind w:left="936" w:hanging="360"/>
      </w:pPr>
      <w:rPr>
        <w:rFonts w:ascii="Symbol" w:hAnsi="Symbol" w:cs="Symbol" w:hint="default"/>
      </w:rPr>
    </w:lvl>
    <w:lvl w:ilvl="1" w:tplc="08090003">
      <w:start w:val="1"/>
      <w:numFmt w:val="bullet"/>
      <w:lvlText w:val="o"/>
      <w:lvlJc w:val="left"/>
      <w:pPr>
        <w:tabs>
          <w:tab w:val="num" w:pos="1656"/>
        </w:tabs>
        <w:ind w:left="1656" w:hanging="360"/>
      </w:pPr>
      <w:rPr>
        <w:rFonts w:ascii="Courier New" w:hAnsi="Courier New" w:cs="Courier New" w:hint="default"/>
      </w:rPr>
    </w:lvl>
    <w:lvl w:ilvl="2" w:tplc="08090005">
      <w:start w:val="1"/>
      <w:numFmt w:val="bullet"/>
      <w:lvlText w:val=""/>
      <w:lvlJc w:val="left"/>
      <w:pPr>
        <w:tabs>
          <w:tab w:val="num" w:pos="2376"/>
        </w:tabs>
        <w:ind w:left="2376" w:hanging="360"/>
      </w:pPr>
      <w:rPr>
        <w:rFonts w:ascii="Wingdings" w:hAnsi="Wingdings" w:cs="Wingdings" w:hint="default"/>
      </w:rPr>
    </w:lvl>
    <w:lvl w:ilvl="3" w:tplc="08090001">
      <w:start w:val="1"/>
      <w:numFmt w:val="bullet"/>
      <w:lvlText w:val=""/>
      <w:lvlJc w:val="left"/>
      <w:pPr>
        <w:tabs>
          <w:tab w:val="num" w:pos="3096"/>
        </w:tabs>
        <w:ind w:left="3096" w:hanging="360"/>
      </w:pPr>
      <w:rPr>
        <w:rFonts w:ascii="Symbol" w:hAnsi="Symbol" w:cs="Symbol" w:hint="default"/>
      </w:rPr>
    </w:lvl>
    <w:lvl w:ilvl="4" w:tplc="08090003">
      <w:start w:val="1"/>
      <w:numFmt w:val="bullet"/>
      <w:lvlText w:val="o"/>
      <w:lvlJc w:val="left"/>
      <w:pPr>
        <w:tabs>
          <w:tab w:val="num" w:pos="3816"/>
        </w:tabs>
        <w:ind w:left="3816" w:hanging="360"/>
      </w:pPr>
      <w:rPr>
        <w:rFonts w:ascii="Courier New" w:hAnsi="Courier New" w:cs="Courier New" w:hint="default"/>
      </w:rPr>
    </w:lvl>
    <w:lvl w:ilvl="5" w:tplc="08090005">
      <w:start w:val="1"/>
      <w:numFmt w:val="bullet"/>
      <w:lvlText w:val=""/>
      <w:lvlJc w:val="left"/>
      <w:pPr>
        <w:tabs>
          <w:tab w:val="num" w:pos="4536"/>
        </w:tabs>
        <w:ind w:left="4536" w:hanging="360"/>
      </w:pPr>
      <w:rPr>
        <w:rFonts w:ascii="Wingdings" w:hAnsi="Wingdings" w:cs="Wingdings" w:hint="default"/>
      </w:rPr>
    </w:lvl>
    <w:lvl w:ilvl="6" w:tplc="08090001">
      <w:start w:val="1"/>
      <w:numFmt w:val="bullet"/>
      <w:lvlText w:val=""/>
      <w:lvlJc w:val="left"/>
      <w:pPr>
        <w:tabs>
          <w:tab w:val="num" w:pos="5256"/>
        </w:tabs>
        <w:ind w:left="5256" w:hanging="360"/>
      </w:pPr>
      <w:rPr>
        <w:rFonts w:ascii="Symbol" w:hAnsi="Symbol" w:cs="Symbol" w:hint="default"/>
      </w:rPr>
    </w:lvl>
    <w:lvl w:ilvl="7" w:tplc="08090003">
      <w:start w:val="1"/>
      <w:numFmt w:val="bullet"/>
      <w:lvlText w:val="o"/>
      <w:lvlJc w:val="left"/>
      <w:pPr>
        <w:tabs>
          <w:tab w:val="num" w:pos="5976"/>
        </w:tabs>
        <w:ind w:left="5976" w:hanging="360"/>
      </w:pPr>
      <w:rPr>
        <w:rFonts w:ascii="Courier New" w:hAnsi="Courier New" w:cs="Courier New" w:hint="default"/>
      </w:rPr>
    </w:lvl>
    <w:lvl w:ilvl="8" w:tplc="08090005">
      <w:start w:val="1"/>
      <w:numFmt w:val="bullet"/>
      <w:lvlText w:val=""/>
      <w:lvlJc w:val="left"/>
      <w:pPr>
        <w:tabs>
          <w:tab w:val="num" w:pos="6696"/>
        </w:tabs>
        <w:ind w:left="6696" w:hanging="360"/>
      </w:pPr>
      <w:rPr>
        <w:rFonts w:ascii="Wingdings" w:hAnsi="Wingdings" w:cs="Wingdings" w:hint="default"/>
      </w:rPr>
    </w:lvl>
  </w:abstractNum>
  <w:abstractNum w:abstractNumId="5" w15:restartNumberingAfterBreak="0">
    <w:nsid w:val="5BF0564C"/>
    <w:multiLevelType w:val="hybridMultilevel"/>
    <w:tmpl w:val="74D20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8DF"/>
    <w:rsid w:val="00003E4A"/>
    <w:rsid w:val="000C56BC"/>
    <w:rsid w:val="000D0C9E"/>
    <w:rsid w:val="00193A43"/>
    <w:rsid w:val="001B624E"/>
    <w:rsid w:val="001D4C9F"/>
    <w:rsid w:val="00290A4D"/>
    <w:rsid w:val="002F7643"/>
    <w:rsid w:val="00303944"/>
    <w:rsid w:val="00332591"/>
    <w:rsid w:val="003344E5"/>
    <w:rsid w:val="00345BBB"/>
    <w:rsid w:val="00347F27"/>
    <w:rsid w:val="00384580"/>
    <w:rsid w:val="003926BA"/>
    <w:rsid w:val="00396F3E"/>
    <w:rsid w:val="003B65E5"/>
    <w:rsid w:val="003D3BBC"/>
    <w:rsid w:val="003E0908"/>
    <w:rsid w:val="004003EA"/>
    <w:rsid w:val="00411312"/>
    <w:rsid w:val="004125C5"/>
    <w:rsid w:val="00414AF0"/>
    <w:rsid w:val="004274AD"/>
    <w:rsid w:val="004B1E88"/>
    <w:rsid w:val="00536D49"/>
    <w:rsid w:val="0056006D"/>
    <w:rsid w:val="00591BAF"/>
    <w:rsid w:val="0061069A"/>
    <w:rsid w:val="00622D16"/>
    <w:rsid w:val="0063304D"/>
    <w:rsid w:val="00676A0E"/>
    <w:rsid w:val="006A15A6"/>
    <w:rsid w:val="006B2ECC"/>
    <w:rsid w:val="00717826"/>
    <w:rsid w:val="007420AC"/>
    <w:rsid w:val="00746B0D"/>
    <w:rsid w:val="0079253C"/>
    <w:rsid w:val="008139C6"/>
    <w:rsid w:val="0087569E"/>
    <w:rsid w:val="008B64AE"/>
    <w:rsid w:val="008E4CE3"/>
    <w:rsid w:val="008F0295"/>
    <w:rsid w:val="008F6278"/>
    <w:rsid w:val="009075AE"/>
    <w:rsid w:val="009526CA"/>
    <w:rsid w:val="0099715A"/>
    <w:rsid w:val="009A0B09"/>
    <w:rsid w:val="009A2688"/>
    <w:rsid w:val="00A157C8"/>
    <w:rsid w:val="00A25907"/>
    <w:rsid w:val="00A678DF"/>
    <w:rsid w:val="00AA2E20"/>
    <w:rsid w:val="00B274A6"/>
    <w:rsid w:val="00B35FDF"/>
    <w:rsid w:val="00B46E87"/>
    <w:rsid w:val="00B76C82"/>
    <w:rsid w:val="00BC4684"/>
    <w:rsid w:val="00C7344D"/>
    <w:rsid w:val="00CF3EFD"/>
    <w:rsid w:val="00CF4DA9"/>
    <w:rsid w:val="00D42AA1"/>
    <w:rsid w:val="00D52A0A"/>
    <w:rsid w:val="00D57CBE"/>
    <w:rsid w:val="00DE6D09"/>
    <w:rsid w:val="00E25F37"/>
    <w:rsid w:val="00E40F21"/>
    <w:rsid w:val="00EB7A93"/>
    <w:rsid w:val="00EC0794"/>
    <w:rsid w:val="00F429F4"/>
    <w:rsid w:val="00F824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43D6D"/>
  <w15:docId w15:val="{B0443118-E4E4-4619-AC55-37B555557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78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78DF"/>
  </w:style>
  <w:style w:type="paragraph" w:styleId="Footer">
    <w:name w:val="footer"/>
    <w:basedOn w:val="Normal"/>
    <w:link w:val="FooterChar"/>
    <w:uiPriority w:val="99"/>
    <w:unhideWhenUsed/>
    <w:rsid w:val="00A678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78DF"/>
  </w:style>
  <w:style w:type="table" w:styleId="TableGrid">
    <w:name w:val="Table Grid"/>
    <w:basedOn w:val="TableNormal"/>
    <w:uiPriority w:val="59"/>
    <w:rsid w:val="004003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2F7643"/>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rsid w:val="00DE6D09"/>
    <w:pPr>
      <w:spacing w:after="120" w:line="240" w:lineRule="auto"/>
      <w:ind w:left="283"/>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uiPriority w:val="99"/>
    <w:rsid w:val="00DE6D09"/>
    <w:rPr>
      <w:rFonts w:ascii="Times New Roman" w:eastAsia="Times New Roman" w:hAnsi="Times New Roman" w:cs="Times New Roman"/>
      <w:sz w:val="24"/>
      <w:szCs w:val="20"/>
    </w:rPr>
  </w:style>
  <w:style w:type="paragraph" w:customStyle="1" w:styleId="References">
    <w:name w:val="References"/>
    <w:basedOn w:val="Normal"/>
    <w:uiPriority w:val="99"/>
    <w:rsid w:val="00DE6D09"/>
    <w:pPr>
      <w:spacing w:after="120" w:line="240" w:lineRule="auto"/>
      <w:ind w:left="340" w:hanging="340"/>
      <w:jc w:val="both"/>
    </w:pPr>
    <w:rPr>
      <w:rFonts w:ascii="Times New Roman" w:eastAsia="Times New Roman" w:hAnsi="Times New Roman" w:cs="Times New Roman"/>
      <w:sz w:val="24"/>
      <w:szCs w:val="24"/>
    </w:rPr>
  </w:style>
  <w:style w:type="paragraph" w:styleId="ListParagraph">
    <w:name w:val="List Paragraph"/>
    <w:basedOn w:val="Normal"/>
    <w:uiPriority w:val="34"/>
    <w:qFormat/>
    <w:rsid w:val="00F82445"/>
    <w:pPr>
      <w:spacing w:after="0" w:line="240" w:lineRule="auto"/>
      <w:ind w:left="720"/>
      <w:contextualSpacing/>
    </w:pPr>
    <w:rPr>
      <w:rFonts w:ascii="Times New Roman" w:eastAsia="Times New Roman" w:hAnsi="Times New Roman" w:cs="Times New Roman"/>
      <w:sz w:val="24"/>
      <w:szCs w:val="20"/>
    </w:rPr>
  </w:style>
  <w:style w:type="character" w:styleId="Emphasis">
    <w:name w:val="Emphasis"/>
    <w:basedOn w:val="DefaultParagraphFont"/>
    <w:uiPriority w:val="99"/>
    <w:qFormat/>
    <w:rsid w:val="00CF4DA9"/>
    <w:rPr>
      <w:i/>
      <w:iCs/>
    </w:rPr>
  </w:style>
  <w:style w:type="character" w:styleId="Strong">
    <w:name w:val="Strong"/>
    <w:basedOn w:val="DefaultParagraphFont"/>
    <w:uiPriority w:val="99"/>
    <w:qFormat/>
    <w:rsid w:val="00CF4DA9"/>
    <w:rPr>
      <w:b/>
      <w:bCs/>
    </w:rPr>
  </w:style>
  <w:style w:type="paragraph" w:styleId="BalloonText">
    <w:name w:val="Balloon Text"/>
    <w:basedOn w:val="Normal"/>
    <w:link w:val="BalloonTextChar"/>
    <w:uiPriority w:val="99"/>
    <w:semiHidden/>
    <w:unhideWhenUsed/>
    <w:rsid w:val="000D0C9E"/>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D0C9E"/>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0D0C9E"/>
    <w:rPr>
      <w:sz w:val="16"/>
      <w:szCs w:val="16"/>
    </w:rPr>
  </w:style>
  <w:style w:type="paragraph" w:styleId="CommentText">
    <w:name w:val="annotation text"/>
    <w:basedOn w:val="Normal"/>
    <w:link w:val="CommentTextChar"/>
    <w:uiPriority w:val="99"/>
    <w:semiHidden/>
    <w:unhideWhenUsed/>
    <w:rsid w:val="000D0C9E"/>
    <w:pPr>
      <w:spacing w:line="240" w:lineRule="auto"/>
    </w:pPr>
    <w:rPr>
      <w:sz w:val="20"/>
      <w:szCs w:val="20"/>
    </w:rPr>
  </w:style>
  <w:style w:type="character" w:customStyle="1" w:styleId="CommentTextChar">
    <w:name w:val="Comment Text Char"/>
    <w:basedOn w:val="DefaultParagraphFont"/>
    <w:link w:val="CommentText"/>
    <w:uiPriority w:val="99"/>
    <w:semiHidden/>
    <w:rsid w:val="000D0C9E"/>
    <w:rPr>
      <w:sz w:val="20"/>
      <w:szCs w:val="20"/>
    </w:rPr>
  </w:style>
  <w:style w:type="paragraph" w:styleId="CommentSubject">
    <w:name w:val="annotation subject"/>
    <w:basedOn w:val="CommentText"/>
    <w:next w:val="CommentText"/>
    <w:link w:val="CommentSubjectChar"/>
    <w:uiPriority w:val="99"/>
    <w:semiHidden/>
    <w:unhideWhenUsed/>
    <w:rsid w:val="000D0C9E"/>
    <w:rPr>
      <w:b/>
      <w:bCs/>
    </w:rPr>
  </w:style>
  <w:style w:type="character" w:customStyle="1" w:styleId="CommentSubjectChar">
    <w:name w:val="Comment Subject Char"/>
    <w:basedOn w:val="CommentTextChar"/>
    <w:link w:val="CommentSubject"/>
    <w:uiPriority w:val="99"/>
    <w:semiHidden/>
    <w:rsid w:val="000D0C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manchester.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7C571B-8720-4C56-AF27-A61E9BA04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1090</Words>
  <Characters>6213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7289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Madeleine Ryan</dc:creator>
  <cp:lastModifiedBy>Paul Greenham</cp:lastModifiedBy>
  <cp:revision>4</cp:revision>
  <dcterms:created xsi:type="dcterms:W3CDTF">2020-09-17T12:45:00Z</dcterms:created>
  <dcterms:modified xsi:type="dcterms:W3CDTF">2020-09-18T09:04:00Z</dcterms:modified>
</cp:coreProperties>
</file>