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69" w:type="dxa"/>
        <w:tblInd w:w="-176" w:type="dxa"/>
        <w:tblLook w:val="04A0" w:firstRow="1" w:lastRow="0" w:firstColumn="1" w:lastColumn="0" w:noHBand="0" w:noVBand="1"/>
      </w:tblPr>
      <w:tblGrid>
        <w:gridCol w:w="2988"/>
        <w:gridCol w:w="6681"/>
      </w:tblGrid>
      <w:tr w:rsidR="0063304D" w:rsidTr="00345BBB">
        <w:trPr>
          <w:trHeight w:val="1004"/>
        </w:trPr>
        <w:tc>
          <w:tcPr>
            <w:tcW w:w="9669" w:type="dxa"/>
            <w:gridSpan w:val="2"/>
            <w:shd w:val="clear" w:color="auto" w:fill="7030A0"/>
          </w:tcPr>
          <w:p w:rsidR="0063304D" w:rsidRDefault="0063304D" w:rsidP="0063304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CEC" w:rsidRDefault="00FD2CEC" w:rsidP="0063304D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Doctoral Programme</w:t>
            </w:r>
          </w:p>
          <w:p w:rsidR="0063304D" w:rsidRPr="0063304D" w:rsidRDefault="00345BBB" w:rsidP="0063304D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3304D" w:rsidRPr="0063304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Course </w:t>
            </w:r>
            <w:r w:rsidR="0033684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Unit O</w:t>
            </w:r>
            <w:r w:rsidR="0063304D" w:rsidRPr="0063304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utline </w:t>
            </w:r>
            <w:r w:rsidR="003B629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2021</w:t>
            </w:r>
            <w:r w:rsidR="00B274A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/2</w:t>
            </w:r>
            <w:r w:rsidR="003B629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</w:t>
            </w:r>
          </w:p>
          <w:p w:rsidR="0063304D" w:rsidRDefault="0063304D" w:rsidP="00A678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3304D" w:rsidTr="00345BBB">
        <w:tc>
          <w:tcPr>
            <w:tcW w:w="2988" w:type="dxa"/>
            <w:shd w:val="clear" w:color="auto" w:fill="D9D9D9" w:themeFill="background1" w:themeFillShade="D9"/>
          </w:tcPr>
          <w:p w:rsidR="0063304D" w:rsidRPr="00D42AA1" w:rsidRDefault="0063304D" w:rsidP="00D57CBE">
            <w:pPr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 xml:space="preserve">Unit code: </w:t>
            </w:r>
          </w:p>
        </w:tc>
        <w:tc>
          <w:tcPr>
            <w:tcW w:w="6681" w:type="dxa"/>
          </w:tcPr>
          <w:p w:rsidR="0063304D" w:rsidRPr="006D26F2" w:rsidRDefault="00D57CBE" w:rsidP="00290A4D">
            <w:pPr>
              <w:rPr>
                <w:rFonts w:cstheme="minorHAnsi"/>
                <w:b/>
              </w:rPr>
            </w:pPr>
            <w:r w:rsidRPr="006D26F2">
              <w:rPr>
                <w:rFonts w:cstheme="minorHAnsi"/>
                <w:b/>
              </w:rPr>
              <w:t>BMAN</w:t>
            </w:r>
            <w:r w:rsidR="00A935FE" w:rsidRPr="006D26F2">
              <w:rPr>
                <w:rFonts w:cstheme="minorHAnsi"/>
                <w:b/>
              </w:rPr>
              <w:t xml:space="preserve"> 80941</w:t>
            </w:r>
          </w:p>
        </w:tc>
      </w:tr>
      <w:tr w:rsidR="0063304D" w:rsidTr="00345BBB">
        <w:tc>
          <w:tcPr>
            <w:tcW w:w="2988" w:type="dxa"/>
            <w:shd w:val="clear" w:color="auto" w:fill="D9D9D9" w:themeFill="background1" w:themeFillShade="D9"/>
          </w:tcPr>
          <w:p w:rsidR="0063304D" w:rsidRPr="00B274A6" w:rsidRDefault="0063304D" w:rsidP="00290A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Title:</w:t>
            </w:r>
          </w:p>
        </w:tc>
        <w:tc>
          <w:tcPr>
            <w:tcW w:w="6681" w:type="dxa"/>
          </w:tcPr>
          <w:p w:rsidR="0063304D" w:rsidRPr="006D26F2" w:rsidRDefault="00A935FE" w:rsidP="00290A4D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>Qualitative Research Methods in Practice</w:t>
            </w:r>
          </w:p>
        </w:tc>
      </w:tr>
      <w:tr w:rsidR="0063304D" w:rsidTr="00345BBB">
        <w:tc>
          <w:tcPr>
            <w:tcW w:w="2988" w:type="dxa"/>
            <w:shd w:val="clear" w:color="auto" w:fill="D9D9D9" w:themeFill="background1" w:themeFillShade="D9"/>
          </w:tcPr>
          <w:p w:rsidR="0063304D" w:rsidRPr="00B274A6" w:rsidRDefault="0063304D" w:rsidP="00290A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 xml:space="preserve">Credit </w:t>
            </w:r>
            <w:r w:rsidR="00B274A6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6681" w:type="dxa"/>
          </w:tcPr>
          <w:p w:rsidR="0063304D" w:rsidRPr="006D26F2" w:rsidRDefault="00A935FE" w:rsidP="00290A4D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>15 credit</w:t>
            </w:r>
          </w:p>
        </w:tc>
      </w:tr>
      <w:tr w:rsidR="0063304D" w:rsidTr="00345BBB">
        <w:tc>
          <w:tcPr>
            <w:tcW w:w="2988" w:type="dxa"/>
            <w:shd w:val="clear" w:color="auto" w:fill="D9D9D9" w:themeFill="background1" w:themeFillShade="D9"/>
          </w:tcPr>
          <w:p w:rsidR="00B274A6" w:rsidRPr="00B274A6" w:rsidRDefault="0063304D" w:rsidP="00290A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Semester:</w:t>
            </w:r>
          </w:p>
        </w:tc>
        <w:tc>
          <w:tcPr>
            <w:tcW w:w="6681" w:type="dxa"/>
          </w:tcPr>
          <w:p w:rsidR="0063304D" w:rsidRPr="006D26F2" w:rsidRDefault="00A935FE" w:rsidP="00290A4D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>Semester 1</w:t>
            </w:r>
          </w:p>
        </w:tc>
      </w:tr>
      <w:tr w:rsidR="0063304D" w:rsidTr="00345BBB">
        <w:tc>
          <w:tcPr>
            <w:tcW w:w="2988" w:type="dxa"/>
            <w:shd w:val="clear" w:color="auto" w:fill="D9D9D9" w:themeFill="background1" w:themeFillShade="D9"/>
          </w:tcPr>
          <w:p w:rsidR="0063304D" w:rsidRPr="00D42AA1" w:rsidRDefault="0063304D" w:rsidP="006330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 xml:space="preserve">Course Coordinator </w:t>
            </w:r>
          </w:p>
          <w:p w:rsidR="0063304D" w:rsidRPr="00B274A6" w:rsidRDefault="0063304D" w:rsidP="00D57CB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contact details:</w:t>
            </w:r>
          </w:p>
        </w:tc>
        <w:tc>
          <w:tcPr>
            <w:tcW w:w="6681" w:type="dxa"/>
          </w:tcPr>
          <w:p w:rsidR="00A935FE" w:rsidRPr="006D26F2" w:rsidRDefault="00A935FE" w:rsidP="00290A4D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>Prof Anne McBride, a.mcbride@manchester.ac.uk</w:t>
            </w:r>
          </w:p>
          <w:p w:rsidR="0063304D" w:rsidRPr="006D26F2" w:rsidRDefault="00A935FE" w:rsidP="00A935FE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 xml:space="preserve">Zoom office hours to be confirmed </w:t>
            </w:r>
          </w:p>
        </w:tc>
      </w:tr>
      <w:tr w:rsidR="0063304D" w:rsidTr="00345BBB">
        <w:tc>
          <w:tcPr>
            <w:tcW w:w="2988" w:type="dxa"/>
            <w:shd w:val="clear" w:color="auto" w:fill="D9D9D9" w:themeFill="background1" w:themeFillShade="D9"/>
          </w:tcPr>
          <w:p w:rsidR="0063304D" w:rsidRPr="00B274A6" w:rsidRDefault="0063304D" w:rsidP="00D57CB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Other staff involved contact details:</w:t>
            </w:r>
          </w:p>
        </w:tc>
        <w:tc>
          <w:tcPr>
            <w:tcW w:w="6681" w:type="dxa"/>
          </w:tcPr>
          <w:p w:rsidR="0063304D" w:rsidRPr="006D26F2" w:rsidRDefault="00A935FE" w:rsidP="00290A4D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>n/a</w:t>
            </w:r>
          </w:p>
        </w:tc>
      </w:tr>
      <w:tr w:rsidR="00345BBB" w:rsidTr="00345BBB">
        <w:tc>
          <w:tcPr>
            <w:tcW w:w="2988" w:type="dxa"/>
            <w:shd w:val="clear" w:color="auto" w:fill="D9D9D9" w:themeFill="background1" w:themeFillShade="D9"/>
          </w:tcPr>
          <w:p w:rsidR="00345BBB" w:rsidRDefault="00345BBB" w:rsidP="006330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Pre-requisites</w:t>
            </w:r>
          </w:p>
          <w:p w:rsidR="00345BBB" w:rsidRDefault="00345BBB" w:rsidP="006330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Co-requisites</w:t>
            </w:r>
          </w:p>
          <w:p w:rsidR="00345BBB" w:rsidRDefault="00B274A6" w:rsidP="006330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Dependent course units</w:t>
            </w:r>
          </w:p>
          <w:p w:rsidR="00B274A6" w:rsidRPr="00D42AA1" w:rsidRDefault="00B274A6" w:rsidP="006330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Restrictions</w:t>
            </w:r>
          </w:p>
        </w:tc>
        <w:tc>
          <w:tcPr>
            <w:tcW w:w="6681" w:type="dxa"/>
          </w:tcPr>
          <w:p w:rsidR="00345BBB" w:rsidRPr="006D26F2" w:rsidRDefault="00A935FE" w:rsidP="00D57CBE">
            <w:pPr>
              <w:rPr>
                <w:rFonts w:cstheme="minorHAnsi"/>
              </w:rPr>
            </w:pPr>
            <w:r w:rsidRPr="006D26F2">
              <w:rPr>
                <w:rFonts w:cstheme="minorHAnsi"/>
              </w:rPr>
              <w:t>None</w:t>
            </w:r>
          </w:p>
        </w:tc>
      </w:tr>
      <w:tr w:rsidR="00A25907" w:rsidTr="00345BBB">
        <w:tc>
          <w:tcPr>
            <w:tcW w:w="9669" w:type="dxa"/>
            <w:gridSpan w:val="2"/>
            <w:shd w:val="clear" w:color="auto" w:fill="7030A0"/>
          </w:tcPr>
          <w:p w:rsidR="00A25907" w:rsidRPr="00F429F4" w:rsidRDefault="00F429F4" w:rsidP="004003E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Course unit overview</w:t>
            </w:r>
          </w:p>
        </w:tc>
      </w:tr>
      <w:tr w:rsidR="00F429F4" w:rsidTr="00345BBB">
        <w:tc>
          <w:tcPr>
            <w:tcW w:w="9669" w:type="dxa"/>
            <w:gridSpan w:val="2"/>
            <w:shd w:val="clear" w:color="auto" w:fill="auto"/>
          </w:tcPr>
          <w:p w:rsidR="00F429F4" w:rsidRDefault="00CA6A79" w:rsidP="0052339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t>The course will introduce PGRs</w:t>
            </w:r>
            <w:r w:rsidR="0052339A">
              <w:t xml:space="preserve"> to </w:t>
            </w:r>
            <w:r>
              <w:t xml:space="preserve">qualitative research and </w:t>
            </w:r>
            <w:r w:rsidR="0052339A">
              <w:t xml:space="preserve">some of the practicalities of collecting and </w:t>
            </w:r>
            <w:r>
              <w:t xml:space="preserve">analysing qualitative data. The content of the course will give students </w:t>
            </w:r>
            <w:r w:rsidR="0052339A">
              <w:t xml:space="preserve">insights into the </w:t>
            </w:r>
            <w:r>
              <w:t>experience of d</w:t>
            </w:r>
            <w:r w:rsidR="003B629A">
              <w:t xml:space="preserve">oing qualitative research and </w:t>
            </w:r>
            <w:r>
              <w:t>will equip them to make more</w:t>
            </w:r>
            <w:r w:rsidR="0052339A">
              <w:t xml:space="preserve"> informed choices about whether and which </w:t>
            </w:r>
            <w:r>
              <w:t>qualitative methods are appropriate for their PhD research.</w:t>
            </w:r>
          </w:p>
        </w:tc>
      </w:tr>
      <w:tr w:rsidR="004003EA" w:rsidTr="00345BBB">
        <w:tc>
          <w:tcPr>
            <w:tcW w:w="9669" w:type="dxa"/>
            <w:gridSpan w:val="2"/>
            <w:shd w:val="clear" w:color="auto" w:fill="7030A0"/>
          </w:tcPr>
          <w:p w:rsidR="004003EA" w:rsidRPr="004003EA" w:rsidRDefault="004003EA" w:rsidP="004003E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Aims</w:t>
            </w:r>
          </w:p>
        </w:tc>
      </w:tr>
      <w:tr w:rsidR="00C7344D" w:rsidTr="00345BBB">
        <w:tc>
          <w:tcPr>
            <w:tcW w:w="9669" w:type="dxa"/>
            <w:gridSpan w:val="2"/>
          </w:tcPr>
          <w:p w:rsidR="00CF3EFD" w:rsidRDefault="00CA6A79" w:rsidP="00CA6A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The aim of this course is to provide participants with a solid grounding in qualitative methods and analysis that can be developed in their PhD research and future careers. </w:t>
            </w:r>
          </w:p>
        </w:tc>
      </w:tr>
      <w:tr w:rsidR="004003EA" w:rsidTr="00345BBB">
        <w:tc>
          <w:tcPr>
            <w:tcW w:w="9669" w:type="dxa"/>
            <w:gridSpan w:val="2"/>
            <w:shd w:val="clear" w:color="auto" w:fill="7030A0"/>
          </w:tcPr>
          <w:p w:rsidR="004003EA" w:rsidRPr="004003EA" w:rsidRDefault="004003EA" w:rsidP="004003E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Objectives (Learning outcomes)</w:t>
            </w:r>
          </w:p>
        </w:tc>
      </w:tr>
      <w:tr w:rsidR="00CF3EFD" w:rsidTr="00345BBB">
        <w:tc>
          <w:tcPr>
            <w:tcW w:w="9669" w:type="dxa"/>
            <w:gridSpan w:val="2"/>
          </w:tcPr>
          <w:p w:rsidR="00CA6A79" w:rsidRPr="0052339A" w:rsidRDefault="00CA6A79" w:rsidP="00CA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On completion of this unit successful PGRs will be able to: </w:t>
            </w:r>
          </w:p>
          <w:p w:rsidR="00CA6A79" w:rsidRPr="0052339A" w:rsidRDefault="00CA6A79" w:rsidP="00CA6A79">
            <w:pPr>
              <w:pStyle w:val="Default"/>
              <w:numPr>
                <w:ilvl w:val="0"/>
                <w:numId w:val="3"/>
              </w:numPr>
              <w:spacing w:after="31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reflect upon theoretical and practical issues that underpin the choice to undertake qualitative research </w:t>
            </w:r>
          </w:p>
          <w:p w:rsidR="00CA6A79" w:rsidRPr="0052339A" w:rsidRDefault="00CA6A79" w:rsidP="00CA6A79">
            <w:pPr>
              <w:pStyle w:val="Default"/>
              <w:numPr>
                <w:ilvl w:val="0"/>
                <w:numId w:val="3"/>
              </w:numPr>
              <w:spacing w:after="31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evaluate if a qualitative approach is useful to address their PhD research questions and select appropriate qualitative methods </w:t>
            </w:r>
          </w:p>
          <w:p w:rsidR="00CA6A79" w:rsidRPr="0052339A" w:rsidRDefault="00CA6A79" w:rsidP="00CA6A79">
            <w:pPr>
              <w:pStyle w:val="Default"/>
              <w:numPr>
                <w:ilvl w:val="0"/>
                <w:numId w:val="3"/>
              </w:numPr>
              <w:spacing w:after="3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identify the merits and weaknesses of different sampling methods in qualitative research </w:t>
            </w:r>
          </w:p>
          <w:p w:rsidR="00CA6A79" w:rsidRPr="0052339A" w:rsidRDefault="00CA6A79" w:rsidP="00CA6A79">
            <w:pPr>
              <w:pStyle w:val="Default"/>
              <w:numPr>
                <w:ilvl w:val="0"/>
                <w:numId w:val="3"/>
              </w:numPr>
              <w:spacing w:after="31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plan and prepare for the practicalities of conducting qualitative methods </w:t>
            </w:r>
          </w:p>
          <w:p w:rsidR="00CA6A79" w:rsidRPr="0052339A" w:rsidRDefault="00CA6A79" w:rsidP="00CA6A79">
            <w:pPr>
              <w:pStyle w:val="Default"/>
              <w:numPr>
                <w:ilvl w:val="0"/>
                <w:numId w:val="3"/>
              </w:numPr>
              <w:spacing w:after="3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differentiate between some of the main approaches to qualitative data analysis </w:t>
            </w:r>
          </w:p>
          <w:p w:rsidR="00CA6A79" w:rsidRPr="0052339A" w:rsidRDefault="00CA6A79" w:rsidP="00CA6A7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5233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recognise</w:t>
            </w:r>
            <w:proofErr w:type="gramEnd"/>
            <w:r w:rsidRPr="005233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methodological and ethical dilemmas in qualitative research and formulate strategies to address these. </w:t>
            </w:r>
          </w:p>
          <w:p w:rsidR="00CF3EFD" w:rsidRDefault="00CF3EFD" w:rsidP="00CA6A79">
            <w:pPr>
              <w:rPr>
                <w:rFonts w:eastAsia="Batang" w:cs="Arial"/>
                <w:color w:val="FF0000"/>
                <w:lang w:eastAsia="de-DE"/>
              </w:rPr>
            </w:pPr>
          </w:p>
        </w:tc>
      </w:tr>
      <w:tr w:rsidR="004003EA" w:rsidTr="00345BBB">
        <w:tc>
          <w:tcPr>
            <w:tcW w:w="9669" w:type="dxa"/>
            <w:gridSpan w:val="2"/>
            <w:shd w:val="clear" w:color="auto" w:fill="7030A0"/>
          </w:tcPr>
          <w:p w:rsidR="004003EA" w:rsidRPr="004003EA" w:rsidRDefault="0056006D" w:rsidP="004003E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Syllabus</w:t>
            </w:r>
            <w:r w:rsidR="00B274A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content</w:t>
            </w:r>
          </w:p>
        </w:tc>
      </w:tr>
      <w:tr w:rsidR="00C7344D" w:rsidTr="00345BBB">
        <w:tc>
          <w:tcPr>
            <w:tcW w:w="9669" w:type="dxa"/>
            <w:gridSpan w:val="2"/>
          </w:tcPr>
          <w:p w:rsidR="006F592B" w:rsidRPr="006F592B" w:rsidRDefault="006F592B" w:rsidP="006F592B">
            <w:pPr>
              <w:rPr>
                <w:rFonts w:cstheme="minorHAnsi"/>
                <w:sz w:val="24"/>
                <w:szCs w:val="24"/>
              </w:rPr>
            </w:pPr>
            <w:r w:rsidRPr="006F592B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 xml:space="preserve">course will begin with an introduction to qualitative research. A range of qualitative methods will be discussed in detail: Qualitative research interviews; Observation and visual methods; Use of diaries; social media and documents.  </w:t>
            </w:r>
            <w:r w:rsidR="006B25E4">
              <w:rPr>
                <w:rFonts w:cstheme="minorHAnsi"/>
                <w:sz w:val="24"/>
                <w:szCs w:val="24"/>
              </w:rPr>
              <w:t>The course will also introduce m</w:t>
            </w:r>
            <w:r>
              <w:rPr>
                <w:rFonts w:cstheme="minorHAnsi"/>
                <w:sz w:val="24"/>
                <w:szCs w:val="24"/>
              </w:rPr>
              <w:t>ethods to analyse qual</w:t>
            </w:r>
            <w:r w:rsidR="006B25E4">
              <w:rPr>
                <w:rFonts w:cstheme="minorHAnsi"/>
                <w:sz w:val="24"/>
                <w:szCs w:val="24"/>
              </w:rPr>
              <w:t>itative data. An assignment workshop and guidance will be provided.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F592B" w:rsidRDefault="006F592B" w:rsidP="006B2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B629A" w:rsidRDefault="003B629A">
      <w:r>
        <w:br w:type="page"/>
      </w:r>
    </w:p>
    <w:tbl>
      <w:tblPr>
        <w:tblStyle w:val="TableGrid"/>
        <w:tblW w:w="9669" w:type="dxa"/>
        <w:tblInd w:w="-176" w:type="dxa"/>
        <w:tblLook w:val="04A0" w:firstRow="1" w:lastRow="0" w:firstColumn="1" w:lastColumn="0" w:noHBand="0" w:noVBand="1"/>
      </w:tblPr>
      <w:tblGrid>
        <w:gridCol w:w="4729"/>
        <w:gridCol w:w="4940"/>
      </w:tblGrid>
      <w:tr w:rsidR="009A2688" w:rsidRPr="004003EA" w:rsidTr="00345BBB">
        <w:tc>
          <w:tcPr>
            <w:tcW w:w="9669" w:type="dxa"/>
            <w:gridSpan w:val="2"/>
            <w:shd w:val="clear" w:color="auto" w:fill="7030A0"/>
          </w:tcPr>
          <w:p w:rsidR="009A2688" w:rsidRPr="004003EA" w:rsidRDefault="00C7344D" w:rsidP="003A0F8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M</w:t>
            </w:r>
            <w:r w:rsidR="00AA2E2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ethods of d</w:t>
            </w:r>
            <w:r w:rsidR="009A268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elivery</w:t>
            </w:r>
          </w:p>
        </w:tc>
      </w:tr>
      <w:tr w:rsidR="00AA2E20" w:rsidTr="006A15A6">
        <w:tc>
          <w:tcPr>
            <w:tcW w:w="4729" w:type="dxa"/>
            <w:shd w:val="clear" w:color="auto" w:fill="D9D9D9" w:themeFill="background1" w:themeFillShade="D9"/>
          </w:tcPr>
          <w:p w:rsidR="00AA2E20" w:rsidRPr="00D42AA1" w:rsidRDefault="00AA2E20" w:rsidP="004003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Lectures</w:t>
            </w:r>
          </w:p>
        </w:tc>
        <w:tc>
          <w:tcPr>
            <w:tcW w:w="4940" w:type="dxa"/>
          </w:tcPr>
          <w:p w:rsidR="00AA2E20" w:rsidRPr="00B274A6" w:rsidRDefault="006E64D9" w:rsidP="00F35B5A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Pre-recorded </w:t>
            </w:r>
            <w:r w:rsidR="00F35B5A">
              <w:rPr>
                <w:color w:val="000000" w:themeColor="text1"/>
              </w:rPr>
              <w:t>asynchronous lectures</w:t>
            </w:r>
            <w:r w:rsidR="003D6C68">
              <w:rPr>
                <w:color w:val="000000" w:themeColor="text1"/>
              </w:rPr>
              <w:t xml:space="preserve"> for each topic</w:t>
            </w:r>
            <w:r>
              <w:rPr>
                <w:color w:val="000000" w:themeColor="text1"/>
              </w:rPr>
              <w:t xml:space="preserve">, podcasts and </w:t>
            </w:r>
            <w:r w:rsidR="00F35B5A">
              <w:rPr>
                <w:color w:val="000000" w:themeColor="text1"/>
              </w:rPr>
              <w:t xml:space="preserve">identification </w:t>
            </w:r>
            <w:r w:rsidR="00CA6A79">
              <w:rPr>
                <w:color w:val="000000" w:themeColor="text1"/>
              </w:rPr>
              <w:t xml:space="preserve">of </w:t>
            </w:r>
            <w:r w:rsidR="00F35B5A">
              <w:rPr>
                <w:color w:val="000000" w:themeColor="text1"/>
              </w:rPr>
              <w:t xml:space="preserve">guided </w:t>
            </w:r>
            <w:r>
              <w:rPr>
                <w:color w:val="000000" w:themeColor="text1"/>
              </w:rPr>
              <w:t>reading materials</w:t>
            </w:r>
          </w:p>
        </w:tc>
      </w:tr>
      <w:tr w:rsidR="00AA2E20" w:rsidTr="006A15A6">
        <w:tc>
          <w:tcPr>
            <w:tcW w:w="4729" w:type="dxa"/>
            <w:shd w:val="clear" w:color="auto" w:fill="D9D9D9" w:themeFill="background1" w:themeFillShade="D9"/>
          </w:tcPr>
          <w:p w:rsidR="00AA2E20" w:rsidRPr="00D42AA1" w:rsidRDefault="00AA2E20" w:rsidP="004003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r w:rsidRPr="00D42AA1">
              <w:rPr>
                <w:rFonts w:ascii="Calibri" w:hAnsi="Calibri" w:cs="Calibri"/>
                <w:b/>
                <w:sz w:val="24"/>
                <w:szCs w:val="24"/>
              </w:rPr>
              <w:t>Seminar</w:t>
            </w:r>
          </w:p>
          <w:p w:rsidR="00AA2E20" w:rsidRPr="00D42AA1" w:rsidRDefault="00AA2E20" w:rsidP="004003E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940" w:type="dxa"/>
          </w:tcPr>
          <w:p w:rsidR="00AA2E20" w:rsidRPr="006E64D9" w:rsidRDefault="00F35B5A" w:rsidP="00F35B5A">
            <w:r w:rsidRPr="00F7788B">
              <w:rPr>
                <w:highlight w:val="yellow"/>
              </w:rPr>
              <w:t xml:space="preserve">1hr 50 minutes </w:t>
            </w:r>
            <w:r w:rsidR="00CA6A79" w:rsidRPr="00F7788B">
              <w:rPr>
                <w:highlight w:val="yellow"/>
              </w:rPr>
              <w:t>per week</w:t>
            </w:r>
            <w:r w:rsidRPr="00F7788B">
              <w:rPr>
                <w:highlight w:val="yellow"/>
              </w:rPr>
              <w:t xml:space="preserve">, including </w:t>
            </w:r>
            <w:r w:rsidR="003D6C68" w:rsidRPr="00F7788B">
              <w:rPr>
                <w:highlight w:val="yellow"/>
              </w:rPr>
              <w:t xml:space="preserve">break and </w:t>
            </w:r>
            <w:r w:rsidRPr="00F7788B">
              <w:rPr>
                <w:highlight w:val="yellow"/>
              </w:rPr>
              <w:t>designated Q&amp;A session.</w:t>
            </w:r>
            <w:r>
              <w:t xml:space="preserve"> </w:t>
            </w:r>
          </w:p>
        </w:tc>
      </w:tr>
      <w:bookmarkEnd w:id="0"/>
      <w:tr w:rsidR="00AA2E20" w:rsidTr="006A15A6">
        <w:tc>
          <w:tcPr>
            <w:tcW w:w="4729" w:type="dxa"/>
            <w:shd w:val="clear" w:color="auto" w:fill="D9D9D9" w:themeFill="background1" w:themeFillShade="D9"/>
          </w:tcPr>
          <w:p w:rsidR="00AA2E20" w:rsidRPr="00D42AA1" w:rsidRDefault="00CF3EFD" w:rsidP="004003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Independent</w:t>
            </w:r>
            <w:r w:rsidR="00AA2E20" w:rsidRPr="00D42AA1">
              <w:rPr>
                <w:rFonts w:ascii="Calibri" w:hAnsi="Calibri" w:cs="Calibri"/>
                <w:b/>
                <w:sz w:val="24"/>
                <w:szCs w:val="24"/>
              </w:rPr>
              <w:t xml:space="preserve"> Study</w:t>
            </w:r>
          </w:p>
        </w:tc>
        <w:tc>
          <w:tcPr>
            <w:tcW w:w="4940" w:type="dxa"/>
          </w:tcPr>
          <w:p w:rsidR="00B274A6" w:rsidRPr="006E64D9" w:rsidRDefault="00CA6A79" w:rsidP="003D6C68">
            <w:r>
              <w:t xml:space="preserve">This will include pre-reading of materials; watching lecture videos; preparation for seminars; </w:t>
            </w:r>
            <w:r w:rsidR="003D6C68">
              <w:t xml:space="preserve">use of Discussion Board; writing reflective journal; </w:t>
            </w:r>
            <w:r w:rsidR="00E46863">
              <w:t>completion of assessment</w:t>
            </w:r>
            <w:r w:rsidR="003D6C68">
              <w:t>.</w:t>
            </w:r>
          </w:p>
        </w:tc>
      </w:tr>
      <w:tr w:rsidR="00AA2E20" w:rsidTr="006A15A6">
        <w:tc>
          <w:tcPr>
            <w:tcW w:w="4729" w:type="dxa"/>
            <w:shd w:val="clear" w:color="auto" w:fill="D9D9D9" w:themeFill="background1" w:themeFillShade="D9"/>
          </w:tcPr>
          <w:p w:rsidR="00AA2E20" w:rsidRPr="00D42AA1" w:rsidRDefault="00AA2E20" w:rsidP="004003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AA1">
              <w:rPr>
                <w:rFonts w:ascii="Calibri" w:hAnsi="Calibri" w:cs="Calibri"/>
                <w:b/>
                <w:sz w:val="24"/>
                <w:szCs w:val="24"/>
              </w:rPr>
              <w:t>Total Study Hours</w:t>
            </w:r>
          </w:p>
          <w:p w:rsidR="00AA2E20" w:rsidRPr="00D42AA1" w:rsidRDefault="00AA2E20" w:rsidP="004003EA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940" w:type="dxa"/>
          </w:tcPr>
          <w:p w:rsidR="00B274A6" w:rsidRPr="006E64D9" w:rsidRDefault="00CA6A79" w:rsidP="004003EA">
            <w:r>
              <w:t xml:space="preserve">150hrs </w:t>
            </w:r>
            <w:r w:rsidR="00E46863">
              <w:t xml:space="preserve">in total during PhD </w:t>
            </w:r>
            <w:r>
              <w:t xml:space="preserve">– </w:t>
            </w:r>
            <w:r w:rsidR="00E46863">
              <w:t xml:space="preserve">this is </w:t>
            </w:r>
            <w:r w:rsidR="006D26F2">
              <w:t xml:space="preserve">assumed to be </w:t>
            </w:r>
            <w:r>
              <w:t xml:space="preserve">inclusive of </w:t>
            </w:r>
            <w:r w:rsidR="00E46863">
              <w:t>writing up of qualitative research methods for research proposal; end of year review(s); methodology chapter in PhD</w:t>
            </w:r>
            <w:r w:rsidR="006D26F2">
              <w:t>.</w:t>
            </w:r>
          </w:p>
        </w:tc>
      </w:tr>
      <w:tr w:rsidR="00B76C82" w:rsidRPr="004003EA" w:rsidTr="00345BBB">
        <w:trPr>
          <w:trHeight w:val="254"/>
        </w:trPr>
        <w:tc>
          <w:tcPr>
            <w:tcW w:w="9669" w:type="dxa"/>
            <w:gridSpan w:val="2"/>
            <w:shd w:val="clear" w:color="auto" w:fill="7030A0"/>
          </w:tcPr>
          <w:p w:rsidR="00B76C82" w:rsidRPr="004003EA" w:rsidRDefault="00B76C82" w:rsidP="003A0F8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Reading List</w:t>
            </w:r>
          </w:p>
        </w:tc>
      </w:tr>
      <w:tr w:rsidR="0056006D" w:rsidTr="00345BBB">
        <w:tc>
          <w:tcPr>
            <w:tcW w:w="9669" w:type="dxa"/>
            <w:gridSpan w:val="2"/>
          </w:tcPr>
          <w:p w:rsidR="00345BBB" w:rsidRPr="00345BBB" w:rsidRDefault="00345BBB" w:rsidP="00345BBB">
            <w:pPr>
              <w:rPr>
                <w:rFonts w:cstheme="minorHAnsi"/>
                <w:color w:val="FF0000"/>
              </w:rPr>
            </w:pPr>
            <w:r w:rsidRPr="00B274A6">
              <w:rPr>
                <w:rFonts w:cstheme="minorHAnsi"/>
                <w:b/>
              </w:rPr>
              <w:t>Pre Reading</w:t>
            </w:r>
            <w:r w:rsidRPr="006F592B">
              <w:rPr>
                <w:rFonts w:cstheme="minorHAnsi"/>
              </w:rPr>
              <w:t>:</w:t>
            </w:r>
            <w:r w:rsidR="006F592B">
              <w:rPr>
                <w:rFonts w:cstheme="minorHAnsi"/>
              </w:rPr>
              <w:t xml:space="preserve"> Your research proposal – what questions do you want to answer in this course that will support the development of your research pl</w:t>
            </w:r>
            <w:r w:rsidR="003B629A">
              <w:rPr>
                <w:rFonts w:cstheme="minorHAnsi"/>
              </w:rPr>
              <w:t>an and the execution of your doctorate</w:t>
            </w:r>
            <w:r w:rsidR="006F592B">
              <w:rPr>
                <w:rFonts w:cstheme="minorHAnsi"/>
              </w:rPr>
              <w:t>?</w:t>
            </w: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en-GB"/>
              </w:rPr>
            </w:pPr>
            <w:r w:rsidRPr="003B629A">
              <w:rPr>
                <w:rFonts w:cstheme="minorHAnsi"/>
                <w:b/>
                <w:lang w:eastAsia="en-GB"/>
              </w:rPr>
              <w:t>Core Texts:</w:t>
            </w: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proofErr w:type="spellStart"/>
            <w:r w:rsidRPr="003B629A">
              <w:rPr>
                <w:rFonts w:cstheme="minorHAnsi"/>
                <w:lang w:eastAsia="en-GB"/>
              </w:rPr>
              <w:t>Cassell</w:t>
            </w:r>
            <w:proofErr w:type="spellEnd"/>
            <w:r w:rsidRPr="003B629A">
              <w:rPr>
                <w:rFonts w:cstheme="minorHAnsi"/>
                <w:lang w:eastAsia="en-GB"/>
              </w:rPr>
              <w:t xml:space="preserve">, C., </w:t>
            </w:r>
            <w:proofErr w:type="spellStart"/>
            <w:r w:rsidRPr="003B629A">
              <w:rPr>
                <w:rFonts w:cstheme="minorHAnsi"/>
                <w:lang w:eastAsia="en-GB"/>
              </w:rPr>
              <w:t>Cunliffe</w:t>
            </w:r>
            <w:proofErr w:type="spellEnd"/>
            <w:r w:rsidRPr="003B629A">
              <w:rPr>
                <w:rFonts w:cstheme="minorHAnsi"/>
                <w:lang w:eastAsia="en-GB"/>
              </w:rPr>
              <w:t xml:space="preserve">, A.L., </w:t>
            </w:r>
            <w:proofErr w:type="spellStart"/>
            <w:r w:rsidRPr="003B629A">
              <w:rPr>
                <w:rFonts w:cstheme="minorHAnsi"/>
                <w:lang w:eastAsia="en-GB"/>
              </w:rPr>
              <w:t>Grandy</w:t>
            </w:r>
            <w:proofErr w:type="spellEnd"/>
            <w:r w:rsidRPr="003B629A">
              <w:rPr>
                <w:rFonts w:cstheme="minorHAnsi"/>
                <w:lang w:eastAsia="en-GB"/>
              </w:rPr>
              <w:t>, G. (2019) (</w:t>
            </w:r>
            <w:proofErr w:type="spellStart"/>
            <w:r w:rsidRPr="003B629A">
              <w:rPr>
                <w:rFonts w:cstheme="minorHAnsi"/>
                <w:lang w:eastAsia="en-GB"/>
              </w:rPr>
              <w:t>eds</w:t>
            </w:r>
            <w:proofErr w:type="spellEnd"/>
            <w:r w:rsidRPr="003B629A">
              <w:rPr>
                <w:rFonts w:cstheme="minorHAnsi"/>
                <w:lang w:eastAsia="en-GB"/>
              </w:rPr>
              <w:t xml:space="preserve">) </w:t>
            </w:r>
            <w:r w:rsidRPr="003B629A">
              <w:rPr>
                <w:rFonts w:cstheme="minorHAnsi"/>
                <w:i/>
                <w:lang w:eastAsia="en-GB"/>
              </w:rPr>
              <w:t>The SAGE Handbook of Qualitative Business and Management Research Methods: Methods and Challenges</w:t>
            </w:r>
            <w:r w:rsidRPr="003B629A">
              <w:rPr>
                <w:rFonts w:cstheme="minorHAnsi"/>
                <w:lang w:eastAsia="en-GB"/>
              </w:rPr>
              <w:t>, London: Sage. (online)</w:t>
            </w: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3B629A">
              <w:rPr>
                <w:rFonts w:cstheme="minorHAnsi"/>
                <w:lang w:eastAsia="en-GB"/>
              </w:rPr>
              <w:t xml:space="preserve">Symon, G. and </w:t>
            </w:r>
            <w:proofErr w:type="spellStart"/>
            <w:r w:rsidRPr="003B629A">
              <w:rPr>
                <w:rFonts w:cstheme="minorHAnsi"/>
                <w:lang w:eastAsia="en-GB"/>
              </w:rPr>
              <w:t>Cassell</w:t>
            </w:r>
            <w:proofErr w:type="spellEnd"/>
            <w:r w:rsidRPr="003B629A">
              <w:rPr>
                <w:rFonts w:cstheme="minorHAnsi"/>
                <w:lang w:eastAsia="en-GB"/>
              </w:rPr>
              <w:t xml:space="preserve">, C. (2012). </w:t>
            </w:r>
            <w:r w:rsidRPr="003B629A">
              <w:rPr>
                <w:rFonts w:cstheme="minorHAnsi"/>
                <w:i/>
                <w:iCs/>
                <w:lang w:eastAsia="en-GB"/>
              </w:rPr>
              <w:t>Qualitative Organisational Research</w:t>
            </w:r>
            <w:r w:rsidRPr="003B629A">
              <w:rPr>
                <w:rFonts w:cstheme="minorHAnsi"/>
                <w:lang w:eastAsia="en-GB"/>
              </w:rPr>
              <w:t>, London: Sage. (online)</w:t>
            </w:r>
          </w:p>
          <w:p w:rsidR="003B629A" w:rsidRPr="003B629A" w:rsidRDefault="003B629A" w:rsidP="003B629A">
            <w:pPr>
              <w:jc w:val="center"/>
              <w:rPr>
                <w:rFonts w:cstheme="minorHAnsi"/>
                <w:snapToGrid w:val="0"/>
                <w:color w:val="000000"/>
              </w:rPr>
            </w:pPr>
          </w:p>
          <w:p w:rsidR="003B629A" w:rsidRDefault="00345BBB" w:rsidP="006F592B">
            <w:pPr>
              <w:rPr>
                <w:rFonts w:cstheme="minorHAnsi"/>
                <w:b/>
              </w:rPr>
            </w:pPr>
            <w:r w:rsidRPr="00B274A6">
              <w:rPr>
                <w:rFonts w:cstheme="minorHAnsi"/>
                <w:b/>
              </w:rPr>
              <w:t>Supplementary Text</w:t>
            </w:r>
            <w:r w:rsidR="003B629A">
              <w:rPr>
                <w:rFonts w:cstheme="minorHAnsi"/>
                <w:b/>
              </w:rPr>
              <w:t>s</w:t>
            </w:r>
            <w:r w:rsidR="00E46863">
              <w:rPr>
                <w:rFonts w:cstheme="minorHAnsi"/>
                <w:b/>
              </w:rPr>
              <w:t xml:space="preserve">: </w:t>
            </w: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3B629A">
              <w:rPr>
                <w:rFonts w:cstheme="minorHAnsi"/>
                <w:lang w:eastAsia="en-GB"/>
              </w:rPr>
              <w:t>Flick, U. (2013) (</w:t>
            </w:r>
            <w:proofErr w:type="spellStart"/>
            <w:r w:rsidRPr="003B629A">
              <w:rPr>
                <w:rFonts w:cstheme="minorHAnsi"/>
                <w:lang w:eastAsia="en-GB"/>
              </w:rPr>
              <w:t>ed</w:t>
            </w:r>
            <w:proofErr w:type="spellEnd"/>
            <w:r w:rsidRPr="003B629A">
              <w:rPr>
                <w:rFonts w:cstheme="minorHAnsi"/>
                <w:lang w:eastAsia="en-GB"/>
              </w:rPr>
              <w:t xml:space="preserve">) </w:t>
            </w:r>
            <w:r w:rsidRPr="003B629A">
              <w:rPr>
                <w:rFonts w:cstheme="minorHAnsi"/>
                <w:i/>
                <w:lang w:eastAsia="en-GB"/>
              </w:rPr>
              <w:t>The SAGE Handbook of Qualitative Data Analysis</w:t>
            </w:r>
            <w:r w:rsidRPr="003B629A">
              <w:rPr>
                <w:rFonts w:cstheme="minorHAnsi"/>
                <w:lang w:eastAsia="en-GB"/>
              </w:rPr>
              <w:t>, London: Sage. (</w:t>
            </w:r>
            <w:proofErr w:type="gramStart"/>
            <w:r w:rsidRPr="003B629A">
              <w:rPr>
                <w:rFonts w:cstheme="minorHAnsi"/>
                <w:lang w:eastAsia="en-GB"/>
              </w:rPr>
              <w:t>online</w:t>
            </w:r>
            <w:proofErr w:type="gramEnd"/>
            <w:r w:rsidRPr="003B629A">
              <w:rPr>
                <w:rFonts w:cstheme="minorHAnsi"/>
                <w:lang w:eastAsia="en-GB"/>
              </w:rPr>
              <w:t>).</w:t>
            </w:r>
          </w:p>
          <w:p w:rsid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</w:p>
          <w:p w:rsid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3B629A">
              <w:rPr>
                <w:rFonts w:cstheme="minorHAnsi"/>
                <w:lang w:eastAsia="en-GB"/>
              </w:rPr>
              <w:t xml:space="preserve">Saunders, M., Thornhill, A. and Lewis, P. (2019). </w:t>
            </w:r>
            <w:r w:rsidRPr="003B629A">
              <w:rPr>
                <w:rFonts w:cstheme="minorHAnsi"/>
                <w:i/>
                <w:iCs/>
                <w:lang w:eastAsia="en-GB"/>
              </w:rPr>
              <w:t>Research Methods for Busines</w:t>
            </w:r>
            <w:r>
              <w:rPr>
                <w:rFonts w:cstheme="minorHAnsi"/>
                <w:i/>
                <w:iCs/>
                <w:lang w:eastAsia="en-GB"/>
              </w:rPr>
              <w:t>s</w:t>
            </w:r>
            <w:r w:rsidRPr="003B629A">
              <w:rPr>
                <w:rFonts w:cstheme="minorHAnsi"/>
                <w:i/>
                <w:iCs/>
                <w:lang w:eastAsia="en-GB"/>
              </w:rPr>
              <w:t xml:space="preserve"> Students 8th edition</w:t>
            </w:r>
            <w:r w:rsidRPr="003B629A">
              <w:rPr>
                <w:rFonts w:cstheme="minorHAnsi"/>
                <w:lang w:eastAsia="en-GB"/>
              </w:rPr>
              <w:t>. Harlow: Pearson. (</w:t>
            </w:r>
            <w:r>
              <w:rPr>
                <w:rFonts w:cstheme="minorHAnsi"/>
                <w:lang w:eastAsia="en-GB"/>
              </w:rPr>
              <w:t xml:space="preserve">earlier editions </w:t>
            </w:r>
            <w:r w:rsidRPr="003B629A">
              <w:rPr>
                <w:rFonts w:cstheme="minorHAnsi"/>
                <w:lang w:eastAsia="en-GB"/>
              </w:rPr>
              <w:t xml:space="preserve">online) </w:t>
            </w:r>
          </w:p>
          <w:p w:rsid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iCs/>
                <w:lang w:eastAsia="en-GB"/>
              </w:rPr>
            </w:pPr>
            <w:r w:rsidRPr="003B629A">
              <w:rPr>
                <w:rFonts w:cstheme="minorHAnsi"/>
                <w:b/>
                <w:lang w:eastAsia="en-GB"/>
              </w:rPr>
              <w:t xml:space="preserve">Plus guided reading for each topic of the course, available through Link2Lists Reading List. </w:t>
            </w:r>
          </w:p>
          <w:p w:rsidR="003B629A" w:rsidRPr="003B629A" w:rsidRDefault="003B629A" w:rsidP="003B629A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</w:p>
          <w:p w:rsidR="0056006D" w:rsidRPr="00345BBB" w:rsidRDefault="0056006D" w:rsidP="003B629A">
            <w:pPr>
              <w:rPr>
                <w:rFonts w:cstheme="minorHAnsi"/>
                <w:color w:val="FF0000"/>
              </w:rPr>
            </w:pPr>
          </w:p>
        </w:tc>
      </w:tr>
      <w:tr w:rsidR="00B76C82" w:rsidRPr="004003EA" w:rsidTr="00345BBB">
        <w:trPr>
          <w:trHeight w:val="328"/>
        </w:trPr>
        <w:tc>
          <w:tcPr>
            <w:tcW w:w="9669" w:type="dxa"/>
            <w:gridSpan w:val="2"/>
            <w:shd w:val="clear" w:color="auto" w:fill="7030A0"/>
          </w:tcPr>
          <w:p w:rsidR="00B76C82" w:rsidRPr="004003EA" w:rsidRDefault="00B76C82" w:rsidP="00D42AA1">
            <w:pPr>
              <w:ind w:right="-7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</w:tr>
    </w:tbl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8"/>
        <w:gridCol w:w="1701"/>
      </w:tblGrid>
      <w:tr w:rsidR="002F7643" w:rsidRPr="002F7643" w:rsidTr="006D26F2"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2F7643" w:rsidRPr="00D42AA1" w:rsidRDefault="00A25907" w:rsidP="00A25907">
            <w:pPr>
              <w:keepNext/>
              <w:autoSpaceDE w:val="0"/>
              <w:autoSpaceDN w:val="0"/>
              <w:spacing w:before="120" w:after="120" w:line="240" w:lineRule="auto"/>
              <w:ind w:left="284"/>
              <w:jc w:val="center"/>
              <w:outlineLvl w:val="2"/>
              <w:rPr>
                <w:rFonts w:ascii="Calibri" w:eastAsia="Batang" w:hAnsi="Calibri" w:cs="Calibri"/>
                <w:b/>
                <w:sz w:val="24"/>
                <w:szCs w:val="24"/>
                <w:lang w:eastAsia="ko-KR"/>
              </w:rPr>
            </w:pPr>
            <w:r>
              <w:rPr>
                <w:rFonts w:ascii="Calibri" w:eastAsia="Batang" w:hAnsi="Calibri" w:cs="Calibri"/>
                <w:b/>
                <w:sz w:val="24"/>
                <w:szCs w:val="24"/>
                <w:lang w:eastAsia="ko-KR"/>
              </w:rPr>
              <w:t>Mode of Assessment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F7643" w:rsidRPr="00D42AA1" w:rsidRDefault="002F7643" w:rsidP="002F764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libri" w:eastAsia="Batang" w:hAnsi="Calibri" w:cs="Calibri"/>
                <w:b/>
                <w:bCs/>
                <w:sz w:val="24"/>
                <w:szCs w:val="24"/>
                <w:lang w:eastAsia="ko-KR"/>
              </w:rPr>
            </w:pPr>
            <w:r w:rsidRPr="00D42AA1">
              <w:rPr>
                <w:rFonts w:ascii="Calibri" w:eastAsia="Batang" w:hAnsi="Calibri" w:cs="Calibri"/>
                <w:b/>
                <w:bCs/>
                <w:sz w:val="24"/>
                <w:szCs w:val="24"/>
                <w:lang w:eastAsia="ko-KR"/>
              </w:rPr>
              <w:t>Length required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7643" w:rsidRPr="00D42AA1" w:rsidRDefault="002F7643" w:rsidP="002F764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libri" w:eastAsia="Batang" w:hAnsi="Calibri" w:cs="Calibri"/>
                <w:b/>
                <w:bCs/>
                <w:sz w:val="24"/>
                <w:szCs w:val="24"/>
                <w:lang w:eastAsia="ko-KR"/>
              </w:rPr>
            </w:pPr>
            <w:r w:rsidRPr="00D42AA1">
              <w:rPr>
                <w:rFonts w:ascii="Calibri" w:eastAsia="Batang" w:hAnsi="Calibri" w:cs="Calibri"/>
                <w:b/>
                <w:bCs/>
                <w:sz w:val="24"/>
                <w:szCs w:val="24"/>
                <w:lang w:eastAsia="ko-KR"/>
              </w:rPr>
              <w:t>Weighting within unit</w:t>
            </w:r>
          </w:p>
        </w:tc>
      </w:tr>
      <w:tr w:rsidR="002F7643" w:rsidRPr="002F7643" w:rsidTr="006D26F2">
        <w:tc>
          <w:tcPr>
            <w:tcW w:w="6521" w:type="dxa"/>
          </w:tcPr>
          <w:p w:rsidR="006B25E4" w:rsidRPr="0052339A" w:rsidRDefault="006B25E4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The course is assessed by one 2,500 word assignment. </w:t>
            </w:r>
          </w:p>
          <w:p w:rsidR="006B25E4" w:rsidRPr="0052339A" w:rsidRDefault="006B25E4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D38E2" w:rsidRPr="0052339A" w:rsidRDefault="006B25E4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>The assignment will require students to present a j</w:t>
            </w:r>
            <w:r w:rsidR="00584E04">
              <w:rPr>
                <w:rFonts w:asciiTheme="minorHAnsi" w:hAnsiTheme="minorHAnsi" w:cstheme="minorHAnsi"/>
                <w:sz w:val="22"/>
                <w:szCs w:val="22"/>
              </w:rPr>
              <w:t xml:space="preserve">ustification for using up to </w:t>
            </w: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two of the qualitative methods in their </w:t>
            </w:r>
            <w:r w:rsidR="000D38E2"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own PhD research and an assessment of any limitations or ethical questions they might raise. This will require a discussion of the research question(s)/ area of interest; </w:t>
            </w:r>
            <w:r w:rsidR="00584E04">
              <w:rPr>
                <w:rFonts w:asciiTheme="minorHAnsi" w:hAnsiTheme="minorHAnsi" w:cstheme="minorHAnsi"/>
                <w:sz w:val="22"/>
                <w:szCs w:val="22"/>
              </w:rPr>
              <w:t xml:space="preserve">your methodological approach; </w:t>
            </w:r>
            <w:r w:rsidR="000D38E2" w:rsidRPr="0052339A">
              <w:rPr>
                <w:rFonts w:asciiTheme="minorHAnsi" w:hAnsiTheme="minorHAnsi" w:cstheme="minorHAnsi"/>
                <w:sz w:val="22"/>
                <w:szCs w:val="22"/>
              </w:rPr>
              <w:t>identific</w:t>
            </w:r>
            <w:r w:rsidR="0052339A" w:rsidRPr="0052339A">
              <w:rPr>
                <w:rFonts w:asciiTheme="minorHAnsi" w:hAnsiTheme="minorHAnsi" w:cstheme="minorHAnsi"/>
                <w:sz w:val="22"/>
                <w:szCs w:val="22"/>
              </w:rPr>
              <w:t>ation of research participants and recruitment; and proposed method of analysis.</w:t>
            </w:r>
          </w:p>
          <w:p w:rsidR="000D38E2" w:rsidRPr="0052339A" w:rsidRDefault="000D38E2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339A" w:rsidRPr="0052339A" w:rsidRDefault="0052339A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It is intended that this work will contribute to work reviewed in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mid-year and end-of-</w:t>
            </w: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year review. It may also form the basis of the research design; ethics application, and future thesis chapter on methodology. It may also be a chance to try something out on paper - which may lead to a different approach being taken altogether.   </w:t>
            </w:r>
          </w:p>
          <w:p w:rsidR="0052339A" w:rsidRPr="0052339A" w:rsidRDefault="0052339A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5E4" w:rsidRPr="0052339A" w:rsidRDefault="000D38E2" w:rsidP="006B25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>Detailed g</w:t>
            </w:r>
            <w:r w:rsidR="006B25E4"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uidance </w:t>
            </w: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will be given </w:t>
            </w:r>
            <w:r w:rsidR="006B25E4" w:rsidRPr="0052339A">
              <w:rPr>
                <w:rFonts w:asciiTheme="minorHAnsi" w:hAnsiTheme="minorHAnsi" w:cstheme="minorHAnsi"/>
                <w:sz w:val="22"/>
                <w:szCs w:val="22"/>
              </w:rPr>
              <w:t>on what this involves</w:t>
            </w:r>
            <w:r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 and its intended contribution to the PhD process.</w:t>
            </w:r>
            <w:r w:rsidR="006B25E4" w:rsidRPr="005233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5907" w:rsidRPr="0052339A" w:rsidRDefault="006B25E4" w:rsidP="00345BBB">
            <w:pPr>
              <w:autoSpaceDE w:val="0"/>
              <w:autoSpaceDN w:val="0"/>
              <w:spacing w:before="120" w:after="120" w:line="240" w:lineRule="auto"/>
              <w:rPr>
                <w:rFonts w:eastAsia="Batang" w:cstheme="minorHAnsi"/>
                <w:color w:val="000000" w:themeColor="text1"/>
                <w:lang w:eastAsia="ko-KR"/>
              </w:rPr>
            </w:pPr>
            <w:r w:rsidRPr="0052339A">
              <w:rPr>
                <w:rFonts w:eastAsia="Batang" w:cstheme="minorHAnsi"/>
                <w:color w:val="000000" w:themeColor="text1"/>
                <w:lang w:eastAsia="ko-KR"/>
              </w:rPr>
              <w:t>All coursework submission will be through Blackboard</w:t>
            </w:r>
          </w:p>
          <w:p w:rsidR="002F7643" w:rsidRPr="00345BBB" w:rsidRDefault="006B25E4" w:rsidP="00584E04">
            <w:pPr>
              <w:autoSpaceDE w:val="0"/>
              <w:autoSpaceDN w:val="0"/>
              <w:spacing w:before="120" w:after="120" w:line="240" w:lineRule="auto"/>
              <w:rPr>
                <w:rFonts w:eastAsia="Batang" w:cs="Palatino Linotype"/>
                <w:color w:val="FF0000"/>
                <w:lang w:eastAsia="ko-KR"/>
              </w:rPr>
            </w:pPr>
            <w:r w:rsidRPr="0052339A">
              <w:rPr>
                <w:rFonts w:cstheme="minorHAnsi"/>
                <w:b/>
                <w:bCs/>
              </w:rPr>
              <w:t>Assignme</w:t>
            </w:r>
            <w:r w:rsidR="0052339A" w:rsidRPr="0052339A">
              <w:rPr>
                <w:rFonts w:cstheme="minorHAnsi"/>
                <w:b/>
                <w:bCs/>
              </w:rPr>
              <w:t xml:space="preserve">nt to be submitted on </w:t>
            </w:r>
            <w:r w:rsidR="00584E04" w:rsidRPr="00584E04">
              <w:rPr>
                <w:rFonts w:cstheme="minorHAnsi"/>
                <w:b/>
                <w:bCs/>
                <w:highlight w:val="yellow"/>
              </w:rPr>
              <w:t>Wednes</w:t>
            </w:r>
            <w:r w:rsidR="00584E04">
              <w:rPr>
                <w:rFonts w:cstheme="minorHAnsi"/>
                <w:b/>
                <w:bCs/>
                <w:highlight w:val="yellow"/>
              </w:rPr>
              <w:t>day December 15</w:t>
            </w:r>
            <w:r w:rsidR="0052339A" w:rsidRPr="003B629A">
              <w:rPr>
                <w:rFonts w:cstheme="minorHAnsi"/>
                <w:b/>
                <w:bCs/>
                <w:highlight w:val="yellow"/>
              </w:rPr>
              <w:t>, 2021 at noon</w:t>
            </w:r>
            <w:r w:rsidR="0052339A" w:rsidRPr="0052339A">
              <w:rPr>
                <w:rFonts w:cstheme="minorHAnsi"/>
                <w:b/>
                <w:bCs/>
              </w:rPr>
              <w:t>.</w:t>
            </w:r>
            <w:r w:rsidRPr="0052339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:rsidR="002F7643" w:rsidRPr="002F7643" w:rsidRDefault="006B25E4" w:rsidP="002F764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eastAsia="Batang" w:cs="Palatino Linotype"/>
                <w:lang w:eastAsia="ko-KR"/>
              </w:rPr>
            </w:pPr>
            <w:r>
              <w:rPr>
                <w:rFonts w:eastAsia="Batang" w:cs="Palatino Linotype"/>
                <w:lang w:eastAsia="ko-KR"/>
              </w:rPr>
              <w:lastRenderedPageBreak/>
              <w:t>2,500 words</w:t>
            </w:r>
            <w:r w:rsidR="00584E04">
              <w:rPr>
                <w:rFonts w:eastAsia="Batang" w:cs="Palatino Linotype"/>
                <w:lang w:eastAsia="ko-KR"/>
              </w:rPr>
              <w:t xml:space="preserve"> exclusive of reading list and appendices</w:t>
            </w:r>
          </w:p>
        </w:tc>
        <w:tc>
          <w:tcPr>
            <w:tcW w:w="1701" w:type="dxa"/>
          </w:tcPr>
          <w:p w:rsidR="002F7643" w:rsidRPr="002F7643" w:rsidRDefault="006B25E4" w:rsidP="002F764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eastAsia="Batang" w:cs="Palatino Linotype"/>
                <w:lang w:eastAsia="ko-KR"/>
              </w:rPr>
            </w:pPr>
            <w:r>
              <w:rPr>
                <w:rFonts w:eastAsia="Batang" w:cs="Palatino Linotype"/>
                <w:lang w:eastAsia="ko-KR"/>
              </w:rPr>
              <w:t>100%</w:t>
            </w:r>
          </w:p>
        </w:tc>
      </w:tr>
      <w:tr w:rsidR="002F7643" w:rsidRPr="002F7643" w:rsidTr="006D26F2">
        <w:tc>
          <w:tcPr>
            <w:tcW w:w="6521" w:type="dxa"/>
          </w:tcPr>
          <w:p w:rsidR="002F7643" w:rsidRPr="00D42AA1" w:rsidRDefault="002F7643" w:rsidP="006B25E4">
            <w:pPr>
              <w:spacing w:after="0" w:line="240" w:lineRule="auto"/>
              <w:rPr>
                <w:color w:val="FF0000"/>
              </w:rPr>
            </w:pPr>
            <w:r w:rsidRPr="002F7643">
              <w:rPr>
                <w:rFonts w:eastAsia="Batang" w:cs="Palatino Linotype"/>
                <w:b/>
                <w:lang w:eastAsia="ko-KR"/>
              </w:rPr>
              <w:t>Resits</w:t>
            </w:r>
            <w:r>
              <w:rPr>
                <w:rFonts w:eastAsia="Batang" w:cs="Palatino Linotype"/>
                <w:lang w:eastAsia="ko-KR"/>
              </w:rPr>
              <w:t xml:space="preserve">: </w:t>
            </w:r>
            <w:r w:rsidR="006B25E4">
              <w:rPr>
                <w:rFonts w:eastAsia="Batang" w:cs="Palatino Linotype"/>
                <w:lang w:eastAsia="ko-KR"/>
              </w:rPr>
              <w:t>Resits are allowed if the exam board considers it appropriate to offer a resit assessment.</w:t>
            </w:r>
          </w:p>
        </w:tc>
        <w:tc>
          <w:tcPr>
            <w:tcW w:w="1418" w:type="dxa"/>
          </w:tcPr>
          <w:p w:rsidR="002F7643" w:rsidRPr="002F7643" w:rsidRDefault="002F7643" w:rsidP="002F764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eastAsia="Batang" w:cs="Palatino Linotype"/>
                <w:lang w:eastAsia="ko-KR"/>
              </w:rPr>
            </w:pPr>
          </w:p>
        </w:tc>
        <w:tc>
          <w:tcPr>
            <w:tcW w:w="1701" w:type="dxa"/>
          </w:tcPr>
          <w:p w:rsidR="002F7643" w:rsidRPr="002F7643" w:rsidRDefault="002F7643" w:rsidP="002F764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eastAsia="Batang" w:cs="Palatino Linotype"/>
                <w:lang w:eastAsia="ko-KR"/>
              </w:rPr>
            </w:pPr>
          </w:p>
        </w:tc>
      </w:tr>
    </w:tbl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526CA" w:rsidRPr="004003EA" w:rsidTr="00345BBB">
        <w:tc>
          <w:tcPr>
            <w:tcW w:w="9640" w:type="dxa"/>
            <w:shd w:val="clear" w:color="auto" w:fill="7030A0"/>
          </w:tcPr>
          <w:p w:rsidR="009526CA" w:rsidRPr="004003EA" w:rsidRDefault="009526CA" w:rsidP="003A0F8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Feedback</w:t>
            </w:r>
            <w:r w:rsidR="00A259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methods</w:t>
            </w:r>
          </w:p>
        </w:tc>
      </w:tr>
      <w:tr w:rsidR="00A25907" w:rsidTr="00345BBB">
        <w:tc>
          <w:tcPr>
            <w:tcW w:w="9640" w:type="dxa"/>
          </w:tcPr>
          <w:p w:rsidR="00B274A6" w:rsidRPr="00A25907" w:rsidRDefault="006D26F2" w:rsidP="00A25907">
            <w:pPr>
              <w:rPr>
                <w:rFonts w:cstheme="minorHAnsi"/>
                <w:color w:val="FF0000"/>
              </w:rPr>
            </w:pPr>
            <w:r>
              <w:t xml:space="preserve">Feedback for all assessed coursework and formative assessment must be returned within </w:t>
            </w:r>
            <w:r>
              <w:rPr>
                <w:b/>
                <w:bCs/>
              </w:rPr>
              <w:t xml:space="preserve">15 working days </w:t>
            </w:r>
            <w:r>
              <w:t>of the submission deadline. A working day is defined as Monday to Friday, not including bank holidays and excluding student vacation periods and University examination periods.</w:t>
            </w:r>
          </w:p>
          <w:p w:rsidR="00A25907" w:rsidRDefault="0052339A" w:rsidP="004003E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t xml:space="preserve">Students are encouraged to engage with the course leader about the content and execution of the course. </w:t>
            </w:r>
            <w:r>
              <w:rPr>
                <w:sz w:val="23"/>
                <w:szCs w:val="23"/>
              </w:rPr>
              <w:t xml:space="preserve">Students </w:t>
            </w:r>
            <w:r>
              <w:t>are also invited to fill out the course evaluation questionnaire at the end of the course that is accessible on Blackboard.</w:t>
            </w:r>
          </w:p>
        </w:tc>
      </w:tr>
    </w:tbl>
    <w:p w:rsidR="009526CA" w:rsidRPr="00290A4D" w:rsidRDefault="009526CA" w:rsidP="00D42AA1">
      <w:pPr>
        <w:spacing w:after="0" w:line="240" w:lineRule="auto"/>
        <w:ind w:left="-142" w:right="-188"/>
        <w:rPr>
          <w:rFonts w:ascii="Arial" w:hAnsi="Arial" w:cs="Arial"/>
          <w:b/>
          <w:color w:val="FF0000"/>
          <w:sz w:val="24"/>
          <w:szCs w:val="24"/>
        </w:rPr>
      </w:pPr>
      <w:r w:rsidRPr="00290A4D">
        <w:rPr>
          <w:color w:val="FF0000"/>
        </w:rPr>
        <w:t xml:space="preserve"> </w:t>
      </w:r>
    </w:p>
    <w:sectPr w:rsidR="009526CA" w:rsidRPr="00290A4D" w:rsidSect="00D42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DF" w:rsidRDefault="00A678DF" w:rsidP="00A678DF">
      <w:pPr>
        <w:spacing w:after="0" w:line="240" w:lineRule="auto"/>
      </w:pPr>
      <w:r>
        <w:separator/>
      </w:r>
    </w:p>
  </w:endnote>
  <w:endnote w:type="continuationSeparator" w:id="0">
    <w:p w:rsidR="00A678DF" w:rsidRDefault="00A678DF" w:rsidP="00A6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1" w:rsidRDefault="00560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1" w:rsidRDefault="00560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1" w:rsidRDefault="0056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DF" w:rsidRDefault="00A678DF" w:rsidP="00A678DF">
      <w:pPr>
        <w:spacing w:after="0" w:line="240" w:lineRule="auto"/>
      </w:pPr>
      <w:r>
        <w:separator/>
      </w:r>
    </w:p>
  </w:footnote>
  <w:footnote w:type="continuationSeparator" w:id="0">
    <w:p w:rsidR="00A678DF" w:rsidRDefault="00A678DF" w:rsidP="00A6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1" w:rsidRDefault="00560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1" w:rsidRDefault="00560291" w:rsidP="00560291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26B90254" wp14:editId="229B0FE8">
          <wp:extent cx="1581150" cy="657225"/>
          <wp:effectExtent l="0" t="0" r="0" b="9525"/>
          <wp:docPr id="2" name="Picture 3" descr="The University of Manchester" title="University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560291" w:rsidRDefault="00560291" w:rsidP="00560291">
    <w:pPr>
      <w:pStyle w:val="Header"/>
      <w:rPr>
        <w:rFonts w:ascii="Arial" w:hAnsi="Arial" w:cs="Arial"/>
        <w:b/>
      </w:rPr>
    </w:pPr>
  </w:p>
  <w:p w:rsidR="00A678DF" w:rsidRDefault="00560291" w:rsidP="00560291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678DF">
      <w:rPr>
        <w:rFonts w:ascii="Arial" w:hAnsi="Arial" w:cs="Arial"/>
        <w:b/>
      </w:rPr>
      <w:t>Alliance Manchester Business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1" w:rsidRDefault="00560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08F5"/>
    <w:multiLevelType w:val="hybridMultilevel"/>
    <w:tmpl w:val="A452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270C"/>
    <w:multiLevelType w:val="hybridMultilevel"/>
    <w:tmpl w:val="41C0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7BB8"/>
    <w:multiLevelType w:val="hybridMultilevel"/>
    <w:tmpl w:val="FEEADC98"/>
    <w:lvl w:ilvl="0" w:tplc="A9D4B59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DF"/>
    <w:rsid w:val="00003E4A"/>
    <w:rsid w:val="000A0706"/>
    <w:rsid w:val="000C56BC"/>
    <w:rsid w:val="000D38E2"/>
    <w:rsid w:val="00290A4D"/>
    <w:rsid w:val="002F7643"/>
    <w:rsid w:val="00303944"/>
    <w:rsid w:val="00336841"/>
    <w:rsid w:val="00345BBB"/>
    <w:rsid w:val="00347F27"/>
    <w:rsid w:val="00396F3E"/>
    <w:rsid w:val="003B629A"/>
    <w:rsid w:val="003D6C68"/>
    <w:rsid w:val="003E0908"/>
    <w:rsid w:val="004003EA"/>
    <w:rsid w:val="00411312"/>
    <w:rsid w:val="004274AD"/>
    <w:rsid w:val="004B1E88"/>
    <w:rsid w:val="0052339A"/>
    <w:rsid w:val="00536D49"/>
    <w:rsid w:val="0056006D"/>
    <w:rsid w:val="00560291"/>
    <w:rsid w:val="00584E04"/>
    <w:rsid w:val="00591BAF"/>
    <w:rsid w:val="00622D16"/>
    <w:rsid w:val="0063304D"/>
    <w:rsid w:val="006A15A6"/>
    <w:rsid w:val="006B25E4"/>
    <w:rsid w:val="006B2ECC"/>
    <w:rsid w:val="006D26F2"/>
    <w:rsid w:val="006E64D9"/>
    <w:rsid w:val="006F592B"/>
    <w:rsid w:val="007420AC"/>
    <w:rsid w:val="0079253C"/>
    <w:rsid w:val="008B64AE"/>
    <w:rsid w:val="009526CA"/>
    <w:rsid w:val="009A0B09"/>
    <w:rsid w:val="009A2688"/>
    <w:rsid w:val="00A25907"/>
    <w:rsid w:val="00A678DF"/>
    <w:rsid w:val="00A935FE"/>
    <w:rsid w:val="00AA2E20"/>
    <w:rsid w:val="00B274A6"/>
    <w:rsid w:val="00B46E87"/>
    <w:rsid w:val="00B76C82"/>
    <w:rsid w:val="00BC4684"/>
    <w:rsid w:val="00C7344D"/>
    <w:rsid w:val="00CA6A79"/>
    <w:rsid w:val="00CF3EFD"/>
    <w:rsid w:val="00D42AA1"/>
    <w:rsid w:val="00D52A0A"/>
    <w:rsid w:val="00D57CBE"/>
    <w:rsid w:val="00E155B3"/>
    <w:rsid w:val="00E46863"/>
    <w:rsid w:val="00EB7A93"/>
    <w:rsid w:val="00F35B5A"/>
    <w:rsid w:val="00F429F4"/>
    <w:rsid w:val="00F67FB8"/>
    <w:rsid w:val="00F7788B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8D13"/>
  <w15:docId w15:val="{B0443118-E4E4-4619-AC55-37B55555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DF"/>
  </w:style>
  <w:style w:type="paragraph" w:styleId="Footer">
    <w:name w:val="footer"/>
    <w:basedOn w:val="Normal"/>
    <w:link w:val="FooterChar"/>
    <w:uiPriority w:val="99"/>
    <w:unhideWhenUsed/>
    <w:rsid w:val="00A6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DF"/>
  </w:style>
  <w:style w:type="table" w:styleId="TableGrid">
    <w:name w:val="Table Grid"/>
    <w:basedOn w:val="TableNormal"/>
    <w:uiPriority w:val="59"/>
    <w:rsid w:val="0040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DD74-6AF2-4DDC-B515-087A1494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Madeleine Ryan</dc:creator>
  <cp:lastModifiedBy>Anne Mcbride</cp:lastModifiedBy>
  <cp:revision>7</cp:revision>
  <cp:lastPrinted>2021-05-23T19:46:00Z</cp:lastPrinted>
  <dcterms:created xsi:type="dcterms:W3CDTF">2021-05-23T18:13:00Z</dcterms:created>
  <dcterms:modified xsi:type="dcterms:W3CDTF">2021-05-23T19:48:00Z</dcterms:modified>
</cp:coreProperties>
</file>