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669" w:type="dxa"/>
        <w:tblInd w:w="-176" w:type="dxa"/>
        <w:tblLook w:val="04A0" w:firstRow="1" w:lastRow="0" w:firstColumn="1" w:lastColumn="0" w:noHBand="0" w:noVBand="1"/>
      </w:tblPr>
      <w:tblGrid>
        <w:gridCol w:w="2988"/>
        <w:gridCol w:w="1741"/>
        <w:gridCol w:w="4940"/>
      </w:tblGrid>
      <w:tr w:rsidR="0063304D" w:rsidRPr="009D504F" w14:paraId="7E8037BE" w14:textId="77777777" w:rsidTr="00345BBB">
        <w:trPr>
          <w:trHeight w:val="1004"/>
        </w:trPr>
        <w:tc>
          <w:tcPr>
            <w:tcW w:w="9669" w:type="dxa"/>
            <w:gridSpan w:val="3"/>
            <w:shd w:val="clear" w:color="auto" w:fill="7030A0"/>
          </w:tcPr>
          <w:p w14:paraId="312C2E09" w14:textId="77777777" w:rsidR="0063304D" w:rsidRPr="009D504F" w:rsidRDefault="0063304D" w:rsidP="0063304D">
            <w:pPr>
              <w:jc w:val="center"/>
              <w:rPr>
                <w:rFonts w:cs="Arial"/>
                <w:b/>
                <w:sz w:val="28"/>
                <w:szCs w:val="28"/>
              </w:rPr>
            </w:pPr>
          </w:p>
          <w:p w14:paraId="06EEEE82" w14:textId="77777777" w:rsidR="00F5012B" w:rsidRPr="00F5012B" w:rsidRDefault="00F5012B" w:rsidP="0063304D">
            <w:pPr>
              <w:jc w:val="center"/>
              <w:rPr>
                <w:rFonts w:cs="Arial"/>
                <w:b/>
                <w:color w:val="FFFFFF" w:themeColor="background1"/>
                <w:sz w:val="34"/>
                <w:szCs w:val="34"/>
              </w:rPr>
            </w:pPr>
            <w:r w:rsidRPr="00F5012B">
              <w:rPr>
                <w:rFonts w:cs="Arial"/>
                <w:b/>
                <w:color w:val="FFFFFF" w:themeColor="background1"/>
                <w:sz w:val="34"/>
                <w:szCs w:val="34"/>
              </w:rPr>
              <w:t>Doctoral Programme</w:t>
            </w:r>
          </w:p>
          <w:p w14:paraId="17409F89" w14:textId="77777777" w:rsidR="0063304D" w:rsidRPr="00F5012B" w:rsidRDefault="007808C0" w:rsidP="0063304D">
            <w:pPr>
              <w:jc w:val="center"/>
              <w:rPr>
                <w:rFonts w:cs="Arial"/>
                <w:b/>
                <w:color w:val="FFFFFF" w:themeColor="background1"/>
                <w:sz w:val="34"/>
                <w:szCs w:val="34"/>
              </w:rPr>
            </w:pPr>
            <w:r>
              <w:rPr>
                <w:rFonts w:cs="Arial"/>
                <w:b/>
                <w:color w:val="FFFFFF" w:themeColor="background1"/>
                <w:sz w:val="34"/>
                <w:szCs w:val="34"/>
              </w:rPr>
              <w:t>Course Unit O</w:t>
            </w:r>
            <w:r w:rsidR="0063304D" w:rsidRPr="00F5012B">
              <w:rPr>
                <w:rFonts w:cs="Arial"/>
                <w:b/>
                <w:color w:val="FFFFFF" w:themeColor="background1"/>
                <w:sz w:val="34"/>
                <w:szCs w:val="34"/>
              </w:rPr>
              <w:t xml:space="preserve">utline </w:t>
            </w:r>
            <w:r w:rsidR="001535E6">
              <w:rPr>
                <w:rFonts w:cs="Arial"/>
                <w:b/>
                <w:color w:val="FFFFFF" w:themeColor="background1"/>
                <w:sz w:val="34"/>
                <w:szCs w:val="34"/>
              </w:rPr>
              <w:t>2021/22</w:t>
            </w:r>
          </w:p>
          <w:p w14:paraId="253507FD" w14:textId="77777777" w:rsidR="0063304D" w:rsidRPr="009D504F" w:rsidRDefault="0063304D" w:rsidP="00A678DF">
            <w:pPr>
              <w:jc w:val="center"/>
              <w:rPr>
                <w:rFonts w:cs="Arial"/>
                <w:b/>
                <w:sz w:val="28"/>
                <w:szCs w:val="28"/>
              </w:rPr>
            </w:pPr>
          </w:p>
        </w:tc>
      </w:tr>
      <w:tr w:rsidR="0063304D" w:rsidRPr="009D504F" w14:paraId="7FF376F8" w14:textId="77777777" w:rsidTr="00345BBB">
        <w:tc>
          <w:tcPr>
            <w:tcW w:w="2988" w:type="dxa"/>
            <w:shd w:val="clear" w:color="auto" w:fill="D9D9D9" w:themeFill="background1" w:themeFillShade="D9"/>
          </w:tcPr>
          <w:p w14:paraId="17E77521" w14:textId="77777777" w:rsidR="0063304D" w:rsidRPr="009D504F" w:rsidRDefault="0063304D" w:rsidP="00D57CBE">
            <w:pPr>
              <w:rPr>
                <w:rFonts w:cs="Calibri"/>
                <w:b/>
                <w:sz w:val="28"/>
                <w:szCs w:val="28"/>
              </w:rPr>
            </w:pPr>
            <w:r w:rsidRPr="009D504F">
              <w:rPr>
                <w:rFonts w:cs="Calibri"/>
                <w:b/>
                <w:sz w:val="24"/>
                <w:szCs w:val="24"/>
              </w:rPr>
              <w:t xml:space="preserve">Unit code: </w:t>
            </w:r>
          </w:p>
        </w:tc>
        <w:tc>
          <w:tcPr>
            <w:tcW w:w="6681" w:type="dxa"/>
            <w:gridSpan w:val="2"/>
          </w:tcPr>
          <w:p w14:paraId="25852544" w14:textId="77777777" w:rsidR="0063304D" w:rsidRPr="009D504F" w:rsidRDefault="009068C1" w:rsidP="00290A4D">
            <w:pPr>
              <w:rPr>
                <w:rFonts w:cstheme="minorHAnsi"/>
                <w:b/>
              </w:rPr>
            </w:pPr>
            <w:r>
              <w:rPr>
                <w:rFonts w:cstheme="minorHAnsi"/>
                <w:b/>
              </w:rPr>
              <w:t>BMAN 80921</w:t>
            </w:r>
          </w:p>
        </w:tc>
      </w:tr>
      <w:tr w:rsidR="0063304D" w:rsidRPr="009D504F" w14:paraId="1CD800D2" w14:textId="77777777" w:rsidTr="00345BBB">
        <w:tc>
          <w:tcPr>
            <w:tcW w:w="2988" w:type="dxa"/>
            <w:shd w:val="clear" w:color="auto" w:fill="D9D9D9" w:themeFill="background1" w:themeFillShade="D9"/>
          </w:tcPr>
          <w:p w14:paraId="3A27FD0F" w14:textId="77777777" w:rsidR="0063304D" w:rsidRPr="009D504F" w:rsidRDefault="0063304D" w:rsidP="00290A4D">
            <w:pPr>
              <w:rPr>
                <w:rFonts w:cs="Calibri"/>
                <w:b/>
                <w:sz w:val="24"/>
                <w:szCs w:val="24"/>
              </w:rPr>
            </w:pPr>
            <w:r w:rsidRPr="009D504F">
              <w:rPr>
                <w:rFonts w:cs="Calibri"/>
                <w:b/>
                <w:sz w:val="24"/>
                <w:szCs w:val="24"/>
              </w:rPr>
              <w:t>Title:</w:t>
            </w:r>
          </w:p>
        </w:tc>
        <w:tc>
          <w:tcPr>
            <w:tcW w:w="6681" w:type="dxa"/>
            <w:gridSpan w:val="2"/>
          </w:tcPr>
          <w:p w14:paraId="2B23F0C2" w14:textId="77777777" w:rsidR="0063304D" w:rsidRPr="009D504F" w:rsidRDefault="00BB0A10" w:rsidP="00290A4D">
            <w:pPr>
              <w:rPr>
                <w:rFonts w:cs="Arial"/>
                <w:b/>
                <w:sz w:val="28"/>
                <w:szCs w:val="28"/>
              </w:rPr>
            </w:pPr>
            <w:r w:rsidRPr="00BB0A10">
              <w:rPr>
                <w:rFonts w:cstheme="minorHAnsi"/>
                <w:b/>
              </w:rPr>
              <w:t>Research Process 1 (RP1) Literature Review</w:t>
            </w:r>
          </w:p>
        </w:tc>
      </w:tr>
      <w:tr w:rsidR="0063304D" w:rsidRPr="009D504F" w14:paraId="24E116C5" w14:textId="77777777" w:rsidTr="00345BBB">
        <w:tc>
          <w:tcPr>
            <w:tcW w:w="2988" w:type="dxa"/>
            <w:shd w:val="clear" w:color="auto" w:fill="D9D9D9" w:themeFill="background1" w:themeFillShade="D9"/>
          </w:tcPr>
          <w:p w14:paraId="25A43090" w14:textId="77777777" w:rsidR="0063304D" w:rsidRPr="009D504F" w:rsidRDefault="0063304D" w:rsidP="00290A4D">
            <w:pPr>
              <w:rPr>
                <w:rFonts w:cs="Calibri"/>
                <w:b/>
                <w:sz w:val="24"/>
                <w:szCs w:val="24"/>
              </w:rPr>
            </w:pPr>
            <w:r w:rsidRPr="009D504F">
              <w:rPr>
                <w:rFonts w:cs="Calibri"/>
                <w:b/>
                <w:sz w:val="24"/>
                <w:szCs w:val="24"/>
              </w:rPr>
              <w:t xml:space="preserve">Credit </w:t>
            </w:r>
            <w:r w:rsidR="00B274A6" w:rsidRPr="009D504F">
              <w:rPr>
                <w:rFonts w:cs="Calibri"/>
                <w:b/>
                <w:sz w:val="24"/>
                <w:szCs w:val="24"/>
              </w:rPr>
              <w:t>value</w:t>
            </w:r>
            <w:r w:rsidRPr="009D504F">
              <w:rPr>
                <w:rFonts w:cs="Calibri"/>
                <w:b/>
                <w:sz w:val="24"/>
                <w:szCs w:val="24"/>
              </w:rPr>
              <w:t>:</w:t>
            </w:r>
          </w:p>
        </w:tc>
        <w:tc>
          <w:tcPr>
            <w:tcW w:w="6681" w:type="dxa"/>
            <w:gridSpan w:val="2"/>
          </w:tcPr>
          <w:p w14:paraId="26E7C79A" w14:textId="77777777" w:rsidR="0063304D" w:rsidRPr="00BB0A10" w:rsidRDefault="00BB0A10" w:rsidP="009D504F">
            <w:pPr>
              <w:rPr>
                <w:rFonts w:cstheme="minorHAnsi"/>
              </w:rPr>
            </w:pPr>
            <w:r w:rsidRPr="00BB0A10">
              <w:rPr>
                <w:rFonts w:cstheme="minorHAnsi"/>
              </w:rPr>
              <w:t>15</w:t>
            </w:r>
          </w:p>
        </w:tc>
      </w:tr>
      <w:tr w:rsidR="0063304D" w:rsidRPr="009D504F" w14:paraId="63452378" w14:textId="77777777" w:rsidTr="00345BBB">
        <w:tc>
          <w:tcPr>
            <w:tcW w:w="2988" w:type="dxa"/>
            <w:shd w:val="clear" w:color="auto" w:fill="D9D9D9" w:themeFill="background1" w:themeFillShade="D9"/>
          </w:tcPr>
          <w:p w14:paraId="6A334367" w14:textId="77777777" w:rsidR="00B274A6" w:rsidRPr="009D504F" w:rsidRDefault="0063304D" w:rsidP="00290A4D">
            <w:pPr>
              <w:rPr>
                <w:rFonts w:cs="Calibri"/>
                <w:b/>
                <w:sz w:val="24"/>
                <w:szCs w:val="24"/>
              </w:rPr>
            </w:pPr>
            <w:r w:rsidRPr="009D504F">
              <w:rPr>
                <w:rFonts w:cs="Calibri"/>
                <w:b/>
                <w:sz w:val="24"/>
                <w:szCs w:val="24"/>
              </w:rPr>
              <w:t>Semester:</w:t>
            </w:r>
          </w:p>
        </w:tc>
        <w:tc>
          <w:tcPr>
            <w:tcW w:w="6681" w:type="dxa"/>
            <w:gridSpan w:val="2"/>
          </w:tcPr>
          <w:p w14:paraId="4BADBD54" w14:textId="77777777" w:rsidR="0063304D" w:rsidRPr="00BB0A10" w:rsidRDefault="00BB0A10" w:rsidP="00290A4D">
            <w:pPr>
              <w:rPr>
                <w:rFonts w:cstheme="minorHAnsi"/>
              </w:rPr>
            </w:pPr>
            <w:r w:rsidRPr="00BB0A10">
              <w:rPr>
                <w:rFonts w:cstheme="minorHAnsi"/>
              </w:rPr>
              <w:t>1</w:t>
            </w:r>
          </w:p>
        </w:tc>
      </w:tr>
      <w:tr w:rsidR="0063304D" w:rsidRPr="009D504F" w14:paraId="58A331CE" w14:textId="77777777" w:rsidTr="00345BBB">
        <w:tc>
          <w:tcPr>
            <w:tcW w:w="2988" w:type="dxa"/>
            <w:shd w:val="clear" w:color="auto" w:fill="D9D9D9" w:themeFill="background1" w:themeFillShade="D9"/>
          </w:tcPr>
          <w:p w14:paraId="6E6E9845" w14:textId="77777777" w:rsidR="0063304D" w:rsidRPr="009D504F" w:rsidRDefault="0063304D" w:rsidP="0063304D">
            <w:pPr>
              <w:rPr>
                <w:rFonts w:cs="Calibri"/>
                <w:b/>
                <w:sz w:val="24"/>
                <w:szCs w:val="24"/>
              </w:rPr>
            </w:pPr>
            <w:r w:rsidRPr="009D504F">
              <w:rPr>
                <w:rFonts w:cs="Calibri"/>
                <w:b/>
                <w:sz w:val="24"/>
                <w:szCs w:val="24"/>
              </w:rPr>
              <w:t xml:space="preserve">Course Coordinator </w:t>
            </w:r>
          </w:p>
          <w:p w14:paraId="23D47B91" w14:textId="77777777" w:rsidR="0063304D" w:rsidRPr="009D504F" w:rsidRDefault="0063304D" w:rsidP="00D57CBE">
            <w:pPr>
              <w:rPr>
                <w:rFonts w:cs="Calibri"/>
                <w:b/>
                <w:sz w:val="24"/>
                <w:szCs w:val="24"/>
              </w:rPr>
            </w:pPr>
            <w:r w:rsidRPr="009D504F">
              <w:rPr>
                <w:rFonts w:cs="Calibri"/>
                <w:b/>
                <w:sz w:val="24"/>
                <w:szCs w:val="24"/>
              </w:rPr>
              <w:t>contact details:</w:t>
            </w:r>
          </w:p>
        </w:tc>
        <w:tc>
          <w:tcPr>
            <w:tcW w:w="6681" w:type="dxa"/>
            <w:gridSpan w:val="2"/>
          </w:tcPr>
          <w:p w14:paraId="29951DC1" w14:textId="77777777" w:rsidR="0063304D" w:rsidRPr="009D504F" w:rsidRDefault="007113B0" w:rsidP="007113B0">
            <w:r w:rsidRPr="009D504F">
              <w:t xml:space="preserve">Heiner Evanschitzky, </w:t>
            </w:r>
            <w:hyperlink r:id="rId8" w:history="1">
              <w:r w:rsidRPr="009D504F">
                <w:rPr>
                  <w:rStyle w:val="Hyperlink"/>
                </w:rPr>
                <w:t>heiner.evanschitzky@manchester.ac.uk</w:t>
              </w:r>
            </w:hyperlink>
            <w:r w:rsidRPr="009D504F">
              <w:t xml:space="preserve"> </w:t>
            </w:r>
          </w:p>
        </w:tc>
      </w:tr>
      <w:tr w:rsidR="0063304D" w:rsidRPr="009D504F" w14:paraId="5884AD5C" w14:textId="77777777" w:rsidTr="00345BBB">
        <w:tc>
          <w:tcPr>
            <w:tcW w:w="2988" w:type="dxa"/>
            <w:shd w:val="clear" w:color="auto" w:fill="D9D9D9" w:themeFill="background1" w:themeFillShade="D9"/>
          </w:tcPr>
          <w:p w14:paraId="07BA8AA0" w14:textId="77777777" w:rsidR="0063304D" w:rsidRPr="009D504F" w:rsidRDefault="0063304D" w:rsidP="00D57CBE">
            <w:pPr>
              <w:rPr>
                <w:rFonts w:cs="Calibri"/>
                <w:b/>
                <w:sz w:val="24"/>
                <w:szCs w:val="24"/>
              </w:rPr>
            </w:pPr>
            <w:r w:rsidRPr="009D504F">
              <w:rPr>
                <w:rFonts w:cs="Calibri"/>
                <w:b/>
                <w:sz w:val="24"/>
                <w:szCs w:val="24"/>
              </w:rPr>
              <w:t>Other staff involved contact details:</w:t>
            </w:r>
          </w:p>
        </w:tc>
        <w:tc>
          <w:tcPr>
            <w:tcW w:w="6681" w:type="dxa"/>
            <w:gridSpan w:val="2"/>
          </w:tcPr>
          <w:p w14:paraId="1A64C6FD" w14:textId="77777777" w:rsidR="0063304D" w:rsidRPr="00CE4411" w:rsidRDefault="00BB0A10" w:rsidP="00290A4D">
            <w:bookmarkStart w:id="0" w:name="OLE_LINK1"/>
            <w:r w:rsidRPr="00CE4411">
              <w:t>Laszlo Czaban</w:t>
            </w:r>
            <w:bookmarkEnd w:id="0"/>
            <w:r w:rsidRPr="00CE4411">
              <w:t xml:space="preserve">, </w:t>
            </w:r>
            <w:hyperlink r:id="rId9" w:history="1">
              <w:r w:rsidRPr="00CE4411">
                <w:rPr>
                  <w:rStyle w:val="Hyperlink"/>
                </w:rPr>
                <w:t>Laszlo.czaban@manchester.ac.uk</w:t>
              </w:r>
            </w:hyperlink>
            <w:r w:rsidRPr="00CE4411">
              <w:t xml:space="preserve"> </w:t>
            </w:r>
          </w:p>
          <w:p w14:paraId="2732877E" w14:textId="1A33DD19" w:rsidR="002A2CDE" w:rsidRPr="009D504F" w:rsidRDefault="002A2CDE" w:rsidP="00290A4D">
            <w:r w:rsidRPr="00CE4411">
              <w:t>Miguel</w:t>
            </w:r>
            <w:r w:rsidR="00553DBD" w:rsidRPr="00CE4411">
              <w:t xml:space="preserve"> Mart</w:t>
            </w:r>
            <w:r w:rsidR="00553DBD" w:rsidRPr="00CE4411">
              <w:rPr>
                <w:rFonts w:cstheme="minorHAnsi"/>
              </w:rPr>
              <w:t>í</w:t>
            </w:r>
            <w:r w:rsidR="00553DBD" w:rsidRPr="00CE4411">
              <w:t>nez</w:t>
            </w:r>
            <w:r w:rsidR="00553DBD">
              <w:t xml:space="preserve"> Lucio </w:t>
            </w:r>
            <w:hyperlink r:id="rId10" w:history="1">
              <w:r w:rsidR="00553DBD" w:rsidRPr="00D93D4A">
                <w:rPr>
                  <w:rStyle w:val="Hyperlink"/>
                </w:rPr>
                <w:t>miguel.martinezlucio@manchester.ac.uk</w:t>
              </w:r>
            </w:hyperlink>
            <w:r w:rsidR="00553DBD">
              <w:t xml:space="preserve"> </w:t>
            </w:r>
          </w:p>
        </w:tc>
      </w:tr>
      <w:tr w:rsidR="00345BBB" w:rsidRPr="009D504F" w14:paraId="65B07390" w14:textId="77777777" w:rsidTr="00345BBB">
        <w:tc>
          <w:tcPr>
            <w:tcW w:w="2988" w:type="dxa"/>
            <w:shd w:val="clear" w:color="auto" w:fill="D9D9D9" w:themeFill="background1" w:themeFillShade="D9"/>
          </w:tcPr>
          <w:p w14:paraId="74FB9249" w14:textId="77777777" w:rsidR="00345BBB" w:rsidRPr="009D504F" w:rsidRDefault="00345BBB" w:rsidP="0063304D">
            <w:pPr>
              <w:rPr>
                <w:rFonts w:cs="Calibri"/>
                <w:b/>
                <w:sz w:val="24"/>
                <w:szCs w:val="24"/>
              </w:rPr>
            </w:pPr>
            <w:r w:rsidRPr="009D504F">
              <w:rPr>
                <w:rFonts w:cs="Calibri"/>
                <w:b/>
                <w:sz w:val="24"/>
                <w:szCs w:val="24"/>
              </w:rPr>
              <w:t>Pre-requisites</w:t>
            </w:r>
          </w:p>
          <w:p w14:paraId="722801FD" w14:textId="77777777" w:rsidR="00345BBB" w:rsidRPr="009D504F" w:rsidRDefault="00345BBB" w:rsidP="0063304D">
            <w:pPr>
              <w:rPr>
                <w:rFonts w:cs="Calibri"/>
                <w:b/>
                <w:sz w:val="24"/>
                <w:szCs w:val="24"/>
              </w:rPr>
            </w:pPr>
            <w:r w:rsidRPr="009D504F">
              <w:rPr>
                <w:rFonts w:cs="Calibri"/>
                <w:b/>
                <w:sz w:val="24"/>
                <w:szCs w:val="24"/>
              </w:rPr>
              <w:t>Co-requisites</w:t>
            </w:r>
          </w:p>
          <w:p w14:paraId="03E13057" w14:textId="77777777" w:rsidR="00345BBB" w:rsidRPr="009D504F" w:rsidRDefault="00B274A6" w:rsidP="0063304D">
            <w:pPr>
              <w:rPr>
                <w:rFonts w:cs="Calibri"/>
                <w:b/>
                <w:sz w:val="24"/>
                <w:szCs w:val="24"/>
              </w:rPr>
            </w:pPr>
            <w:r w:rsidRPr="009D504F">
              <w:rPr>
                <w:rFonts w:cs="Calibri"/>
                <w:b/>
                <w:sz w:val="24"/>
                <w:szCs w:val="24"/>
              </w:rPr>
              <w:t>Dependent course units</w:t>
            </w:r>
          </w:p>
          <w:p w14:paraId="71081C98" w14:textId="77777777" w:rsidR="00B274A6" w:rsidRPr="009D504F" w:rsidRDefault="00B274A6" w:rsidP="0063304D">
            <w:pPr>
              <w:rPr>
                <w:rFonts w:cs="Calibri"/>
                <w:b/>
                <w:sz w:val="24"/>
                <w:szCs w:val="24"/>
              </w:rPr>
            </w:pPr>
            <w:r w:rsidRPr="009D504F">
              <w:rPr>
                <w:rFonts w:cs="Calibri"/>
                <w:b/>
                <w:sz w:val="24"/>
                <w:szCs w:val="24"/>
              </w:rPr>
              <w:t>Restrictions</w:t>
            </w:r>
          </w:p>
        </w:tc>
        <w:tc>
          <w:tcPr>
            <w:tcW w:w="6681" w:type="dxa"/>
            <w:gridSpan w:val="2"/>
          </w:tcPr>
          <w:p w14:paraId="5F3DECC0" w14:textId="77777777" w:rsidR="00345BBB" w:rsidRPr="009D504F" w:rsidRDefault="00345BBB" w:rsidP="00D57CBE"/>
        </w:tc>
      </w:tr>
      <w:tr w:rsidR="00A25907" w:rsidRPr="009D504F" w14:paraId="01984E73" w14:textId="77777777" w:rsidTr="00345BBB">
        <w:tc>
          <w:tcPr>
            <w:tcW w:w="9669" w:type="dxa"/>
            <w:gridSpan w:val="3"/>
            <w:shd w:val="clear" w:color="auto" w:fill="7030A0"/>
          </w:tcPr>
          <w:p w14:paraId="3D4E5825" w14:textId="77777777" w:rsidR="00A25907" w:rsidRPr="009D504F" w:rsidRDefault="00F429F4" w:rsidP="004003EA">
            <w:pPr>
              <w:rPr>
                <w:rFonts w:cs="Arial"/>
                <w:b/>
                <w:color w:val="FFFFFF" w:themeColor="background1"/>
                <w:sz w:val="24"/>
                <w:szCs w:val="24"/>
              </w:rPr>
            </w:pPr>
            <w:r w:rsidRPr="009D504F">
              <w:rPr>
                <w:rFonts w:cs="Arial"/>
                <w:b/>
                <w:color w:val="FFFFFF" w:themeColor="background1"/>
                <w:sz w:val="24"/>
                <w:szCs w:val="24"/>
              </w:rPr>
              <w:t>Course unit overview</w:t>
            </w:r>
          </w:p>
        </w:tc>
      </w:tr>
      <w:tr w:rsidR="00F429F4" w:rsidRPr="009D504F" w14:paraId="49960C0E" w14:textId="77777777" w:rsidTr="00345BBB">
        <w:tc>
          <w:tcPr>
            <w:tcW w:w="9669" w:type="dxa"/>
            <w:gridSpan w:val="3"/>
            <w:shd w:val="clear" w:color="auto" w:fill="auto"/>
          </w:tcPr>
          <w:p w14:paraId="4B063E6F" w14:textId="77777777" w:rsidR="00F429F4" w:rsidRPr="000D7869" w:rsidRDefault="000D7869" w:rsidP="004003EA">
            <w:r w:rsidRPr="00F93FB4">
              <w:t>The course provides an introduction to the PhD process</w:t>
            </w:r>
            <w:r>
              <w:t>. Specifically, it focusses</w:t>
            </w:r>
            <w:r w:rsidRPr="00F93FB4">
              <w:t xml:space="preserve"> on developing a literature review with a view to setting-up your own research questions. Classes cover both practical and intellectual aspects of defining, analysing and reviewing the literature relevant for your thesis or dissertation. </w:t>
            </w:r>
          </w:p>
        </w:tc>
      </w:tr>
      <w:tr w:rsidR="004003EA" w:rsidRPr="009D504F" w14:paraId="2991A7A2" w14:textId="77777777" w:rsidTr="00345BBB">
        <w:tc>
          <w:tcPr>
            <w:tcW w:w="9669" w:type="dxa"/>
            <w:gridSpan w:val="3"/>
            <w:shd w:val="clear" w:color="auto" w:fill="7030A0"/>
          </w:tcPr>
          <w:p w14:paraId="1C595153" w14:textId="77777777" w:rsidR="004003EA" w:rsidRPr="009D504F" w:rsidRDefault="004003EA" w:rsidP="004003EA">
            <w:pPr>
              <w:rPr>
                <w:rFonts w:cs="Arial"/>
                <w:b/>
                <w:color w:val="FFFFFF" w:themeColor="background1"/>
                <w:sz w:val="24"/>
                <w:szCs w:val="24"/>
              </w:rPr>
            </w:pPr>
            <w:r w:rsidRPr="009D504F">
              <w:rPr>
                <w:rFonts w:cs="Arial"/>
                <w:b/>
                <w:color w:val="FFFFFF" w:themeColor="background1"/>
                <w:sz w:val="24"/>
                <w:szCs w:val="24"/>
              </w:rPr>
              <w:t>Aims</w:t>
            </w:r>
          </w:p>
        </w:tc>
      </w:tr>
      <w:tr w:rsidR="00C7344D" w:rsidRPr="009D504F" w14:paraId="62FF259C" w14:textId="77777777" w:rsidTr="00345BBB">
        <w:tc>
          <w:tcPr>
            <w:tcW w:w="9669" w:type="dxa"/>
            <w:gridSpan w:val="3"/>
          </w:tcPr>
          <w:p w14:paraId="53D8BA75" w14:textId="77777777" w:rsidR="000D7869" w:rsidRPr="000D7869" w:rsidRDefault="000D7869" w:rsidP="000D7869">
            <w:pPr>
              <w:spacing w:before="120" w:after="120"/>
              <w:rPr>
                <w:rFonts w:eastAsia="Batang" w:cs="Arial"/>
                <w:lang w:eastAsia="de-DE"/>
              </w:rPr>
            </w:pPr>
            <w:r w:rsidRPr="000D7869">
              <w:rPr>
                <w:rFonts w:eastAsia="Batang" w:cs="Arial"/>
                <w:lang w:eastAsia="de-DE"/>
              </w:rPr>
              <w:t>The overall goal of RP1 is for doctoral students to understand the scientific research process in order to help them define and develop their own research project in relati</w:t>
            </w:r>
            <w:r>
              <w:rPr>
                <w:rFonts w:eastAsia="Batang" w:cs="Arial"/>
                <w:lang w:eastAsia="de-DE"/>
              </w:rPr>
              <w:t xml:space="preserve">on to the academic literature </w:t>
            </w:r>
            <w:r w:rsidRPr="000D7869">
              <w:rPr>
                <w:rFonts w:eastAsia="Batang" w:cs="Arial"/>
                <w:lang w:eastAsia="de-DE"/>
              </w:rPr>
              <w:t>and th</w:t>
            </w:r>
            <w:r>
              <w:rPr>
                <w:rFonts w:eastAsia="Batang" w:cs="Arial"/>
                <w:lang w:eastAsia="de-DE"/>
              </w:rPr>
              <w:t xml:space="preserve">e methodological requirements. </w:t>
            </w:r>
          </w:p>
          <w:p w14:paraId="3C75F4B8" w14:textId="77777777" w:rsidR="000D7869" w:rsidRPr="000D7869" w:rsidRDefault="000D7869" w:rsidP="000D7869">
            <w:pPr>
              <w:spacing w:before="120" w:after="120"/>
              <w:rPr>
                <w:rFonts w:eastAsia="Batang" w:cs="Arial"/>
                <w:lang w:eastAsia="de-DE"/>
              </w:rPr>
            </w:pPr>
            <w:r w:rsidRPr="000D7869">
              <w:rPr>
                <w:rFonts w:eastAsia="Batang" w:cs="Arial"/>
                <w:lang w:eastAsia="de-DE"/>
              </w:rPr>
              <w:t>(1)</w:t>
            </w:r>
            <w:r w:rsidRPr="000D7869">
              <w:rPr>
                <w:rFonts w:eastAsia="Batang" w:cs="Arial"/>
                <w:lang w:eastAsia="de-DE"/>
              </w:rPr>
              <w:tab/>
              <w:t>To acquire a foundational understanding of epistemology and philosophy of science</w:t>
            </w:r>
          </w:p>
          <w:p w14:paraId="143A04FF" w14:textId="77777777" w:rsidR="000D7869" w:rsidRPr="000D7869" w:rsidRDefault="000D7869" w:rsidP="000D7869">
            <w:pPr>
              <w:spacing w:before="120" w:after="120"/>
              <w:rPr>
                <w:rFonts w:eastAsia="Batang" w:cs="Arial"/>
                <w:lang w:eastAsia="de-DE"/>
              </w:rPr>
            </w:pPr>
            <w:r w:rsidRPr="000D7869">
              <w:rPr>
                <w:rFonts w:eastAsia="Batang" w:cs="Arial"/>
                <w:lang w:eastAsia="de-DE"/>
              </w:rPr>
              <w:t>(2)</w:t>
            </w:r>
            <w:r w:rsidRPr="000D7869">
              <w:rPr>
                <w:rFonts w:eastAsia="Batang" w:cs="Arial"/>
                <w:lang w:eastAsia="de-DE"/>
              </w:rPr>
              <w:tab/>
              <w:t>To provide an introduction to the academic research process</w:t>
            </w:r>
          </w:p>
          <w:p w14:paraId="10DE6F6D" w14:textId="77777777" w:rsidR="000D7869" w:rsidRPr="000D7869" w:rsidRDefault="000D7869" w:rsidP="000D7869">
            <w:pPr>
              <w:spacing w:before="120" w:after="120"/>
              <w:rPr>
                <w:rFonts w:eastAsia="Batang" w:cs="Arial"/>
                <w:lang w:eastAsia="de-DE"/>
              </w:rPr>
            </w:pPr>
            <w:r w:rsidRPr="000D7869">
              <w:rPr>
                <w:rFonts w:eastAsia="Batang" w:cs="Arial"/>
                <w:lang w:eastAsia="de-DE"/>
              </w:rPr>
              <w:t>(3)</w:t>
            </w:r>
            <w:r w:rsidRPr="000D7869">
              <w:rPr>
                <w:rFonts w:eastAsia="Batang" w:cs="Arial"/>
                <w:lang w:eastAsia="de-DE"/>
              </w:rPr>
              <w:tab/>
              <w:t>To identify meaningful and interesting research questions</w:t>
            </w:r>
          </w:p>
          <w:p w14:paraId="40655255" w14:textId="77777777" w:rsidR="000D7869" w:rsidRPr="000D7869" w:rsidRDefault="000D7869" w:rsidP="000D7869">
            <w:pPr>
              <w:spacing w:before="120" w:after="120"/>
              <w:rPr>
                <w:rFonts w:eastAsia="Batang" w:cs="Arial"/>
                <w:lang w:eastAsia="de-DE"/>
              </w:rPr>
            </w:pPr>
            <w:r w:rsidRPr="000D7869">
              <w:rPr>
                <w:rFonts w:eastAsia="Batang" w:cs="Arial"/>
                <w:lang w:eastAsia="de-DE"/>
              </w:rPr>
              <w:t>(4)</w:t>
            </w:r>
            <w:r w:rsidRPr="000D7869">
              <w:rPr>
                <w:rFonts w:eastAsia="Batang" w:cs="Arial"/>
                <w:lang w:eastAsia="de-DE"/>
              </w:rPr>
              <w:tab/>
              <w:t xml:space="preserve">To understand and appreciate different types of literature reviews </w:t>
            </w:r>
          </w:p>
          <w:p w14:paraId="0A146764" w14:textId="77777777" w:rsidR="000D7869" w:rsidRPr="000D7869" w:rsidRDefault="000D7869" w:rsidP="000D7869">
            <w:pPr>
              <w:spacing w:before="120" w:after="120"/>
              <w:rPr>
                <w:rFonts w:eastAsia="Batang" w:cs="Arial"/>
                <w:lang w:eastAsia="de-DE"/>
              </w:rPr>
            </w:pPr>
            <w:r w:rsidRPr="000D7869">
              <w:rPr>
                <w:rFonts w:eastAsia="Batang" w:cs="Arial"/>
                <w:lang w:eastAsia="de-DE"/>
              </w:rPr>
              <w:t>(5)</w:t>
            </w:r>
            <w:r w:rsidRPr="000D7869">
              <w:rPr>
                <w:rFonts w:eastAsia="Batang" w:cs="Arial"/>
                <w:lang w:eastAsia="de-DE"/>
              </w:rPr>
              <w:tab/>
              <w:t>To understand the basic c</w:t>
            </w:r>
            <w:r>
              <w:rPr>
                <w:rFonts w:eastAsia="Batang" w:cs="Arial"/>
                <w:lang w:eastAsia="de-DE"/>
              </w:rPr>
              <w:t>hoice of research methodologies</w:t>
            </w:r>
          </w:p>
          <w:p w14:paraId="4BCF1901" w14:textId="77777777" w:rsidR="00CF3EFD" w:rsidRPr="009D504F" w:rsidRDefault="00CF3EFD" w:rsidP="004003EA">
            <w:pPr>
              <w:rPr>
                <w:rFonts w:cs="Arial"/>
                <w:b/>
                <w:sz w:val="24"/>
                <w:szCs w:val="24"/>
              </w:rPr>
            </w:pPr>
          </w:p>
        </w:tc>
      </w:tr>
      <w:tr w:rsidR="004003EA" w:rsidRPr="009D504F" w14:paraId="0ECC2CC3" w14:textId="77777777" w:rsidTr="00345BBB">
        <w:tc>
          <w:tcPr>
            <w:tcW w:w="9669" w:type="dxa"/>
            <w:gridSpan w:val="3"/>
            <w:shd w:val="clear" w:color="auto" w:fill="7030A0"/>
          </w:tcPr>
          <w:p w14:paraId="7152C13D" w14:textId="77777777" w:rsidR="004003EA" w:rsidRPr="009D504F" w:rsidRDefault="004003EA" w:rsidP="004003EA">
            <w:pPr>
              <w:rPr>
                <w:rFonts w:cs="Arial"/>
                <w:b/>
                <w:color w:val="FFFFFF" w:themeColor="background1"/>
                <w:sz w:val="24"/>
                <w:szCs w:val="24"/>
              </w:rPr>
            </w:pPr>
            <w:r w:rsidRPr="009D504F">
              <w:rPr>
                <w:rFonts w:cs="Arial"/>
                <w:b/>
                <w:color w:val="FFFFFF" w:themeColor="background1"/>
                <w:sz w:val="24"/>
                <w:szCs w:val="24"/>
              </w:rPr>
              <w:t>Objectives (Learning outcomes)</w:t>
            </w:r>
          </w:p>
        </w:tc>
      </w:tr>
      <w:tr w:rsidR="00CF3EFD" w:rsidRPr="009D504F" w14:paraId="64307D95" w14:textId="77777777" w:rsidTr="00345BBB">
        <w:tc>
          <w:tcPr>
            <w:tcW w:w="9669" w:type="dxa"/>
            <w:gridSpan w:val="3"/>
          </w:tcPr>
          <w:p w14:paraId="49DDE205" w14:textId="77777777" w:rsidR="000D7869" w:rsidRPr="00F93FB4" w:rsidRDefault="000D7869" w:rsidP="000D7869">
            <w:r w:rsidRPr="00F93FB4">
              <w:t>On completion of this unit successful students will be able to:</w:t>
            </w:r>
          </w:p>
          <w:p w14:paraId="6034C7F6" w14:textId="77777777" w:rsidR="000D7869" w:rsidRPr="00F93FB4" w:rsidRDefault="000D7869" w:rsidP="000D7869">
            <w:pPr>
              <w:numPr>
                <w:ilvl w:val="0"/>
                <w:numId w:val="7"/>
              </w:numPr>
              <w:autoSpaceDE w:val="0"/>
              <w:autoSpaceDN w:val="0"/>
            </w:pPr>
            <w:r w:rsidRPr="00F93FB4">
              <w:t>Understand the epistemolo</w:t>
            </w:r>
            <w:r>
              <w:t>gical underpinnings of research</w:t>
            </w:r>
          </w:p>
          <w:p w14:paraId="63E802A7" w14:textId="77777777" w:rsidR="000D7869" w:rsidRPr="00F93FB4" w:rsidRDefault="000D7869" w:rsidP="000D7869">
            <w:pPr>
              <w:numPr>
                <w:ilvl w:val="0"/>
                <w:numId w:val="7"/>
              </w:numPr>
              <w:autoSpaceDE w:val="0"/>
              <w:autoSpaceDN w:val="0"/>
            </w:pPr>
            <w:r w:rsidRPr="00F93FB4">
              <w:t xml:space="preserve">Understand the principles of selecting </w:t>
            </w:r>
            <w:r>
              <w:t>and formulating research topics</w:t>
            </w:r>
          </w:p>
          <w:p w14:paraId="56BABC26" w14:textId="77777777" w:rsidR="000D7869" w:rsidRPr="00F93FB4" w:rsidRDefault="000D7869" w:rsidP="000D7869">
            <w:pPr>
              <w:numPr>
                <w:ilvl w:val="0"/>
                <w:numId w:val="7"/>
              </w:numPr>
              <w:autoSpaceDE w:val="0"/>
              <w:autoSpaceDN w:val="0"/>
            </w:pPr>
            <w:r w:rsidRPr="00F93FB4">
              <w:t>Conduct different types of literature reviews</w:t>
            </w:r>
          </w:p>
          <w:p w14:paraId="54D0E4D5" w14:textId="77777777" w:rsidR="000D7869" w:rsidRPr="00F93FB4" w:rsidRDefault="000D7869" w:rsidP="000D7869">
            <w:pPr>
              <w:numPr>
                <w:ilvl w:val="0"/>
                <w:numId w:val="7"/>
              </w:numPr>
              <w:autoSpaceDE w:val="0"/>
              <w:autoSpaceDN w:val="0"/>
            </w:pPr>
            <w:r w:rsidRPr="00F93FB4">
              <w:t xml:space="preserve">Formulate </w:t>
            </w:r>
            <w:r>
              <w:t>a research gap</w:t>
            </w:r>
            <w:r w:rsidRPr="00F93FB4">
              <w:t xml:space="preserve"> on the basis of (systematic</w:t>
            </w:r>
            <w:r>
              <w:t>/specific</w:t>
            </w:r>
            <w:r w:rsidRPr="00F93FB4">
              <w:t>) literature review(s)</w:t>
            </w:r>
          </w:p>
          <w:p w14:paraId="6CE78FD9" w14:textId="77777777" w:rsidR="000D7869" w:rsidRPr="000D7869" w:rsidRDefault="000D7869" w:rsidP="000D7869">
            <w:pPr>
              <w:numPr>
                <w:ilvl w:val="0"/>
                <w:numId w:val="7"/>
              </w:numPr>
              <w:autoSpaceDE w:val="0"/>
              <w:autoSpaceDN w:val="0"/>
            </w:pPr>
            <w:r w:rsidRPr="00F93FB4">
              <w:t>Appreciate the interdependencies between formulating research topics, research questions, research hypotheses and s</w:t>
            </w:r>
            <w:r>
              <w:t>electing research methodologies</w:t>
            </w:r>
          </w:p>
          <w:p w14:paraId="0A867B2F" w14:textId="77777777" w:rsidR="00CF3EFD" w:rsidRPr="009D504F" w:rsidRDefault="00CF3EFD" w:rsidP="007113B0">
            <w:pPr>
              <w:rPr>
                <w:rFonts w:eastAsia="Batang" w:cs="Arial"/>
                <w:lang w:eastAsia="de-DE"/>
              </w:rPr>
            </w:pPr>
          </w:p>
        </w:tc>
      </w:tr>
      <w:tr w:rsidR="004003EA" w:rsidRPr="009D504F" w14:paraId="6CCB2E2E" w14:textId="77777777" w:rsidTr="00345BBB">
        <w:tc>
          <w:tcPr>
            <w:tcW w:w="9669" w:type="dxa"/>
            <w:gridSpan w:val="3"/>
            <w:shd w:val="clear" w:color="auto" w:fill="7030A0"/>
          </w:tcPr>
          <w:p w14:paraId="334EB038" w14:textId="77777777" w:rsidR="004003EA" w:rsidRPr="009D504F" w:rsidRDefault="0056006D" w:rsidP="004003EA">
            <w:pPr>
              <w:rPr>
                <w:rFonts w:cs="Arial"/>
                <w:b/>
                <w:sz w:val="24"/>
                <w:szCs w:val="24"/>
              </w:rPr>
            </w:pPr>
            <w:r w:rsidRPr="009D504F">
              <w:rPr>
                <w:rFonts w:cs="Arial"/>
                <w:b/>
                <w:color w:val="FFFFFF" w:themeColor="background1"/>
                <w:sz w:val="24"/>
                <w:szCs w:val="24"/>
              </w:rPr>
              <w:t>Syllabus</w:t>
            </w:r>
            <w:r w:rsidR="00B274A6" w:rsidRPr="009D504F">
              <w:rPr>
                <w:rFonts w:cs="Arial"/>
                <w:b/>
                <w:color w:val="FFFFFF" w:themeColor="background1"/>
                <w:sz w:val="24"/>
                <w:szCs w:val="24"/>
              </w:rPr>
              <w:t xml:space="preserve"> content</w:t>
            </w:r>
          </w:p>
        </w:tc>
      </w:tr>
      <w:tr w:rsidR="00C7344D" w:rsidRPr="009D504F" w14:paraId="56D7E79E" w14:textId="77777777" w:rsidTr="00345BBB">
        <w:tc>
          <w:tcPr>
            <w:tcW w:w="9669" w:type="dxa"/>
            <w:gridSpan w:val="3"/>
          </w:tcPr>
          <w:p w14:paraId="49B792BF" w14:textId="77777777" w:rsidR="000D7869" w:rsidRDefault="00CE6B99" w:rsidP="000D7869">
            <w:r>
              <w:lastRenderedPageBreak/>
              <w:t>The course is divided into five</w:t>
            </w:r>
            <w:r w:rsidR="000D7869">
              <w:t xml:space="preserve"> sessions </w:t>
            </w:r>
            <w:r>
              <w:t>and one Q&amp;A surgery</w:t>
            </w:r>
            <w:r w:rsidR="000D7869">
              <w:t xml:space="preserve">. </w:t>
            </w:r>
          </w:p>
          <w:p w14:paraId="228582EE" w14:textId="77777777" w:rsidR="000D7869" w:rsidRDefault="000D7869" w:rsidP="000D7869"/>
          <w:p w14:paraId="76FC9A42" w14:textId="77777777" w:rsidR="000D7869" w:rsidRPr="00CE4411" w:rsidRDefault="000D7869" w:rsidP="000D7869">
            <w:r>
              <w:t>Sessi</w:t>
            </w:r>
            <w:r w:rsidR="002F318F">
              <w:t xml:space="preserve">on 1: </w:t>
            </w:r>
            <w:r w:rsidR="002F318F" w:rsidRPr="00CE4411">
              <w:t>The PhD research process</w:t>
            </w:r>
            <w:r w:rsidR="00CE6B99" w:rsidRPr="00CE4411">
              <w:t>: How to make a contribution</w:t>
            </w:r>
            <w:r w:rsidR="002F318F" w:rsidRPr="00CE4411">
              <w:t xml:space="preserve"> </w:t>
            </w:r>
          </w:p>
          <w:p w14:paraId="53B6BFD9" w14:textId="77777777" w:rsidR="00100855" w:rsidRPr="00CE4411" w:rsidRDefault="00100855" w:rsidP="00100855">
            <w:r w:rsidRPr="00CE4411">
              <w:t xml:space="preserve">Session 2: </w:t>
            </w:r>
            <w:r w:rsidR="00CE6B99" w:rsidRPr="00CE4411">
              <w:t>Types of literature reviews</w:t>
            </w:r>
            <w:r w:rsidR="002A2CDE" w:rsidRPr="00CE4411">
              <w:t>: overview</w:t>
            </w:r>
          </w:p>
          <w:p w14:paraId="24EADB00" w14:textId="70D799C0" w:rsidR="002A2CDE" w:rsidRPr="00CE4411" w:rsidRDefault="002A2CDE" w:rsidP="00100855">
            <w:r w:rsidRPr="00CE4411">
              <w:t xml:space="preserve">Session 3: </w:t>
            </w:r>
            <w:r w:rsidR="00553DBD" w:rsidRPr="00CE4411">
              <w:t>Towards qualitative and critical literature reviews</w:t>
            </w:r>
            <w:r w:rsidR="008B3CDF" w:rsidRPr="00CE4411">
              <w:t xml:space="preserve"> </w:t>
            </w:r>
          </w:p>
          <w:p w14:paraId="60E04971" w14:textId="77777777" w:rsidR="00CE6B99" w:rsidRPr="00CE4411" w:rsidRDefault="002A2CDE" w:rsidP="000D7869">
            <w:r w:rsidRPr="00CE4411">
              <w:t>Session 4</w:t>
            </w:r>
            <w:r w:rsidR="000D7869" w:rsidRPr="00CE4411">
              <w:t xml:space="preserve">: </w:t>
            </w:r>
            <w:r w:rsidR="00CE6B99" w:rsidRPr="00CE4411">
              <w:t xml:space="preserve">Epistemology/philosophy of science </w:t>
            </w:r>
          </w:p>
          <w:p w14:paraId="176E67F8" w14:textId="77777777" w:rsidR="000D7869" w:rsidRDefault="002A2CDE" w:rsidP="000D7869">
            <w:r w:rsidRPr="00CE4411">
              <w:t>Session 5</w:t>
            </w:r>
            <w:r w:rsidR="000D7869" w:rsidRPr="00CE4411">
              <w:t xml:space="preserve">: </w:t>
            </w:r>
            <w:r w:rsidR="00CE6B99" w:rsidRPr="00CE4411">
              <w:t>Surgery Q&amp;A session</w:t>
            </w:r>
          </w:p>
          <w:p w14:paraId="01974880" w14:textId="77777777" w:rsidR="000D7869" w:rsidRPr="005809A2" w:rsidRDefault="002A2CDE" w:rsidP="000D7869">
            <w:r>
              <w:t xml:space="preserve">Session </w:t>
            </w:r>
            <w:r w:rsidR="00CE6B99">
              <w:t>6</w:t>
            </w:r>
            <w:r w:rsidR="000D7869">
              <w:t>: Student presentations</w:t>
            </w:r>
            <w:r w:rsidR="00CE6B99">
              <w:t xml:space="preserve"> (“mini conference”)</w:t>
            </w:r>
          </w:p>
          <w:p w14:paraId="23C4FAD8" w14:textId="77777777" w:rsidR="007113B0" w:rsidRPr="000D7869" w:rsidRDefault="007113B0" w:rsidP="000D7869">
            <w:pPr>
              <w:rPr>
                <w:rFonts w:cs="Arial"/>
                <w:b/>
                <w:sz w:val="24"/>
                <w:szCs w:val="24"/>
              </w:rPr>
            </w:pPr>
          </w:p>
        </w:tc>
      </w:tr>
      <w:tr w:rsidR="009A2688" w:rsidRPr="009D504F" w14:paraId="5161B0B6" w14:textId="77777777" w:rsidTr="00345BBB">
        <w:tc>
          <w:tcPr>
            <w:tcW w:w="9669" w:type="dxa"/>
            <w:gridSpan w:val="3"/>
            <w:shd w:val="clear" w:color="auto" w:fill="7030A0"/>
          </w:tcPr>
          <w:p w14:paraId="33DD71C0" w14:textId="77777777" w:rsidR="009A2688" w:rsidRPr="009D504F" w:rsidRDefault="00C7344D" w:rsidP="003A0F8F">
            <w:pPr>
              <w:rPr>
                <w:rFonts w:cs="Arial"/>
                <w:b/>
                <w:color w:val="FFFFFF" w:themeColor="background1"/>
                <w:sz w:val="24"/>
                <w:szCs w:val="24"/>
              </w:rPr>
            </w:pPr>
            <w:r w:rsidRPr="009D504F">
              <w:rPr>
                <w:rFonts w:cs="Arial"/>
                <w:b/>
                <w:color w:val="FFFFFF" w:themeColor="background1"/>
                <w:sz w:val="24"/>
                <w:szCs w:val="24"/>
              </w:rPr>
              <w:t>M</w:t>
            </w:r>
            <w:r w:rsidR="00AA2E20" w:rsidRPr="009D504F">
              <w:rPr>
                <w:rFonts w:cs="Arial"/>
                <w:b/>
                <w:color w:val="FFFFFF" w:themeColor="background1"/>
                <w:sz w:val="24"/>
                <w:szCs w:val="24"/>
              </w:rPr>
              <w:t>ethods of d</w:t>
            </w:r>
            <w:r w:rsidR="009A2688" w:rsidRPr="009D504F">
              <w:rPr>
                <w:rFonts w:cs="Arial"/>
                <w:b/>
                <w:color w:val="FFFFFF" w:themeColor="background1"/>
                <w:sz w:val="24"/>
                <w:szCs w:val="24"/>
              </w:rPr>
              <w:t>elivery</w:t>
            </w:r>
          </w:p>
        </w:tc>
      </w:tr>
      <w:tr w:rsidR="00AA2E20" w:rsidRPr="009D504F" w14:paraId="45C5CDB4" w14:textId="77777777" w:rsidTr="006A15A6">
        <w:tc>
          <w:tcPr>
            <w:tcW w:w="4729" w:type="dxa"/>
            <w:gridSpan w:val="2"/>
            <w:shd w:val="clear" w:color="auto" w:fill="D9D9D9" w:themeFill="background1" w:themeFillShade="D9"/>
          </w:tcPr>
          <w:p w14:paraId="2BC5076A" w14:textId="77777777" w:rsidR="00AA2E20" w:rsidRPr="009D504F" w:rsidRDefault="004811C5" w:rsidP="004003EA">
            <w:pPr>
              <w:rPr>
                <w:rFonts w:cs="Calibri"/>
                <w:b/>
                <w:sz w:val="24"/>
                <w:szCs w:val="24"/>
              </w:rPr>
            </w:pPr>
            <w:r w:rsidRPr="009D504F">
              <w:rPr>
                <w:rFonts w:cs="Calibri"/>
                <w:b/>
                <w:sz w:val="24"/>
                <w:szCs w:val="24"/>
              </w:rPr>
              <w:t>Pre-reading</w:t>
            </w:r>
          </w:p>
        </w:tc>
        <w:tc>
          <w:tcPr>
            <w:tcW w:w="4940" w:type="dxa"/>
          </w:tcPr>
          <w:p w14:paraId="40BA4A6B" w14:textId="77777777" w:rsidR="00AA2E20" w:rsidRPr="009D504F" w:rsidRDefault="002F318F" w:rsidP="00003E4A">
            <w:r>
              <w:t>20</w:t>
            </w:r>
            <w:r w:rsidR="004811C5" w:rsidRPr="009D504F">
              <w:t xml:space="preserve"> hours</w:t>
            </w:r>
          </w:p>
        </w:tc>
      </w:tr>
      <w:tr w:rsidR="00AA2E20" w:rsidRPr="009D504F" w14:paraId="6A7FDB7C" w14:textId="77777777" w:rsidTr="006A15A6">
        <w:tc>
          <w:tcPr>
            <w:tcW w:w="4729" w:type="dxa"/>
            <w:gridSpan w:val="2"/>
            <w:shd w:val="clear" w:color="auto" w:fill="D9D9D9" w:themeFill="background1" w:themeFillShade="D9"/>
          </w:tcPr>
          <w:p w14:paraId="50713C45" w14:textId="77777777" w:rsidR="00AA2E20" w:rsidRPr="009D504F" w:rsidRDefault="00AA2E20" w:rsidP="004003EA">
            <w:pPr>
              <w:rPr>
                <w:rFonts w:cs="Calibri"/>
                <w:b/>
                <w:sz w:val="24"/>
                <w:szCs w:val="24"/>
              </w:rPr>
            </w:pPr>
            <w:r w:rsidRPr="009D504F">
              <w:rPr>
                <w:rFonts w:cs="Calibri"/>
                <w:b/>
                <w:sz w:val="24"/>
                <w:szCs w:val="24"/>
              </w:rPr>
              <w:t>Workshop</w:t>
            </w:r>
            <w:r w:rsidR="006B620F">
              <w:rPr>
                <w:rFonts w:cs="Calibri"/>
                <w:b/>
                <w:sz w:val="24"/>
                <w:szCs w:val="24"/>
              </w:rPr>
              <w:t>s/lectures</w:t>
            </w:r>
            <w:r w:rsidR="00CE6B99">
              <w:rPr>
                <w:rFonts w:cs="Calibri"/>
                <w:b/>
                <w:sz w:val="24"/>
                <w:szCs w:val="24"/>
              </w:rPr>
              <w:t>/surgery/conference</w:t>
            </w:r>
          </w:p>
        </w:tc>
        <w:tc>
          <w:tcPr>
            <w:tcW w:w="4940" w:type="dxa"/>
          </w:tcPr>
          <w:p w14:paraId="232200A7" w14:textId="77777777" w:rsidR="00AA2E20" w:rsidRPr="009D504F" w:rsidRDefault="002F318F" w:rsidP="004003EA">
            <w:r>
              <w:t>30</w:t>
            </w:r>
            <w:r w:rsidR="004811C5" w:rsidRPr="009D504F">
              <w:t xml:space="preserve"> hours</w:t>
            </w:r>
          </w:p>
        </w:tc>
      </w:tr>
      <w:tr w:rsidR="00AA2E20" w:rsidRPr="009D504F" w14:paraId="183F308E" w14:textId="77777777" w:rsidTr="006A15A6">
        <w:tc>
          <w:tcPr>
            <w:tcW w:w="4729" w:type="dxa"/>
            <w:gridSpan w:val="2"/>
            <w:shd w:val="clear" w:color="auto" w:fill="D9D9D9" w:themeFill="background1" w:themeFillShade="D9"/>
          </w:tcPr>
          <w:p w14:paraId="46141590" w14:textId="77777777" w:rsidR="004811C5" w:rsidRPr="009D504F" w:rsidRDefault="00CF3EFD" w:rsidP="004003EA">
            <w:pPr>
              <w:rPr>
                <w:rFonts w:cs="Calibri"/>
                <w:b/>
                <w:sz w:val="24"/>
                <w:szCs w:val="24"/>
              </w:rPr>
            </w:pPr>
            <w:r w:rsidRPr="009D504F">
              <w:rPr>
                <w:rFonts w:cs="Calibri"/>
                <w:b/>
                <w:sz w:val="24"/>
                <w:szCs w:val="24"/>
              </w:rPr>
              <w:t>Independent</w:t>
            </w:r>
            <w:r w:rsidR="00AA2E20" w:rsidRPr="009D504F">
              <w:rPr>
                <w:rFonts w:cs="Calibri"/>
                <w:b/>
                <w:sz w:val="24"/>
                <w:szCs w:val="24"/>
              </w:rPr>
              <w:t xml:space="preserve"> Study</w:t>
            </w:r>
          </w:p>
        </w:tc>
        <w:tc>
          <w:tcPr>
            <w:tcW w:w="4940" w:type="dxa"/>
          </w:tcPr>
          <w:p w14:paraId="0B8C1646" w14:textId="77777777" w:rsidR="00B274A6" w:rsidRPr="009D504F" w:rsidRDefault="002F318F" w:rsidP="004811C5">
            <w:r>
              <w:t>100</w:t>
            </w:r>
            <w:r w:rsidR="004811C5" w:rsidRPr="009D504F">
              <w:t xml:space="preserve"> hours</w:t>
            </w:r>
          </w:p>
        </w:tc>
      </w:tr>
      <w:tr w:rsidR="00AA2E20" w:rsidRPr="009D504F" w14:paraId="7DD54A97" w14:textId="77777777" w:rsidTr="006A15A6">
        <w:tc>
          <w:tcPr>
            <w:tcW w:w="4729" w:type="dxa"/>
            <w:gridSpan w:val="2"/>
            <w:shd w:val="clear" w:color="auto" w:fill="D9D9D9" w:themeFill="background1" w:themeFillShade="D9"/>
          </w:tcPr>
          <w:p w14:paraId="4B36891C" w14:textId="77777777" w:rsidR="00AA2E20" w:rsidRPr="009D504F" w:rsidRDefault="00AA2E20" w:rsidP="004003EA">
            <w:pPr>
              <w:rPr>
                <w:rFonts w:cs="Calibri"/>
                <w:b/>
                <w:sz w:val="24"/>
                <w:szCs w:val="24"/>
              </w:rPr>
            </w:pPr>
            <w:r w:rsidRPr="009D504F">
              <w:rPr>
                <w:rFonts w:cs="Calibri"/>
                <w:b/>
                <w:sz w:val="24"/>
                <w:szCs w:val="24"/>
              </w:rPr>
              <w:t>Total Study Hours</w:t>
            </w:r>
          </w:p>
        </w:tc>
        <w:tc>
          <w:tcPr>
            <w:tcW w:w="4940" w:type="dxa"/>
          </w:tcPr>
          <w:p w14:paraId="0636C2A1" w14:textId="77777777" w:rsidR="00B274A6" w:rsidRPr="009D504F" w:rsidRDefault="002F318F" w:rsidP="004003EA">
            <w:r>
              <w:t>15</w:t>
            </w:r>
            <w:r w:rsidR="004811C5" w:rsidRPr="009D504F">
              <w:t>0 hours</w:t>
            </w:r>
          </w:p>
        </w:tc>
      </w:tr>
      <w:tr w:rsidR="00B76C82" w:rsidRPr="009D504F" w14:paraId="38C681CE" w14:textId="77777777" w:rsidTr="00345BBB">
        <w:trPr>
          <w:trHeight w:val="254"/>
        </w:trPr>
        <w:tc>
          <w:tcPr>
            <w:tcW w:w="9669" w:type="dxa"/>
            <w:gridSpan w:val="3"/>
            <w:shd w:val="clear" w:color="auto" w:fill="7030A0"/>
          </w:tcPr>
          <w:p w14:paraId="7A9B7438" w14:textId="77777777" w:rsidR="00B76C82" w:rsidRPr="009D504F" w:rsidRDefault="00B76C82" w:rsidP="003A0F8F">
            <w:pPr>
              <w:rPr>
                <w:rFonts w:cs="Arial"/>
                <w:b/>
                <w:sz w:val="24"/>
                <w:szCs w:val="24"/>
              </w:rPr>
            </w:pPr>
            <w:r w:rsidRPr="009D504F">
              <w:rPr>
                <w:rFonts w:cs="Arial"/>
                <w:b/>
                <w:sz w:val="24"/>
                <w:szCs w:val="24"/>
              </w:rPr>
              <w:t>Reading List</w:t>
            </w:r>
          </w:p>
        </w:tc>
      </w:tr>
      <w:tr w:rsidR="0056006D" w:rsidRPr="009D504F" w14:paraId="43B59AC6" w14:textId="77777777" w:rsidTr="00345BBB">
        <w:tc>
          <w:tcPr>
            <w:tcW w:w="9669" w:type="dxa"/>
            <w:gridSpan w:val="3"/>
          </w:tcPr>
          <w:p w14:paraId="326E803F" w14:textId="77777777" w:rsidR="00345BBB" w:rsidRPr="00CE4411" w:rsidRDefault="00345BBB" w:rsidP="00345BBB">
            <w:pPr>
              <w:rPr>
                <w:rFonts w:cstheme="minorHAnsi"/>
              </w:rPr>
            </w:pPr>
            <w:r w:rsidRPr="00CE4411">
              <w:rPr>
                <w:rFonts w:cstheme="minorHAnsi"/>
                <w:b/>
              </w:rPr>
              <w:t>Pre Reading</w:t>
            </w:r>
            <w:r w:rsidRPr="00CE4411">
              <w:rPr>
                <w:rFonts w:cstheme="minorHAnsi"/>
              </w:rPr>
              <w:t>:</w:t>
            </w:r>
            <w:r w:rsidR="00B85C6F" w:rsidRPr="00CE4411">
              <w:rPr>
                <w:rFonts w:cstheme="minorHAnsi"/>
              </w:rPr>
              <w:t xml:space="preserve"> </w:t>
            </w:r>
          </w:p>
          <w:p w14:paraId="543AC481" w14:textId="77777777" w:rsidR="008C395D" w:rsidRPr="00CE4411" w:rsidRDefault="008C395D" w:rsidP="008C395D">
            <w:pPr>
              <w:numPr>
                <w:ilvl w:val="0"/>
                <w:numId w:val="10"/>
              </w:numPr>
              <w:autoSpaceDE w:val="0"/>
              <w:autoSpaceDN w:val="0"/>
              <w:rPr>
                <w:rFonts w:cstheme="minorHAnsi"/>
              </w:rPr>
            </w:pPr>
            <w:r w:rsidRPr="00CE4411">
              <w:rPr>
                <w:rFonts w:cstheme="minorHAnsi"/>
              </w:rPr>
              <w:t xml:space="preserve">Various Authors (2011-2012), “Publishing in AMJ,” </w:t>
            </w:r>
            <w:r w:rsidRPr="00CE4411">
              <w:rPr>
                <w:rFonts w:cstheme="minorHAnsi"/>
                <w:i/>
              </w:rPr>
              <w:t>Academy of Management Journal</w:t>
            </w:r>
            <w:r w:rsidRPr="00CE4411">
              <w:rPr>
                <w:rFonts w:cstheme="minorHAnsi"/>
              </w:rPr>
              <w:t>, Various Editorials. (pdf will be provided)</w:t>
            </w:r>
          </w:p>
          <w:p w14:paraId="6D917DF9" w14:textId="77777777" w:rsidR="000A2FE6" w:rsidRPr="00CE4411" w:rsidRDefault="000A2FE6" w:rsidP="008C395D">
            <w:pPr>
              <w:numPr>
                <w:ilvl w:val="0"/>
                <w:numId w:val="10"/>
              </w:numPr>
              <w:autoSpaceDE w:val="0"/>
              <w:autoSpaceDN w:val="0"/>
              <w:rPr>
                <w:rFonts w:cstheme="minorHAnsi"/>
              </w:rPr>
            </w:pPr>
            <w:r w:rsidRPr="00CE4411">
              <w:rPr>
                <w:rFonts w:cstheme="minorHAnsi"/>
              </w:rPr>
              <w:t>Appendix: Overview of systematic literature reviews</w:t>
            </w:r>
          </w:p>
          <w:p w14:paraId="019AB5FE" w14:textId="77777777" w:rsidR="00B85C6F" w:rsidRPr="00CE4411" w:rsidRDefault="00B85C6F" w:rsidP="00345BBB">
            <w:pPr>
              <w:rPr>
                <w:rFonts w:cstheme="minorHAnsi"/>
              </w:rPr>
            </w:pPr>
          </w:p>
          <w:p w14:paraId="2744808E" w14:textId="77777777" w:rsidR="00B85C6F" w:rsidRPr="00CE4411" w:rsidRDefault="00345BBB" w:rsidP="00B85C6F">
            <w:pPr>
              <w:rPr>
                <w:rFonts w:cstheme="minorHAnsi"/>
              </w:rPr>
            </w:pPr>
            <w:r w:rsidRPr="00CE4411">
              <w:rPr>
                <w:rFonts w:cstheme="minorHAnsi"/>
                <w:b/>
              </w:rPr>
              <w:t>Core Text:</w:t>
            </w:r>
            <w:r w:rsidRPr="00CE4411">
              <w:rPr>
                <w:rFonts w:cstheme="minorHAnsi"/>
              </w:rPr>
              <w:t xml:space="preserve"> </w:t>
            </w:r>
          </w:p>
          <w:p w14:paraId="0A0492AB" w14:textId="77777777" w:rsidR="00CD0455" w:rsidRPr="00CE4411" w:rsidRDefault="000D127D" w:rsidP="00CD0455">
            <w:pPr>
              <w:numPr>
                <w:ilvl w:val="0"/>
                <w:numId w:val="9"/>
              </w:numPr>
              <w:autoSpaceDE w:val="0"/>
              <w:autoSpaceDN w:val="0"/>
              <w:rPr>
                <w:rFonts w:cstheme="minorHAnsi"/>
              </w:rPr>
            </w:pPr>
            <w:r w:rsidRPr="00CE4411">
              <w:rPr>
                <w:rFonts w:cstheme="minorHAnsi"/>
              </w:rPr>
              <w:t xml:space="preserve">Hart, C., (2018): </w:t>
            </w:r>
            <w:r w:rsidRPr="00CE4411">
              <w:rPr>
                <w:rFonts w:cstheme="minorHAnsi"/>
                <w:i/>
              </w:rPr>
              <w:t>Doing a Literature Review: Releasing the Social Science Research Imagination</w:t>
            </w:r>
            <w:r w:rsidRPr="00CE4411">
              <w:rPr>
                <w:rFonts w:cstheme="minorHAnsi"/>
              </w:rPr>
              <w:t>, Sage</w:t>
            </w:r>
            <w:r w:rsidR="00CD0455" w:rsidRPr="00CE4411">
              <w:rPr>
                <w:rFonts w:cstheme="minorHAnsi"/>
              </w:rPr>
              <w:t xml:space="preserve"> </w:t>
            </w:r>
          </w:p>
          <w:p w14:paraId="6C7B693F" w14:textId="5840CBE5" w:rsidR="00345BBB" w:rsidRPr="00CE4411" w:rsidRDefault="00CD0455" w:rsidP="00CD0455">
            <w:pPr>
              <w:numPr>
                <w:ilvl w:val="0"/>
                <w:numId w:val="9"/>
              </w:numPr>
              <w:autoSpaceDE w:val="0"/>
              <w:autoSpaceDN w:val="0"/>
              <w:rPr>
                <w:rFonts w:cstheme="minorHAnsi"/>
              </w:rPr>
            </w:pPr>
            <w:r w:rsidRPr="00CE4411">
              <w:rPr>
                <w:rFonts w:cstheme="minorHAnsi"/>
              </w:rPr>
              <w:t xml:space="preserve">Sayer, A. (2010) </w:t>
            </w:r>
            <w:r w:rsidRPr="00CE4411">
              <w:rPr>
                <w:rFonts w:cstheme="minorHAnsi"/>
                <w:i/>
              </w:rPr>
              <w:t>Method in Social Science</w:t>
            </w:r>
            <w:r w:rsidRPr="00CE4411">
              <w:rPr>
                <w:rFonts w:cstheme="minorHAnsi"/>
              </w:rPr>
              <w:t>, Routledge.</w:t>
            </w:r>
          </w:p>
          <w:p w14:paraId="48DAF8B7" w14:textId="14A17A55" w:rsidR="00553DBD" w:rsidRPr="00CE4411" w:rsidRDefault="004B6DA9" w:rsidP="00553DBD">
            <w:pPr>
              <w:numPr>
                <w:ilvl w:val="0"/>
                <w:numId w:val="9"/>
              </w:numPr>
              <w:autoSpaceDE w:val="0"/>
              <w:autoSpaceDN w:val="0"/>
              <w:rPr>
                <w:rFonts w:cstheme="minorHAnsi"/>
              </w:rPr>
            </w:pPr>
            <w:r w:rsidRPr="00CE4411">
              <w:rPr>
                <w:rFonts w:cstheme="minorHAnsi"/>
              </w:rPr>
              <w:t>Jesson, J., Matheson, L., &amp; Lacey, F. M. (2011). Doing your literature review: Traditional and systematic techniques.</w:t>
            </w:r>
          </w:p>
          <w:p w14:paraId="55818425" w14:textId="77777777" w:rsidR="00100855" w:rsidRPr="00CE4411" w:rsidRDefault="00100855" w:rsidP="00100855">
            <w:pPr>
              <w:autoSpaceDE w:val="0"/>
              <w:autoSpaceDN w:val="0"/>
              <w:ind w:left="720"/>
              <w:rPr>
                <w:rFonts w:cstheme="minorHAnsi"/>
              </w:rPr>
            </w:pPr>
          </w:p>
          <w:p w14:paraId="64B75109" w14:textId="77777777" w:rsidR="0056006D" w:rsidRPr="00CE4411" w:rsidRDefault="00345BBB" w:rsidP="00D42AA1">
            <w:pPr>
              <w:rPr>
                <w:rFonts w:cstheme="minorHAnsi"/>
              </w:rPr>
            </w:pPr>
            <w:r w:rsidRPr="00CE4411">
              <w:rPr>
                <w:rFonts w:cstheme="minorHAnsi"/>
                <w:b/>
              </w:rPr>
              <w:t>Supplementary Text</w:t>
            </w:r>
            <w:r w:rsidR="00B85C6F" w:rsidRPr="00CE4411">
              <w:rPr>
                <w:rFonts w:cstheme="minorHAnsi"/>
              </w:rPr>
              <w:t>:</w:t>
            </w:r>
          </w:p>
          <w:p w14:paraId="67ACBF0D" w14:textId="77777777" w:rsidR="008C395D" w:rsidRPr="00CE4411" w:rsidRDefault="008C395D" w:rsidP="008C395D">
            <w:pPr>
              <w:ind w:left="284" w:hanging="284"/>
              <w:rPr>
                <w:rFonts w:cstheme="minorHAnsi"/>
                <w:u w:val="single"/>
              </w:rPr>
            </w:pPr>
            <w:r w:rsidRPr="00CE4411">
              <w:rPr>
                <w:rFonts w:cstheme="minorHAnsi"/>
                <w:u w:val="single"/>
              </w:rPr>
              <w:t>Textbooks</w:t>
            </w:r>
          </w:p>
          <w:p w14:paraId="692A4E6E" w14:textId="77777777" w:rsidR="000D127D" w:rsidRPr="00CE4411" w:rsidRDefault="000D127D" w:rsidP="000D127D">
            <w:pPr>
              <w:numPr>
                <w:ilvl w:val="0"/>
                <w:numId w:val="9"/>
              </w:numPr>
              <w:autoSpaceDE w:val="0"/>
              <w:autoSpaceDN w:val="0"/>
              <w:rPr>
                <w:rFonts w:cstheme="minorHAnsi"/>
              </w:rPr>
            </w:pPr>
            <w:r w:rsidRPr="00CE4411">
              <w:rPr>
                <w:rFonts w:cstheme="minorHAnsi"/>
              </w:rPr>
              <w:t xml:space="preserve">Archer, M. (2012): </w:t>
            </w:r>
            <w:r w:rsidRPr="00CE4411">
              <w:rPr>
                <w:rFonts w:cstheme="minorHAnsi"/>
                <w:i/>
              </w:rPr>
              <w:t>The Reflexive Imperative</w:t>
            </w:r>
            <w:r w:rsidRPr="00CE4411">
              <w:rPr>
                <w:rFonts w:cstheme="minorHAnsi"/>
              </w:rPr>
              <w:t>, Cambridge University Press.</w:t>
            </w:r>
          </w:p>
          <w:p w14:paraId="4FD7AAFF" w14:textId="77777777" w:rsidR="0032202C" w:rsidRPr="00CE4411" w:rsidRDefault="0032202C" w:rsidP="0032202C">
            <w:pPr>
              <w:numPr>
                <w:ilvl w:val="0"/>
                <w:numId w:val="9"/>
              </w:numPr>
              <w:autoSpaceDE w:val="0"/>
              <w:autoSpaceDN w:val="0"/>
              <w:rPr>
                <w:rFonts w:cstheme="minorHAnsi"/>
                <w:snapToGrid w:val="0"/>
                <w:color w:val="000000"/>
              </w:rPr>
            </w:pPr>
            <w:r w:rsidRPr="00CE4411">
              <w:rPr>
                <w:rFonts w:cstheme="minorHAnsi"/>
                <w:color w:val="222222"/>
                <w:shd w:val="clear" w:color="auto" w:fill="FFFFFF"/>
              </w:rPr>
              <w:t>Alvesson, M., &amp; Deetz, S. (2020). </w:t>
            </w:r>
            <w:r w:rsidRPr="00CE4411">
              <w:rPr>
                <w:rFonts w:cstheme="minorHAnsi"/>
                <w:i/>
                <w:iCs/>
                <w:color w:val="222222"/>
                <w:shd w:val="clear" w:color="auto" w:fill="FFFFFF"/>
              </w:rPr>
              <w:t>Doing critical research</w:t>
            </w:r>
            <w:r w:rsidRPr="00CE4411">
              <w:rPr>
                <w:rFonts w:cstheme="minorHAnsi"/>
                <w:color w:val="222222"/>
                <w:shd w:val="clear" w:color="auto" w:fill="FFFFFF"/>
              </w:rPr>
              <w:t>. SAGE Publications Limited.</w:t>
            </w:r>
          </w:p>
          <w:p w14:paraId="170FC3B4" w14:textId="77777777" w:rsidR="000D127D" w:rsidRPr="00CE4411" w:rsidRDefault="000D127D" w:rsidP="000D127D">
            <w:pPr>
              <w:numPr>
                <w:ilvl w:val="0"/>
                <w:numId w:val="9"/>
              </w:numPr>
              <w:autoSpaceDE w:val="0"/>
              <w:autoSpaceDN w:val="0"/>
              <w:rPr>
                <w:rFonts w:cstheme="minorHAnsi"/>
              </w:rPr>
            </w:pPr>
            <w:r w:rsidRPr="00CE4411">
              <w:rPr>
                <w:rFonts w:cstheme="minorHAnsi"/>
              </w:rPr>
              <w:t xml:space="preserve">Chalmers, A. (2013): </w:t>
            </w:r>
            <w:r w:rsidRPr="00CE4411">
              <w:rPr>
                <w:rFonts w:cstheme="minorHAnsi"/>
                <w:i/>
              </w:rPr>
              <w:t xml:space="preserve">What is this thing called Science? </w:t>
            </w:r>
            <w:r w:rsidRPr="00CE4411">
              <w:rPr>
                <w:rFonts w:cstheme="minorHAnsi"/>
              </w:rPr>
              <w:t>Queensland University Press.</w:t>
            </w:r>
          </w:p>
          <w:p w14:paraId="52D39FE4" w14:textId="7614DC1B" w:rsidR="008C395D" w:rsidRPr="00CE4411" w:rsidRDefault="008C395D" w:rsidP="008C395D">
            <w:pPr>
              <w:numPr>
                <w:ilvl w:val="0"/>
                <w:numId w:val="9"/>
              </w:numPr>
              <w:autoSpaceDE w:val="0"/>
              <w:autoSpaceDN w:val="0"/>
              <w:rPr>
                <w:rFonts w:cstheme="minorHAnsi"/>
              </w:rPr>
            </w:pPr>
            <w:r w:rsidRPr="00CE4411">
              <w:rPr>
                <w:rFonts w:cstheme="minorHAnsi"/>
              </w:rPr>
              <w:t xml:space="preserve">Hair, J. et al. (various editions; various author teams): </w:t>
            </w:r>
            <w:r w:rsidRPr="00CE4411">
              <w:rPr>
                <w:rFonts w:cstheme="minorHAnsi"/>
                <w:i/>
              </w:rPr>
              <w:t>Multivariate Data Analysis</w:t>
            </w:r>
            <w:r w:rsidRPr="00CE4411">
              <w:rPr>
                <w:rFonts w:cstheme="minorHAnsi"/>
              </w:rPr>
              <w:t xml:space="preserve">, Prentice Hall. </w:t>
            </w:r>
          </w:p>
          <w:p w14:paraId="194CEA87" w14:textId="3D8AB612" w:rsidR="00553DBD" w:rsidRPr="00CE4411" w:rsidRDefault="00553DBD" w:rsidP="008C395D">
            <w:pPr>
              <w:numPr>
                <w:ilvl w:val="0"/>
                <w:numId w:val="9"/>
              </w:numPr>
              <w:autoSpaceDE w:val="0"/>
              <w:autoSpaceDN w:val="0"/>
              <w:rPr>
                <w:rFonts w:cstheme="minorHAnsi"/>
              </w:rPr>
            </w:pPr>
            <w:r w:rsidRPr="00CE4411">
              <w:rPr>
                <w:rFonts w:cstheme="minorHAnsi"/>
              </w:rPr>
              <w:t xml:space="preserve">Hart C. (2018) </w:t>
            </w:r>
            <w:r w:rsidRPr="00CE4411">
              <w:rPr>
                <w:rFonts w:cstheme="minorHAnsi"/>
                <w:i/>
                <w:iCs/>
              </w:rPr>
              <w:t>Doing a Literature Review</w:t>
            </w:r>
            <w:r w:rsidRPr="00CE4411">
              <w:rPr>
                <w:rFonts w:cstheme="minorHAnsi"/>
              </w:rPr>
              <w:t xml:space="preserve"> London: Sage </w:t>
            </w:r>
          </w:p>
          <w:p w14:paraId="1BA9BCF4" w14:textId="77777777" w:rsidR="000D127D" w:rsidRPr="00CE4411" w:rsidRDefault="000D127D" w:rsidP="000D127D">
            <w:pPr>
              <w:numPr>
                <w:ilvl w:val="0"/>
                <w:numId w:val="9"/>
              </w:numPr>
              <w:autoSpaceDE w:val="0"/>
              <w:autoSpaceDN w:val="0"/>
              <w:rPr>
                <w:rFonts w:cstheme="minorHAnsi"/>
              </w:rPr>
            </w:pPr>
            <w:r w:rsidRPr="00CE4411">
              <w:rPr>
                <w:rFonts w:cstheme="minorHAnsi"/>
              </w:rPr>
              <w:t xml:space="preserve">Hollis, M. (1996): </w:t>
            </w:r>
            <w:r w:rsidRPr="00CE4411">
              <w:rPr>
                <w:rFonts w:cstheme="minorHAnsi"/>
                <w:i/>
              </w:rPr>
              <w:t>The Philosophy of the Social Sciences</w:t>
            </w:r>
            <w:r w:rsidRPr="00CE4411">
              <w:rPr>
                <w:rFonts w:cstheme="minorHAnsi"/>
              </w:rPr>
              <w:t>, Cambridge University Press.</w:t>
            </w:r>
          </w:p>
          <w:p w14:paraId="59C2AF49" w14:textId="2B6D26EC" w:rsidR="008C395D" w:rsidRPr="00CE4411" w:rsidRDefault="008C395D" w:rsidP="008C395D">
            <w:pPr>
              <w:numPr>
                <w:ilvl w:val="0"/>
                <w:numId w:val="9"/>
              </w:numPr>
              <w:autoSpaceDE w:val="0"/>
              <w:autoSpaceDN w:val="0"/>
              <w:rPr>
                <w:rFonts w:cstheme="minorHAnsi"/>
              </w:rPr>
            </w:pPr>
            <w:r w:rsidRPr="00CE4411">
              <w:rPr>
                <w:rFonts w:cstheme="minorHAnsi"/>
              </w:rPr>
              <w:t xml:space="preserve">Hunter, J.E. &amp; Schmidt, F.L. (2004): </w:t>
            </w:r>
            <w:r w:rsidRPr="00CE4411">
              <w:rPr>
                <w:rFonts w:cstheme="minorHAnsi"/>
                <w:i/>
              </w:rPr>
              <w:t>Methods of Meta-Analysis, Correcting Error and Bias in Research Findings</w:t>
            </w:r>
            <w:r w:rsidRPr="00CE4411">
              <w:rPr>
                <w:rFonts w:cstheme="minorHAnsi"/>
              </w:rPr>
              <w:t>, Sage.</w:t>
            </w:r>
          </w:p>
          <w:p w14:paraId="157AF697" w14:textId="1A86E4B6" w:rsidR="002969F6" w:rsidRPr="00CE4411" w:rsidRDefault="002969F6" w:rsidP="008C395D">
            <w:pPr>
              <w:numPr>
                <w:ilvl w:val="0"/>
                <w:numId w:val="9"/>
              </w:numPr>
              <w:autoSpaceDE w:val="0"/>
              <w:autoSpaceDN w:val="0"/>
              <w:rPr>
                <w:rFonts w:cstheme="minorHAnsi"/>
              </w:rPr>
            </w:pPr>
            <w:r w:rsidRPr="00CE4411">
              <w:rPr>
                <w:rFonts w:cstheme="minorHAnsi"/>
                <w:color w:val="222222"/>
                <w:shd w:val="clear" w:color="auto" w:fill="FFFFFF"/>
              </w:rPr>
              <w:t>Kelemen, M. L., &amp; Rumens, N. (2008). </w:t>
            </w:r>
            <w:r w:rsidRPr="00CE4411">
              <w:rPr>
                <w:rFonts w:cstheme="minorHAnsi"/>
                <w:i/>
                <w:iCs/>
                <w:color w:val="222222"/>
                <w:shd w:val="clear" w:color="auto" w:fill="FFFFFF"/>
              </w:rPr>
              <w:t>An introduction to critical management research</w:t>
            </w:r>
            <w:r w:rsidRPr="00CE4411">
              <w:rPr>
                <w:rFonts w:cstheme="minorHAnsi"/>
                <w:color w:val="222222"/>
                <w:shd w:val="clear" w:color="auto" w:fill="FFFFFF"/>
              </w:rPr>
              <w:t>. Sage.</w:t>
            </w:r>
          </w:p>
          <w:p w14:paraId="1CCB6AC6" w14:textId="77777777" w:rsidR="008C395D" w:rsidRPr="00CE4411" w:rsidRDefault="008C395D" w:rsidP="008C395D">
            <w:pPr>
              <w:numPr>
                <w:ilvl w:val="0"/>
                <w:numId w:val="9"/>
              </w:numPr>
              <w:autoSpaceDE w:val="0"/>
              <w:autoSpaceDN w:val="0"/>
              <w:rPr>
                <w:rFonts w:cstheme="minorHAnsi"/>
              </w:rPr>
            </w:pPr>
            <w:r w:rsidRPr="00CE4411">
              <w:rPr>
                <w:rFonts w:cstheme="minorHAnsi"/>
              </w:rPr>
              <w:t xml:space="preserve">Lipsey, M.W. &amp; Wilson, D.T. (2001): </w:t>
            </w:r>
            <w:r w:rsidRPr="00CE4411">
              <w:rPr>
                <w:rFonts w:cstheme="minorHAnsi"/>
                <w:i/>
              </w:rPr>
              <w:t>Practical Meta-Analysis</w:t>
            </w:r>
            <w:r w:rsidRPr="00CE4411">
              <w:rPr>
                <w:rFonts w:cstheme="minorHAnsi"/>
              </w:rPr>
              <w:t>, Sage.</w:t>
            </w:r>
          </w:p>
          <w:p w14:paraId="42CBECF2" w14:textId="77777777" w:rsidR="008C395D" w:rsidRPr="00CE4411" w:rsidRDefault="008C395D" w:rsidP="008C395D">
            <w:pPr>
              <w:numPr>
                <w:ilvl w:val="0"/>
                <w:numId w:val="9"/>
              </w:numPr>
              <w:autoSpaceDE w:val="0"/>
              <w:autoSpaceDN w:val="0"/>
              <w:rPr>
                <w:rFonts w:cstheme="minorHAnsi"/>
              </w:rPr>
            </w:pPr>
            <w:r w:rsidRPr="00CE4411">
              <w:rPr>
                <w:rFonts w:cstheme="minorHAnsi"/>
              </w:rPr>
              <w:t xml:space="preserve">Miles, Matthew B., and A. Michael Huberman (1994): </w:t>
            </w:r>
            <w:r w:rsidRPr="00CE4411">
              <w:rPr>
                <w:rFonts w:cstheme="minorHAnsi"/>
                <w:i/>
              </w:rPr>
              <w:t>Qualitative Data Analysis</w:t>
            </w:r>
            <w:r w:rsidRPr="00CE4411">
              <w:rPr>
                <w:rFonts w:cstheme="minorHAnsi"/>
              </w:rPr>
              <w:t>, Sage</w:t>
            </w:r>
          </w:p>
          <w:p w14:paraId="244DD08A" w14:textId="77777777" w:rsidR="008C395D" w:rsidRPr="00CE4411" w:rsidRDefault="008C395D" w:rsidP="008C395D">
            <w:pPr>
              <w:numPr>
                <w:ilvl w:val="0"/>
                <w:numId w:val="9"/>
              </w:numPr>
              <w:autoSpaceDE w:val="0"/>
              <w:autoSpaceDN w:val="0"/>
              <w:rPr>
                <w:rFonts w:cstheme="minorHAnsi"/>
                <w:u w:val="single"/>
              </w:rPr>
            </w:pPr>
            <w:r w:rsidRPr="00CE4411">
              <w:rPr>
                <w:rFonts w:cstheme="minorHAnsi"/>
              </w:rPr>
              <w:t xml:space="preserve">Murray R., (2002): </w:t>
            </w:r>
            <w:r w:rsidRPr="00CE4411">
              <w:rPr>
                <w:rFonts w:cstheme="minorHAnsi"/>
                <w:i/>
                <w:iCs/>
              </w:rPr>
              <w:t>How to Write a Thesis</w:t>
            </w:r>
            <w:r w:rsidRPr="00CE4411">
              <w:rPr>
                <w:rFonts w:cstheme="minorHAnsi"/>
              </w:rPr>
              <w:t>, Open University Press.</w:t>
            </w:r>
          </w:p>
          <w:p w14:paraId="25A2EAC2" w14:textId="77777777" w:rsidR="00553DBD" w:rsidRPr="00CE4411" w:rsidRDefault="008C395D" w:rsidP="00553DBD">
            <w:pPr>
              <w:numPr>
                <w:ilvl w:val="0"/>
                <w:numId w:val="9"/>
              </w:numPr>
              <w:autoSpaceDE w:val="0"/>
              <w:autoSpaceDN w:val="0"/>
              <w:rPr>
                <w:rFonts w:cstheme="minorHAnsi"/>
              </w:rPr>
            </w:pPr>
            <w:r w:rsidRPr="00CE4411">
              <w:rPr>
                <w:rFonts w:cstheme="minorHAnsi"/>
              </w:rPr>
              <w:t xml:space="preserve">Ridley, D. (2008): </w:t>
            </w:r>
            <w:r w:rsidRPr="00CE4411">
              <w:rPr>
                <w:rFonts w:cstheme="minorHAnsi"/>
                <w:i/>
              </w:rPr>
              <w:t>The Literature Review. A Step-by-step Guide for Students</w:t>
            </w:r>
            <w:r w:rsidRPr="00CE4411">
              <w:rPr>
                <w:rFonts w:cstheme="minorHAnsi"/>
              </w:rPr>
              <w:t>, Sage.</w:t>
            </w:r>
          </w:p>
          <w:p w14:paraId="631D8992" w14:textId="0D77B82B" w:rsidR="00553DBD" w:rsidRPr="00CE4411" w:rsidRDefault="00553DBD" w:rsidP="00553DBD">
            <w:pPr>
              <w:numPr>
                <w:ilvl w:val="0"/>
                <w:numId w:val="9"/>
              </w:numPr>
              <w:autoSpaceDE w:val="0"/>
              <w:autoSpaceDN w:val="0"/>
              <w:rPr>
                <w:rFonts w:cstheme="minorHAnsi"/>
              </w:rPr>
            </w:pPr>
            <w:r w:rsidRPr="00CE4411">
              <w:rPr>
                <w:rFonts w:cstheme="minorHAnsi"/>
              </w:rPr>
              <w:t xml:space="preserve">Saunders, N.K., Lewis, P, Thornhill (2016) ‘Chapter 3: Critically reviewing the literature’ </w:t>
            </w:r>
            <w:r w:rsidRPr="00CE4411">
              <w:rPr>
                <w:rFonts w:cstheme="minorHAnsi"/>
                <w:i/>
                <w:iCs/>
              </w:rPr>
              <w:t>Research Methods for Business Students</w:t>
            </w:r>
            <w:r w:rsidRPr="00CE4411">
              <w:rPr>
                <w:rFonts w:cstheme="minorHAnsi"/>
              </w:rPr>
              <w:t xml:space="preserve"> Pearson</w:t>
            </w:r>
          </w:p>
          <w:p w14:paraId="44E1051D" w14:textId="0A0E9D51" w:rsidR="00553DBD" w:rsidRPr="00CE4411" w:rsidRDefault="00553DBD" w:rsidP="00553DBD">
            <w:pPr>
              <w:numPr>
                <w:ilvl w:val="0"/>
                <w:numId w:val="9"/>
              </w:numPr>
              <w:autoSpaceDE w:val="0"/>
              <w:autoSpaceDN w:val="0"/>
              <w:rPr>
                <w:rFonts w:cstheme="minorHAnsi"/>
              </w:rPr>
            </w:pPr>
            <w:r w:rsidRPr="00CE4411">
              <w:rPr>
                <w:rFonts w:cstheme="minorHAnsi"/>
              </w:rPr>
              <w:t xml:space="preserve">Wallace, M. and Wray, A. (2016) </w:t>
            </w:r>
            <w:r w:rsidRPr="00CE4411">
              <w:rPr>
                <w:rFonts w:cstheme="minorHAnsi"/>
                <w:i/>
                <w:iCs/>
              </w:rPr>
              <w:t xml:space="preserve">Critical Reading and Writing for Postgraduate Students </w:t>
            </w:r>
            <w:r w:rsidRPr="00CE4411">
              <w:rPr>
                <w:rFonts w:cstheme="minorHAnsi"/>
              </w:rPr>
              <w:t xml:space="preserve">London Sage </w:t>
            </w:r>
          </w:p>
          <w:p w14:paraId="10E221DC" w14:textId="77777777" w:rsidR="008C395D" w:rsidRPr="00CE4411" w:rsidRDefault="008C395D" w:rsidP="008C395D">
            <w:pPr>
              <w:ind w:left="284" w:hanging="284"/>
              <w:rPr>
                <w:rFonts w:cstheme="minorHAnsi"/>
                <w:u w:val="single"/>
              </w:rPr>
            </w:pPr>
          </w:p>
          <w:p w14:paraId="4E39BB6E" w14:textId="77777777" w:rsidR="008C395D" w:rsidRPr="00CE4411" w:rsidRDefault="008C395D" w:rsidP="008C395D">
            <w:pPr>
              <w:ind w:left="284" w:hanging="284"/>
              <w:rPr>
                <w:rFonts w:cstheme="minorHAnsi"/>
              </w:rPr>
            </w:pPr>
            <w:r w:rsidRPr="00CE4411">
              <w:rPr>
                <w:rFonts w:cstheme="minorHAnsi"/>
                <w:u w:val="single"/>
              </w:rPr>
              <w:lastRenderedPageBreak/>
              <w:t xml:space="preserve">Methods-Papers. </w:t>
            </w:r>
          </w:p>
          <w:p w14:paraId="17D841E1" w14:textId="77777777" w:rsidR="00924DF8" w:rsidRPr="00CE4411" w:rsidRDefault="008C395D" w:rsidP="00924DF8">
            <w:pPr>
              <w:numPr>
                <w:ilvl w:val="0"/>
                <w:numId w:val="10"/>
              </w:numPr>
              <w:autoSpaceDE w:val="0"/>
              <w:autoSpaceDN w:val="0"/>
              <w:rPr>
                <w:rFonts w:cstheme="minorHAnsi"/>
              </w:rPr>
            </w:pPr>
            <w:r w:rsidRPr="00CE4411">
              <w:rPr>
                <w:rFonts w:cstheme="minorHAnsi"/>
              </w:rPr>
              <w:t xml:space="preserve">Bartunek, J.M., Rynes, S.L. &amp; Ireland, R.D (2006): What makes interesting research and why does it matter? </w:t>
            </w:r>
            <w:r w:rsidRPr="00CE4411">
              <w:rPr>
                <w:rFonts w:cstheme="minorHAnsi"/>
                <w:i/>
              </w:rPr>
              <w:t>Academy of Management Journal</w:t>
            </w:r>
            <w:r w:rsidRPr="00CE4411">
              <w:rPr>
                <w:rFonts w:cstheme="minorHAnsi"/>
              </w:rPr>
              <w:t>, 49, 9-15.</w:t>
            </w:r>
          </w:p>
          <w:p w14:paraId="5E642330" w14:textId="77777777" w:rsidR="000C1828" w:rsidRPr="00CE4411" w:rsidRDefault="000C1828" w:rsidP="000C1828">
            <w:pPr>
              <w:numPr>
                <w:ilvl w:val="0"/>
                <w:numId w:val="10"/>
              </w:numPr>
              <w:autoSpaceDE w:val="0"/>
              <w:autoSpaceDN w:val="0"/>
              <w:rPr>
                <w:rFonts w:cstheme="minorHAnsi"/>
              </w:rPr>
            </w:pPr>
            <w:r w:rsidRPr="00CE4411">
              <w:rPr>
                <w:rFonts w:cstheme="minorHAnsi"/>
              </w:rPr>
              <w:t xml:space="preserve">Boyack, K.W. &amp; Klavans, R. (2010): Co-citation analysis, bibliographic coupling, and direct citation: Which citation approach represents the research front most accurately? </w:t>
            </w:r>
            <w:r w:rsidRPr="00CE4411">
              <w:rPr>
                <w:rFonts w:cstheme="minorHAnsi"/>
                <w:i/>
              </w:rPr>
              <w:t>Journal of the American Society for Information Science and Technology</w:t>
            </w:r>
            <w:r w:rsidRPr="00CE4411">
              <w:rPr>
                <w:rFonts w:cstheme="minorHAnsi"/>
              </w:rPr>
              <w:t>, 61(12), 2389–2404.</w:t>
            </w:r>
          </w:p>
          <w:p w14:paraId="42A6C918" w14:textId="77777777" w:rsidR="00092268" w:rsidRPr="00CE4411" w:rsidRDefault="00092268" w:rsidP="00092268">
            <w:pPr>
              <w:numPr>
                <w:ilvl w:val="0"/>
                <w:numId w:val="10"/>
              </w:numPr>
              <w:autoSpaceDE w:val="0"/>
              <w:autoSpaceDN w:val="0"/>
              <w:rPr>
                <w:rFonts w:cstheme="minorHAnsi"/>
              </w:rPr>
            </w:pPr>
            <w:r w:rsidRPr="00CE4411">
              <w:rPr>
                <w:rFonts w:cstheme="minorHAnsi"/>
              </w:rPr>
              <w:t xml:space="preserve">Chen, C. (2006): CiteSpace II: Detecting and visualizing emerging trends and transient patterns in scientific literature, </w:t>
            </w:r>
            <w:r w:rsidRPr="00CE4411">
              <w:rPr>
                <w:rFonts w:cstheme="minorHAnsi"/>
                <w:i/>
              </w:rPr>
              <w:t>Journal of the Association for information science and technology</w:t>
            </w:r>
            <w:r w:rsidR="00B74C30" w:rsidRPr="00CE4411">
              <w:rPr>
                <w:rFonts w:cstheme="minorHAnsi"/>
              </w:rPr>
              <w:t>, 57(3), 359-</w:t>
            </w:r>
            <w:r w:rsidRPr="00CE4411">
              <w:rPr>
                <w:rFonts w:cstheme="minorHAnsi"/>
              </w:rPr>
              <w:t>377.</w:t>
            </w:r>
          </w:p>
          <w:p w14:paraId="137D83B3" w14:textId="77777777" w:rsidR="00092268" w:rsidRPr="00CE4411" w:rsidRDefault="00092268" w:rsidP="00092268">
            <w:pPr>
              <w:numPr>
                <w:ilvl w:val="0"/>
                <w:numId w:val="10"/>
              </w:numPr>
              <w:autoSpaceDE w:val="0"/>
              <w:autoSpaceDN w:val="0"/>
              <w:rPr>
                <w:rFonts w:cstheme="minorHAnsi"/>
              </w:rPr>
            </w:pPr>
            <w:r w:rsidRPr="00CE4411">
              <w:rPr>
                <w:rFonts w:cstheme="minorHAnsi"/>
              </w:rPr>
              <w:t xml:space="preserve">Geyskens, I., Krishnan, R., Steenkamp, J.-B. E. M., &amp; Cunha, P. V. (2009): A Review and Evaluation of Meta-Analysis Practices in Management Research, </w:t>
            </w:r>
            <w:r w:rsidRPr="00CE4411">
              <w:rPr>
                <w:rFonts w:cstheme="minorHAnsi"/>
                <w:i/>
              </w:rPr>
              <w:t>Journal of Management</w:t>
            </w:r>
            <w:r w:rsidRPr="00CE4411">
              <w:rPr>
                <w:rFonts w:cstheme="minorHAnsi"/>
              </w:rPr>
              <w:t xml:space="preserve">, 35(2), 393–419. </w:t>
            </w:r>
          </w:p>
          <w:p w14:paraId="513225AB" w14:textId="77777777" w:rsidR="00D75E87" w:rsidRPr="00CE4411" w:rsidRDefault="00D75E87" w:rsidP="00D75E87">
            <w:pPr>
              <w:numPr>
                <w:ilvl w:val="0"/>
                <w:numId w:val="10"/>
              </w:numPr>
              <w:autoSpaceDE w:val="0"/>
              <w:autoSpaceDN w:val="0"/>
              <w:rPr>
                <w:rFonts w:cstheme="minorHAnsi"/>
              </w:rPr>
            </w:pPr>
            <w:r w:rsidRPr="00CE4411">
              <w:rPr>
                <w:rFonts w:cstheme="minorHAnsi"/>
              </w:rPr>
              <w:t xml:space="preserve">Hood, W., &amp; Wilson, C. (2001): The literature of bibliometrics, scientometrics, and informetrics. </w:t>
            </w:r>
            <w:r w:rsidRPr="00CE4411">
              <w:rPr>
                <w:rFonts w:cstheme="minorHAnsi"/>
                <w:i/>
              </w:rPr>
              <w:t>Scientometrics</w:t>
            </w:r>
            <w:r w:rsidRPr="00CE4411">
              <w:rPr>
                <w:rFonts w:cstheme="minorHAnsi"/>
              </w:rPr>
              <w:t>, 52(2), 291–304.</w:t>
            </w:r>
          </w:p>
          <w:p w14:paraId="0BDC0171" w14:textId="77777777" w:rsidR="000C1828" w:rsidRPr="00CE4411" w:rsidRDefault="000C1828" w:rsidP="000C1828">
            <w:pPr>
              <w:numPr>
                <w:ilvl w:val="0"/>
                <w:numId w:val="10"/>
              </w:numPr>
              <w:autoSpaceDE w:val="0"/>
              <w:autoSpaceDN w:val="0"/>
              <w:rPr>
                <w:rFonts w:cstheme="minorHAnsi"/>
              </w:rPr>
            </w:pPr>
            <w:r w:rsidRPr="00CE4411">
              <w:rPr>
                <w:rFonts w:cstheme="minorHAnsi"/>
              </w:rPr>
              <w:t xml:space="preserve">Huber, J., Kamakura, W., &amp; Mela, C.F. (2014): A topical history of JMR, </w:t>
            </w:r>
            <w:r w:rsidRPr="00CE4411">
              <w:rPr>
                <w:rFonts w:cstheme="minorHAnsi"/>
                <w:i/>
              </w:rPr>
              <w:t>Journal of Marketing Research</w:t>
            </w:r>
            <w:r w:rsidRPr="00CE4411">
              <w:rPr>
                <w:rFonts w:cstheme="minorHAnsi"/>
              </w:rPr>
              <w:t>, 51(1), 84–91.</w:t>
            </w:r>
          </w:p>
          <w:p w14:paraId="12300A3F" w14:textId="77777777" w:rsidR="00924DF8" w:rsidRPr="00CE4411" w:rsidRDefault="00924DF8" w:rsidP="00924DF8">
            <w:pPr>
              <w:numPr>
                <w:ilvl w:val="0"/>
                <w:numId w:val="10"/>
              </w:numPr>
              <w:autoSpaceDE w:val="0"/>
              <w:autoSpaceDN w:val="0"/>
              <w:rPr>
                <w:rFonts w:cstheme="minorHAnsi"/>
              </w:rPr>
            </w:pPr>
            <w:r w:rsidRPr="00CE4411">
              <w:rPr>
                <w:rFonts w:cstheme="minorHAnsi"/>
              </w:rPr>
              <w:t xml:space="preserve">Kincaid, H. (1990): Defending Laws in the Social Sciences, </w:t>
            </w:r>
            <w:r w:rsidRPr="00CE4411">
              <w:rPr>
                <w:rFonts w:cstheme="minorHAnsi"/>
                <w:i/>
              </w:rPr>
              <w:t>Philosophy of Social Sciences</w:t>
            </w:r>
            <w:r w:rsidRPr="00CE4411">
              <w:rPr>
                <w:rFonts w:cstheme="minorHAnsi"/>
              </w:rPr>
              <w:t>, 20, 56-83.</w:t>
            </w:r>
          </w:p>
          <w:p w14:paraId="5805BD38" w14:textId="77777777" w:rsidR="008C395D" w:rsidRPr="00CE4411" w:rsidRDefault="008C395D" w:rsidP="008C395D">
            <w:pPr>
              <w:numPr>
                <w:ilvl w:val="0"/>
                <w:numId w:val="10"/>
              </w:numPr>
              <w:autoSpaceDE w:val="0"/>
              <w:autoSpaceDN w:val="0"/>
              <w:rPr>
                <w:rFonts w:cstheme="minorHAnsi"/>
              </w:rPr>
            </w:pPr>
            <w:r w:rsidRPr="00CE4411">
              <w:rPr>
                <w:rFonts w:cstheme="minorHAnsi"/>
              </w:rPr>
              <w:t xml:space="preserve">Locke, K. &amp; Golden-Biddle, K (1997): “Constructing opportunities for contribution: Structuring coherence and ‘problematizing’ in organization studies,” </w:t>
            </w:r>
            <w:r w:rsidRPr="00CE4411">
              <w:rPr>
                <w:rFonts w:cstheme="minorHAnsi"/>
                <w:i/>
              </w:rPr>
              <w:t>Academy of Management Journal</w:t>
            </w:r>
            <w:r w:rsidRPr="00CE4411">
              <w:rPr>
                <w:rFonts w:cstheme="minorHAnsi"/>
              </w:rPr>
              <w:t>, 40, 1023-1062.</w:t>
            </w:r>
          </w:p>
          <w:p w14:paraId="6F38FF3B" w14:textId="77777777" w:rsidR="008C395D" w:rsidRPr="00CE4411" w:rsidRDefault="008C395D" w:rsidP="008C395D">
            <w:pPr>
              <w:numPr>
                <w:ilvl w:val="0"/>
                <w:numId w:val="10"/>
              </w:numPr>
              <w:autoSpaceDE w:val="0"/>
              <w:autoSpaceDN w:val="0"/>
              <w:rPr>
                <w:rFonts w:cstheme="minorHAnsi"/>
              </w:rPr>
            </w:pPr>
            <w:r w:rsidRPr="00CE4411">
              <w:rPr>
                <w:rFonts w:cstheme="minorHAnsi"/>
              </w:rPr>
              <w:t xml:space="preserve">Tranfield, D., Denyer, D. &amp; Smart, P. (2003), “Towards a Methodology for Developing Evidence-Informed Management Knowledge by Means of Systematic Review” </w:t>
            </w:r>
            <w:r w:rsidRPr="00CE4411">
              <w:rPr>
                <w:rFonts w:cstheme="minorHAnsi"/>
                <w:i/>
              </w:rPr>
              <w:t>British Journal of Management</w:t>
            </w:r>
            <w:r w:rsidRPr="00CE4411">
              <w:rPr>
                <w:rFonts w:cstheme="minorHAnsi"/>
              </w:rPr>
              <w:t xml:space="preserve"> 14: 207-222.</w:t>
            </w:r>
          </w:p>
          <w:p w14:paraId="78A47E3B" w14:textId="77777777" w:rsidR="008C395D" w:rsidRPr="00CE4411" w:rsidRDefault="008C395D" w:rsidP="008C395D">
            <w:pPr>
              <w:ind w:left="284" w:hanging="284"/>
              <w:rPr>
                <w:rFonts w:cstheme="minorHAnsi"/>
              </w:rPr>
            </w:pPr>
          </w:p>
          <w:p w14:paraId="598B8AC1" w14:textId="77777777" w:rsidR="008C395D" w:rsidRPr="00CE4411" w:rsidRDefault="008C395D" w:rsidP="008C395D">
            <w:pPr>
              <w:ind w:left="284" w:hanging="284"/>
              <w:rPr>
                <w:rFonts w:cstheme="minorHAnsi"/>
                <w:u w:val="single"/>
              </w:rPr>
            </w:pPr>
            <w:r w:rsidRPr="00CE4411">
              <w:rPr>
                <w:rFonts w:cstheme="minorHAnsi"/>
                <w:u w:val="single"/>
              </w:rPr>
              <w:t>Applications</w:t>
            </w:r>
          </w:p>
          <w:p w14:paraId="5956E88D" w14:textId="77777777" w:rsidR="008C395D" w:rsidRPr="00CE4411" w:rsidRDefault="008C395D" w:rsidP="008C395D">
            <w:pPr>
              <w:numPr>
                <w:ilvl w:val="0"/>
                <w:numId w:val="11"/>
              </w:numPr>
              <w:autoSpaceDE w:val="0"/>
              <w:autoSpaceDN w:val="0"/>
              <w:rPr>
                <w:rFonts w:cstheme="minorHAnsi"/>
              </w:rPr>
            </w:pPr>
            <w:r w:rsidRPr="00CE4411">
              <w:rPr>
                <w:rFonts w:cstheme="minorHAnsi"/>
              </w:rPr>
              <w:t xml:space="preserve">Evanschitzky, H., Eisend, M., Calantone, R.J. &amp; Jiang, Y. (2012): “Success Factors of Product Innovation: An Updated Meta-Analysis,” </w:t>
            </w:r>
            <w:r w:rsidRPr="00CE4411">
              <w:rPr>
                <w:rFonts w:cstheme="minorHAnsi"/>
                <w:i/>
              </w:rPr>
              <w:t>Journal of Product Innovation Management</w:t>
            </w:r>
            <w:r w:rsidRPr="00CE4411">
              <w:rPr>
                <w:rFonts w:cstheme="minorHAnsi"/>
              </w:rPr>
              <w:t>, 29 (S1), 21-37.</w:t>
            </w:r>
          </w:p>
          <w:p w14:paraId="76244C46" w14:textId="51E95302" w:rsidR="008C395D" w:rsidRPr="00CE4411" w:rsidRDefault="00CD0455" w:rsidP="00CD0455">
            <w:pPr>
              <w:pStyle w:val="ListParagraph"/>
              <w:numPr>
                <w:ilvl w:val="0"/>
                <w:numId w:val="9"/>
              </w:numPr>
              <w:rPr>
                <w:rFonts w:cstheme="minorHAnsi"/>
              </w:rPr>
            </w:pPr>
            <w:r w:rsidRPr="00CE4411">
              <w:rPr>
                <w:rFonts w:cstheme="minorHAnsi"/>
              </w:rPr>
              <w:t xml:space="preserve">Gurzki, H., Woisetschläger, D.M. (2017): “Mapping the luxury research landscape: A bibliometric citation analysis,” </w:t>
            </w:r>
            <w:r w:rsidRPr="00CE4411">
              <w:rPr>
                <w:rFonts w:cstheme="minorHAnsi"/>
                <w:i/>
              </w:rPr>
              <w:t>Journal of Business Research</w:t>
            </w:r>
            <w:r w:rsidRPr="00CE4411">
              <w:rPr>
                <w:rFonts w:cstheme="minorHAnsi"/>
              </w:rPr>
              <w:t>, 77, 147-166.</w:t>
            </w:r>
          </w:p>
          <w:p w14:paraId="7F224F5C" w14:textId="6523A8B2" w:rsidR="00880A2F" w:rsidRPr="00CE4411" w:rsidRDefault="00880A2F" w:rsidP="00CD0455">
            <w:pPr>
              <w:pStyle w:val="ListParagraph"/>
              <w:numPr>
                <w:ilvl w:val="0"/>
                <w:numId w:val="9"/>
              </w:numPr>
              <w:rPr>
                <w:rFonts w:cstheme="minorHAnsi"/>
              </w:rPr>
            </w:pPr>
            <w:r w:rsidRPr="00CE4411">
              <w:rPr>
                <w:rFonts w:cstheme="minorHAnsi"/>
                <w:color w:val="222222"/>
                <w:shd w:val="clear" w:color="auto" w:fill="FFFFFF"/>
              </w:rPr>
              <w:t>Gonzalez Menéndez, M., &amp; Martinez Lucio M. (2020). Voice across borders: comparing and explaining the dynamics and politics of participation in a context of change. In </w:t>
            </w:r>
            <w:r w:rsidRPr="00CE4411">
              <w:rPr>
                <w:rFonts w:cstheme="minorHAnsi"/>
                <w:i/>
                <w:iCs/>
                <w:color w:val="222222"/>
                <w:shd w:val="clear" w:color="auto" w:fill="FFFFFF"/>
              </w:rPr>
              <w:t>Handbook of Research on Employee Voice</w:t>
            </w:r>
            <w:r w:rsidRPr="00CE4411">
              <w:rPr>
                <w:rFonts w:cstheme="minorHAnsi"/>
                <w:color w:val="222222"/>
                <w:shd w:val="clear" w:color="auto" w:fill="FFFFFF"/>
              </w:rPr>
              <w:t xml:space="preserve">. </w:t>
            </w:r>
            <w:r w:rsidR="006A6BFA" w:rsidRPr="00CE4411">
              <w:rPr>
                <w:rFonts w:cstheme="minorHAnsi"/>
                <w:color w:val="222222"/>
                <w:shd w:val="clear" w:color="auto" w:fill="FFFFFF"/>
              </w:rPr>
              <w:t xml:space="preserve">Wilkinson, A., Donaghey, J., Dundon, T., &amp; Freeman, R. B. (Eds.). </w:t>
            </w:r>
            <w:r w:rsidRPr="00CE4411">
              <w:rPr>
                <w:rFonts w:cstheme="minorHAnsi"/>
                <w:color w:val="222222"/>
                <w:shd w:val="clear" w:color="auto" w:fill="FFFFFF"/>
              </w:rPr>
              <w:t>Edward Elgar Publishing.</w:t>
            </w:r>
            <w:r w:rsidR="009113CF" w:rsidRPr="00CE4411">
              <w:rPr>
                <w:rFonts w:cstheme="minorHAnsi"/>
                <w:color w:val="222222"/>
                <w:shd w:val="clear" w:color="auto" w:fill="FFFFFF"/>
              </w:rPr>
              <w:t xml:space="preserve"> (an example of mapping a debate)</w:t>
            </w:r>
          </w:p>
          <w:p w14:paraId="6DD2953A" w14:textId="4E3D4F75" w:rsidR="008B304E" w:rsidRPr="00CE4411" w:rsidRDefault="008B304E" w:rsidP="00CD0455">
            <w:pPr>
              <w:pStyle w:val="ListParagraph"/>
              <w:numPr>
                <w:ilvl w:val="0"/>
                <w:numId w:val="9"/>
              </w:numPr>
              <w:rPr>
                <w:rFonts w:cstheme="minorHAnsi"/>
              </w:rPr>
            </w:pPr>
            <w:r w:rsidRPr="00CE4411">
              <w:rPr>
                <w:rFonts w:cstheme="minorHAnsi"/>
              </w:rPr>
              <w:t>Martinez Lucio, (2010)</w:t>
            </w:r>
            <w:r w:rsidRPr="00CE4411">
              <w:rPr>
                <w:rFonts w:cstheme="minorHAnsi"/>
                <w:color w:val="222222"/>
                <w:shd w:val="clear" w:color="auto" w:fill="FFFFFF"/>
              </w:rPr>
              <w:t xml:space="preserve"> ‘Labour process and Marxist perspectives on employee participation.’ In Wilkison, A., Gollan, P. J., Marchington, M. and Lewin, D. (eds.) </w:t>
            </w:r>
            <w:r w:rsidRPr="00CE4411">
              <w:rPr>
                <w:rFonts w:cstheme="minorHAnsi"/>
                <w:i/>
                <w:iCs/>
                <w:color w:val="222222"/>
                <w:shd w:val="clear" w:color="auto" w:fill="FFFFFF"/>
              </w:rPr>
              <w:t>The Oxford handbook of participation in organizations</w:t>
            </w:r>
            <w:r w:rsidRPr="00CE4411">
              <w:rPr>
                <w:rFonts w:cstheme="minorHAnsi"/>
                <w:color w:val="222222"/>
                <w:shd w:val="clear" w:color="auto" w:fill="FFFFFF"/>
              </w:rPr>
              <w:t>. (an example of a review of the politics of research and the emergence of gaps) Oxford OUP</w:t>
            </w:r>
          </w:p>
          <w:p w14:paraId="1F8C8380" w14:textId="289C1DA0" w:rsidR="00D0407E" w:rsidRPr="00CE4411" w:rsidRDefault="00D0407E" w:rsidP="00D0407E">
            <w:pPr>
              <w:pStyle w:val="ListParagraph"/>
              <w:numPr>
                <w:ilvl w:val="0"/>
                <w:numId w:val="9"/>
              </w:numPr>
              <w:jc w:val="both"/>
              <w:rPr>
                <w:rFonts w:cstheme="minorHAnsi"/>
              </w:rPr>
            </w:pPr>
            <w:r w:rsidRPr="00CE4411">
              <w:rPr>
                <w:rFonts w:cstheme="minorHAnsi"/>
              </w:rPr>
              <w:t xml:space="preserve">Wilkinson, A., Knoll, M., Mowbray, P.K. and Dundon T. (2021) New Trajectories in Worker Voice: Integrating and Applying Contemporary Challenges in the Organization of Work </w:t>
            </w:r>
            <w:r w:rsidRPr="00CE4411">
              <w:rPr>
                <w:rFonts w:cstheme="minorHAnsi"/>
                <w:i/>
                <w:iCs/>
              </w:rPr>
              <w:t>British Journal of Management</w:t>
            </w:r>
            <w:r w:rsidRPr="00CE4411">
              <w:rPr>
                <w:rFonts w:cstheme="minorHAnsi"/>
              </w:rPr>
              <w:t xml:space="preserve"> forthcoming (an example of a reflective review of worker voice)</w:t>
            </w:r>
          </w:p>
          <w:p w14:paraId="3565DAED" w14:textId="7F131D45" w:rsidR="00D0407E" w:rsidRPr="00CE4411" w:rsidRDefault="00D0407E" w:rsidP="009113CF">
            <w:pPr>
              <w:pStyle w:val="ListParagraph"/>
              <w:rPr>
                <w:rFonts w:cstheme="minorHAnsi"/>
              </w:rPr>
            </w:pPr>
          </w:p>
          <w:p w14:paraId="698F1E93" w14:textId="77777777" w:rsidR="00CD0455" w:rsidRPr="00CE4411" w:rsidRDefault="00CD0455" w:rsidP="00CD0455">
            <w:pPr>
              <w:pStyle w:val="ListParagraph"/>
              <w:rPr>
                <w:rFonts w:cstheme="minorHAnsi"/>
              </w:rPr>
            </w:pPr>
          </w:p>
          <w:p w14:paraId="3294E510" w14:textId="77777777" w:rsidR="008C395D" w:rsidRPr="00CE4411" w:rsidRDefault="008C395D" w:rsidP="008C395D">
            <w:pPr>
              <w:ind w:left="284" w:hanging="284"/>
              <w:rPr>
                <w:rFonts w:cstheme="minorHAnsi"/>
                <w:u w:val="single"/>
              </w:rPr>
            </w:pPr>
            <w:r w:rsidRPr="00CE4411">
              <w:rPr>
                <w:rFonts w:cstheme="minorHAnsi"/>
                <w:u w:val="single"/>
              </w:rPr>
              <w:t>“Classics”</w:t>
            </w:r>
          </w:p>
          <w:p w14:paraId="152473BA" w14:textId="77777777" w:rsidR="008C395D" w:rsidRPr="00CE4411" w:rsidRDefault="008C395D" w:rsidP="008C395D">
            <w:pPr>
              <w:numPr>
                <w:ilvl w:val="0"/>
                <w:numId w:val="11"/>
              </w:numPr>
              <w:autoSpaceDE w:val="0"/>
              <w:autoSpaceDN w:val="0"/>
              <w:rPr>
                <w:rFonts w:cstheme="minorHAnsi"/>
              </w:rPr>
            </w:pPr>
            <w:r w:rsidRPr="00CE4411">
              <w:rPr>
                <w:rFonts w:cstheme="minorHAnsi"/>
              </w:rPr>
              <w:t xml:space="preserve">Feyerabend, P (1975): </w:t>
            </w:r>
            <w:r w:rsidRPr="00CE4411">
              <w:rPr>
                <w:rFonts w:cstheme="minorHAnsi"/>
                <w:i/>
              </w:rPr>
              <w:t>Against Method</w:t>
            </w:r>
            <w:r w:rsidRPr="00CE4411">
              <w:rPr>
                <w:rFonts w:cstheme="minorHAnsi"/>
              </w:rPr>
              <w:t>, New Left Books.</w:t>
            </w:r>
          </w:p>
          <w:p w14:paraId="3278630A" w14:textId="77777777" w:rsidR="008C395D" w:rsidRPr="00CE4411" w:rsidRDefault="008C395D" w:rsidP="008C395D">
            <w:pPr>
              <w:numPr>
                <w:ilvl w:val="0"/>
                <w:numId w:val="11"/>
              </w:numPr>
              <w:autoSpaceDE w:val="0"/>
              <w:autoSpaceDN w:val="0"/>
              <w:rPr>
                <w:rFonts w:cstheme="minorHAnsi"/>
              </w:rPr>
            </w:pPr>
            <w:r w:rsidRPr="00CE4411">
              <w:rPr>
                <w:rFonts w:cstheme="minorHAnsi"/>
              </w:rPr>
              <w:t xml:space="preserve">Kuhn, T.S (1962): </w:t>
            </w:r>
            <w:r w:rsidRPr="00CE4411">
              <w:rPr>
                <w:rFonts w:cstheme="minorHAnsi"/>
                <w:i/>
              </w:rPr>
              <w:t>The Structure of Scientific Revolutions</w:t>
            </w:r>
            <w:r w:rsidRPr="00CE4411">
              <w:rPr>
                <w:rFonts w:cstheme="minorHAnsi"/>
              </w:rPr>
              <w:t>, University of Chicago Press.</w:t>
            </w:r>
          </w:p>
          <w:p w14:paraId="4F7C4083" w14:textId="77777777" w:rsidR="00924DF8" w:rsidRPr="00CE4411" w:rsidRDefault="00924DF8" w:rsidP="00924DF8">
            <w:pPr>
              <w:numPr>
                <w:ilvl w:val="0"/>
                <w:numId w:val="11"/>
              </w:numPr>
              <w:autoSpaceDE w:val="0"/>
              <w:autoSpaceDN w:val="0"/>
              <w:rPr>
                <w:rFonts w:cstheme="minorHAnsi"/>
              </w:rPr>
            </w:pPr>
            <w:r w:rsidRPr="00CE4411">
              <w:rPr>
                <w:rFonts w:cstheme="minorHAnsi"/>
              </w:rPr>
              <w:t>Kuhn, T.S. (1977): T</w:t>
            </w:r>
            <w:r w:rsidRPr="00CE4411">
              <w:rPr>
                <w:rFonts w:cstheme="minorHAnsi"/>
                <w:i/>
              </w:rPr>
              <w:t>he Essential Tension: Selected Studies in Scientific Tradition and Change</w:t>
            </w:r>
            <w:r w:rsidRPr="00CE4411">
              <w:rPr>
                <w:rFonts w:cstheme="minorHAnsi"/>
              </w:rPr>
              <w:t>, University of Chicago Press. pp. 320-339.</w:t>
            </w:r>
          </w:p>
          <w:p w14:paraId="6CC3BF2C" w14:textId="77777777" w:rsidR="008C395D" w:rsidRPr="00CE4411" w:rsidRDefault="008C395D" w:rsidP="008C395D">
            <w:pPr>
              <w:numPr>
                <w:ilvl w:val="0"/>
                <w:numId w:val="11"/>
              </w:numPr>
              <w:autoSpaceDE w:val="0"/>
              <w:autoSpaceDN w:val="0"/>
              <w:rPr>
                <w:rFonts w:cstheme="minorHAnsi"/>
              </w:rPr>
            </w:pPr>
            <w:r w:rsidRPr="00CE4411">
              <w:rPr>
                <w:rFonts w:cstheme="minorHAnsi"/>
              </w:rPr>
              <w:t xml:space="preserve">Popper, K. (1974): </w:t>
            </w:r>
            <w:r w:rsidRPr="00CE4411">
              <w:rPr>
                <w:rFonts w:cstheme="minorHAnsi"/>
                <w:i/>
              </w:rPr>
              <w:t>Conjectures and Refutations</w:t>
            </w:r>
            <w:r w:rsidRPr="00CE4411">
              <w:rPr>
                <w:rFonts w:cstheme="minorHAnsi"/>
              </w:rPr>
              <w:t>, Routledge.</w:t>
            </w:r>
          </w:p>
          <w:p w14:paraId="2C89F62B" w14:textId="77777777" w:rsidR="00BB44D3" w:rsidRPr="00BB44D3" w:rsidRDefault="00BB44D3" w:rsidP="00924DF8">
            <w:pPr>
              <w:rPr>
                <w:rFonts w:cstheme="minorHAnsi"/>
              </w:rPr>
            </w:pPr>
          </w:p>
        </w:tc>
      </w:tr>
      <w:tr w:rsidR="00B76C82" w:rsidRPr="009D504F" w14:paraId="6CB3A5F3" w14:textId="77777777" w:rsidTr="00345BBB">
        <w:trPr>
          <w:trHeight w:val="328"/>
        </w:trPr>
        <w:tc>
          <w:tcPr>
            <w:tcW w:w="9669" w:type="dxa"/>
            <w:gridSpan w:val="3"/>
            <w:shd w:val="clear" w:color="auto" w:fill="7030A0"/>
          </w:tcPr>
          <w:p w14:paraId="28FF7EE3" w14:textId="77777777" w:rsidR="00B76C82" w:rsidRPr="009D504F" w:rsidRDefault="00B76C82" w:rsidP="00D42AA1">
            <w:pPr>
              <w:ind w:right="-70"/>
              <w:rPr>
                <w:rFonts w:cs="Arial"/>
                <w:b/>
                <w:color w:val="FFFFFF" w:themeColor="background1"/>
                <w:sz w:val="24"/>
                <w:szCs w:val="24"/>
              </w:rPr>
            </w:pPr>
            <w:r w:rsidRPr="009D504F">
              <w:rPr>
                <w:rFonts w:cs="Arial"/>
                <w:b/>
                <w:color w:val="FFFFFF" w:themeColor="background1"/>
                <w:sz w:val="24"/>
                <w:szCs w:val="24"/>
              </w:rPr>
              <w:lastRenderedPageBreak/>
              <w:t>Assessment</w:t>
            </w:r>
          </w:p>
        </w:tc>
      </w:tr>
    </w:tbl>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7"/>
        <w:gridCol w:w="1984"/>
        <w:gridCol w:w="2439"/>
      </w:tblGrid>
      <w:tr w:rsidR="002F7643" w:rsidRPr="002F7643" w14:paraId="38AB567F" w14:textId="77777777" w:rsidTr="006A15A6">
        <w:tc>
          <w:tcPr>
            <w:tcW w:w="5217" w:type="dxa"/>
            <w:shd w:val="clear" w:color="auto" w:fill="D9D9D9" w:themeFill="background1" w:themeFillShade="D9"/>
            <w:vAlign w:val="center"/>
          </w:tcPr>
          <w:p w14:paraId="42F2532A" w14:textId="77777777" w:rsidR="002F7643" w:rsidRPr="00D42AA1" w:rsidRDefault="00A25907" w:rsidP="00A25907">
            <w:pPr>
              <w:keepNext/>
              <w:autoSpaceDE w:val="0"/>
              <w:autoSpaceDN w:val="0"/>
              <w:spacing w:before="120" w:after="120" w:line="240" w:lineRule="auto"/>
              <w:ind w:left="284"/>
              <w:jc w:val="center"/>
              <w:outlineLvl w:val="2"/>
              <w:rPr>
                <w:rFonts w:ascii="Calibri" w:eastAsia="Batang" w:hAnsi="Calibri" w:cs="Calibri"/>
                <w:b/>
                <w:sz w:val="24"/>
                <w:szCs w:val="24"/>
                <w:lang w:eastAsia="ko-KR"/>
              </w:rPr>
            </w:pPr>
            <w:r>
              <w:rPr>
                <w:rFonts w:ascii="Calibri" w:eastAsia="Batang" w:hAnsi="Calibri" w:cs="Calibri"/>
                <w:b/>
                <w:sz w:val="24"/>
                <w:szCs w:val="24"/>
                <w:lang w:eastAsia="ko-KR"/>
              </w:rPr>
              <w:t>Mode of Assessment</w:t>
            </w:r>
          </w:p>
        </w:tc>
        <w:tc>
          <w:tcPr>
            <w:tcW w:w="1984" w:type="dxa"/>
            <w:shd w:val="clear" w:color="auto" w:fill="D9D9D9" w:themeFill="background1" w:themeFillShade="D9"/>
          </w:tcPr>
          <w:p w14:paraId="656D3DB5"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Length required</w:t>
            </w:r>
          </w:p>
        </w:tc>
        <w:tc>
          <w:tcPr>
            <w:tcW w:w="2439" w:type="dxa"/>
            <w:shd w:val="clear" w:color="auto" w:fill="D9D9D9" w:themeFill="background1" w:themeFillShade="D9"/>
          </w:tcPr>
          <w:p w14:paraId="2AE54596" w14:textId="77777777" w:rsidR="002F7643" w:rsidRPr="00D42AA1" w:rsidRDefault="002F7643" w:rsidP="002F7643">
            <w:pPr>
              <w:autoSpaceDE w:val="0"/>
              <w:autoSpaceDN w:val="0"/>
              <w:spacing w:before="120" w:after="120" w:line="240" w:lineRule="auto"/>
              <w:jc w:val="center"/>
              <w:rPr>
                <w:rFonts w:ascii="Calibri" w:eastAsia="Batang" w:hAnsi="Calibri" w:cs="Calibri"/>
                <w:b/>
                <w:bCs/>
                <w:sz w:val="24"/>
                <w:szCs w:val="24"/>
                <w:lang w:eastAsia="ko-KR"/>
              </w:rPr>
            </w:pPr>
            <w:r w:rsidRPr="00D42AA1">
              <w:rPr>
                <w:rFonts w:ascii="Calibri" w:eastAsia="Batang" w:hAnsi="Calibri" w:cs="Calibri"/>
                <w:b/>
                <w:bCs/>
                <w:sz w:val="24"/>
                <w:szCs w:val="24"/>
                <w:lang w:eastAsia="ko-KR"/>
              </w:rPr>
              <w:t>Weighting within unit</w:t>
            </w:r>
          </w:p>
        </w:tc>
      </w:tr>
      <w:tr w:rsidR="006A6305" w:rsidRPr="002F7643" w14:paraId="5D087AE9" w14:textId="77777777" w:rsidTr="00345BBB">
        <w:tc>
          <w:tcPr>
            <w:tcW w:w="5217" w:type="dxa"/>
          </w:tcPr>
          <w:p w14:paraId="20221929" w14:textId="77777777" w:rsidR="006A6305" w:rsidRDefault="006A6305" w:rsidP="006B620F">
            <w:pPr>
              <w:rPr>
                <w:rFonts w:ascii="Arial" w:hAnsi="Arial" w:cs="Arial"/>
              </w:rPr>
            </w:pPr>
            <w:r>
              <w:rPr>
                <w:rFonts w:ascii="Arial" w:hAnsi="Arial" w:cs="Arial"/>
              </w:rPr>
              <w:t>The course is assessed by means of a piece of written literature analysis and review. Students can choose (in close coordination with their supervisor and the course tutor) w</w:t>
            </w:r>
            <w:r w:rsidR="006B620F">
              <w:rPr>
                <w:rFonts w:ascii="Arial" w:hAnsi="Arial" w:cs="Arial"/>
              </w:rPr>
              <w:t xml:space="preserve">hich type of literature review </w:t>
            </w:r>
            <w:r>
              <w:rPr>
                <w:rFonts w:ascii="Arial" w:hAnsi="Arial" w:cs="Arial"/>
              </w:rPr>
              <w:t xml:space="preserve">they want to do. They are required to submit a 3,000-word literature review and a 15-minute presentation. </w:t>
            </w:r>
          </w:p>
        </w:tc>
        <w:tc>
          <w:tcPr>
            <w:tcW w:w="1984" w:type="dxa"/>
          </w:tcPr>
          <w:p w14:paraId="572BF742"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 xml:space="preserve">3,000 words  </w:t>
            </w:r>
          </w:p>
          <w:p w14:paraId="4CB9961D" w14:textId="77777777" w:rsidR="006A6305" w:rsidRDefault="006A6305" w:rsidP="006A6305">
            <w:pPr>
              <w:autoSpaceDE w:val="0"/>
              <w:autoSpaceDN w:val="0"/>
              <w:spacing w:before="120" w:after="120"/>
              <w:jc w:val="center"/>
              <w:rPr>
                <w:rFonts w:ascii="Arial" w:hAnsi="Arial" w:cs="Arial"/>
                <w:lang w:eastAsia="ko-KR"/>
              </w:rPr>
            </w:pPr>
          </w:p>
          <w:p w14:paraId="06C0A909"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Presentation</w:t>
            </w:r>
          </w:p>
        </w:tc>
        <w:tc>
          <w:tcPr>
            <w:tcW w:w="2439" w:type="dxa"/>
          </w:tcPr>
          <w:p w14:paraId="28217139"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50%</w:t>
            </w:r>
          </w:p>
          <w:p w14:paraId="26015EF7" w14:textId="77777777" w:rsidR="006A6305" w:rsidRDefault="006A6305" w:rsidP="006A6305">
            <w:pPr>
              <w:autoSpaceDE w:val="0"/>
              <w:autoSpaceDN w:val="0"/>
              <w:spacing w:before="120" w:after="120"/>
              <w:jc w:val="center"/>
              <w:rPr>
                <w:rFonts w:ascii="Arial" w:hAnsi="Arial" w:cs="Arial"/>
                <w:lang w:eastAsia="ko-KR"/>
              </w:rPr>
            </w:pPr>
          </w:p>
          <w:p w14:paraId="1DA4F99B"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50%</w:t>
            </w:r>
          </w:p>
        </w:tc>
      </w:tr>
      <w:tr w:rsidR="006A6305" w:rsidRPr="002F7643" w14:paraId="576487BC" w14:textId="77777777" w:rsidTr="00345BBB">
        <w:tc>
          <w:tcPr>
            <w:tcW w:w="5217" w:type="dxa"/>
          </w:tcPr>
          <w:p w14:paraId="2960210D" w14:textId="77777777" w:rsidR="006A6305" w:rsidRDefault="006A6305" w:rsidP="003A7C4E">
            <w:pPr>
              <w:rPr>
                <w:rFonts w:ascii="Arial" w:hAnsi="Arial" w:cs="Arial"/>
              </w:rPr>
            </w:pPr>
            <w:r>
              <w:rPr>
                <w:rFonts w:ascii="Arial" w:hAnsi="Arial" w:cs="Arial"/>
                <w:b/>
                <w:bCs/>
                <w:lang w:eastAsia="ko-KR"/>
              </w:rPr>
              <w:t>Resits</w:t>
            </w:r>
            <w:r>
              <w:rPr>
                <w:rFonts w:ascii="Arial" w:hAnsi="Arial" w:cs="Arial"/>
                <w:lang w:eastAsia="ko-KR"/>
              </w:rPr>
              <w:t xml:space="preserve">: </w:t>
            </w:r>
            <w:r>
              <w:rPr>
                <w:rFonts w:ascii="Arial" w:hAnsi="Arial" w:cs="Arial"/>
              </w:rPr>
              <w:t xml:space="preserve">The </w:t>
            </w:r>
            <w:r w:rsidR="003A7C4E">
              <w:rPr>
                <w:rFonts w:ascii="Arial" w:hAnsi="Arial" w:cs="Arial"/>
              </w:rPr>
              <w:t>same as the original assignment</w:t>
            </w:r>
            <w:r>
              <w:rPr>
                <w:rFonts w:ascii="Arial" w:hAnsi="Arial" w:cs="Arial"/>
              </w:rPr>
              <w:t>.</w:t>
            </w:r>
          </w:p>
        </w:tc>
        <w:tc>
          <w:tcPr>
            <w:tcW w:w="1984" w:type="dxa"/>
          </w:tcPr>
          <w:p w14:paraId="67E0B27B"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3,000 words</w:t>
            </w:r>
          </w:p>
          <w:p w14:paraId="322C12D1" w14:textId="77777777" w:rsidR="006A6305" w:rsidRDefault="006A6305" w:rsidP="006A6305">
            <w:pPr>
              <w:autoSpaceDE w:val="0"/>
              <w:autoSpaceDN w:val="0"/>
              <w:spacing w:before="120" w:after="120"/>
              <w:jc w:val="center"/>
              <w:rPr>
                <w:rFonts w:ascii="Arial" w:hAnsi="Arial" w:cs="Arial"/>
                <w:lang w:eastAsia="ko-KR"/>
              </w:rPr>
            </w:pPr>
          </w:p>
          <w:p w14:paraId="5FDAB89C"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Presentation</w:t>
            </w:r>
          </w:p>
        </w:tc>
        <w:tc>
          <w:tcPr>
            <w:tcW w:w="2439" w:type="dxa"/>
          </w:tcPr>
          <w:p w14:paraId="64E92CF5"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50%</w:t>
            </w:r>
          </w:p>
          <w:p w14:paraId="606EAF9C" w14:textId="77777777" w:rsidR="006A6305" w:rsidRDefault="006A6305" w:rsidP="006A6305">
            <w:pPr>
              <w:autoSpaceDE w:val="0"/>
              <w:autoSpaceDN w:val="0"/>
              <w:spacing w:before="120" w:after="120"/>
              <w:jc w:val="center"/>
              <w:rPr>
                <w:rFonts w:ascii="Arial" w:hAnsi="Arial" w:cs="Arial"/>
                <w:lang w:eastAsia="ko-KR"/>
              </w:rPr>
            </w:pPr>
          </w:p>
          <w:p w14:paraId="1153D023" w14:textId="77777777" w:rsidR="006A6305" w:rsidRDefault="006A6305" w:rsidP="006A6305">
            <w:pPr>
              <w:autoSpaceDE w:val="0"/>
              <w:autoSpaceDN w:val="0"/>
              <w:spacing w:before="120" w:after="120"/>
              <w:jc w:val="center"/>
              <w:rPr>
                <w:rFonts w:ascii="Arial" w:hAnsi="Arial" w:cs="Arial"/>
                <w:lang w:eastAsia="ko-KR"/>
              </w:rPr>
            </w:pPr>
            <w:r>
              <w:rPr>
                <w:rFonts w:ascii="Arial" w:hAnsi="Arial" w:cs="Arial"/>
                <w:lang w:eastAsia="ko-KR"/>
              </w:rPr>
              <w:t>50%</w:t>
            </w:r>
          </w:p>
        </w:tc>
      </w:tr>
    </w:tbl>
    <w:tbl>
      <w:tblPr>
        <w:tblStyle w:val="TableGrid"/>
        <w:tblW w:w="9640" w:type="dxa"/>
        <w:tblInd w:w="-147" w:type="dxa"/>
        <w:tblLook w:val="04A0" w:firstRow="1" w:lastRow="0" w:firstColumn="1" w:lastColumn="0" w:noHBand="0" w:noVBand="1"/>
      </w:tblPr>
      <w:tblGrid>
        <w:gridCol w:w="9640"/>
      </w:tblGrid>
      <w:tr w:rsidR="009526CA" w:rsidRPr="004003EA" w14:paraId="1FC68E42" w14:textId="77777777" w:rsidTr="00345BBB">
        <w:tc>
          <w:tcPr>
            <w:tcW w:w="9640" w:type="dxa"/>
            <w:shd w:val="clear" w:color="auto" w:fill="7030A0"/>
          </w:tcPr>
          <w:p w14:paraId="46B819E7" w14:textId="77777777" w:rsidR="009526CA" w:rsidRPr="004003EA" w:rsidRDefault="009526CA" w:rsidP="003A0F8F">
            <w:pPr>
              <w:rPr>
                <w:rFonts w:ascii="Arial" w:hAnsi="Arial" w:cs="Arial"/>
                <w:b/>
                <w:color w:val="FFFFFF" w:themeColor="background1"/>
                <w:sz w:val="24"/>
                <w:szCs w:val="24"/>
              </w:rPr>
            </w:pPr>
            <w:r>
              <w:rPr>
                <w:rFonts w:ascii="Arial" w:hAnsi="Arial" w:cs="Arial"/>
                <w:b/>
                <w:color w:val="FFFFFF" w:themeColor="background1"/>
                <w:sz w:val="24"/>
                <w:szCs w:val="24"/>
              </w:rPr>
              <w:t>Feedback</w:t>
            </w:r>
            <w:r w:rsidR="00A25907">
              <w:rPr>
                <w:rFonts w:ascii="Arial" w:hAnsi="Arial" w:cs="Arial"/>
                <w:b/>
                <w:color w:val="FFFFFF" w:themeColor="background1"/>
                <w:sz w:val="24"/>
                <w:szCs w:val="24"/>
              </w:rPr>
              <w:t xml:space="preserve"> methods</w:t>
            </w:r>
          </w:p>
        </w:tc>
      </w:tr>
      <w:tr w:rsidR="004811C5" w:rsidRPr="004811C5" w14:paraId="2D63F6D0" w14:textId="77777777" w:rsidTr="00345BBB">
        <w:tc>
          <w:tcPr>
            <w:tcW w:w="9640" w:type="dxa"/>
          </w:tcPr>
          <w:p w14:paraId="1F4C3D90" w14:textId="77777777" w:rsidR="00B274A6" w:rsidRDefault="006B620F" w:rsidP="00A25907">
            <w:pPr>
              <w:rPr>
                <w:rFonts w:cstheme="minorHAnsi"/>
              </w:rPr>
            </w:pPr>
            <w:r>
              <w:rPr>
                <w:rFonts w:cstheme="minorHAnsi"/>
              </w:rPr>
              <w:t xml:space="preserve">Written feedback on your literature review will be provided by your supervisor and the module leader. </w:t>
            </w:r>
            <w:r w:rsidR="00A87038">
              <w:rPr>
                <w:rFonts w:cstheme="minorHAnsi"/>
              </w:rPr>
              <w:t>Verbal</w:t>
            </w:r>
            <w:r w:rsidR="004811C5" w:rsidRPr="004811C5">
              <w:rPr>
                <w:rFonts w:cstheme="minorHAnsi"/>
              </w:rPr>
              <w:t xml:space="preserve"> feedback will be provided </w:t>
            </w:r>
            <w:r w:rsidR="00537BB9">
              <w:rPr>
                <w:rFonts w:cstheme="minorHAnsi"/>
              </w:rPr>
              <w:t xml:space="preserve">during and </w:t>
            </w:r>
            <w:r w:rsidR="00A87038">
              <w:rPr>
                <w:rFonts w:cstheme="minorHAnsi"/>
              </w:rPr>
              <w:t>after the presentation</w:t>
            </w:r>
            <w:r w:rsidR="004811C5">
              <w:rPr>
                <w:rFonts w:cstheme="minorHAnsi"/>
              </w:rPr>
              <w:t xml:space="preserve">. </w:t>
            </w:r>
          </w:p>
          <w:p w14:paraId="4AE29102" w14:textId="77777777" w:rsidR="00A87038" w:rsidRPr="004811C5" w:rsidRDefault="00A87038" w:rsidP="00A25907">
            <w:pPr>
              <w:rPr>
                <w:rFonts w:cstheme="minorHAnsi"/>
              </w:rPr>
            </w:pPr>
          </w:p>
          <w:p w14:paraId="70E1CF71" w14:textId="77777777" w:rsidR="00B274A6" w:rsidRPr="004811C5" w:rsidRDefault="00B274A6" w:rsidP="00A25907">
            <w:pPr>
              <w:rPr>
                <w:rFonts w:cstheme="minorHAnsi"/>
                <w:b/>
              </w:rPr>
            </w:pPr>
            <w:r w:rsidRPr="004811C5">
              <w:rPr>
                <w:rFonts w:cstheme="minorHAnsi"/>
                <w:b/>
              </w:rPr>
              <w:t>Feedback from students</w:t>
            </w:r>
          </w:p>
          <w:p w14:paraId="21E01A76" w14:textId="77777777" w:rsidR="00A25907" w:rsidRPr="004811C5" w:rsidRDefault="00B274A6" w:rsidP="004811C5">
            <w:pPr>
              <w:rPr>
                <w:rFonts w:ascii="Arial" w:hAnsi="Arial" w:cs="Arial"/>
                <w:b/>
                <w:sz w:val="24"/>
                <w:szCs w:val="24"/>
              </w:rPr>
            </w:pPr>
            <w:r w:rsidRPr="004811C5">
              <w:rPr>
                <w:iCs/>
              </w:rPr>
              <w:t>In addition to the course unit evaluation questionnaire, students are encouraged to give feedback through emails and conversations at any time, and using the online questionnaire near the end of the semester</w:t>
            </w:r>
          </w:p>
        </w:tc>
      </w:tr>
    </w:tbl>
    <w:p w14:paraId="6F004A26" w14:textId="77777777" w:rsidR="009526CA" w:rsidRDefault="009526CA" w:rsidP="00D42AA1">
      <w:pPr>
        <w:spacing w:after="0" w:line="240" w:lineRule="auto"/>
        <w:ind w:left="-142" w:right="-188"/>
        <w:rPr>
          <w:rFonts w:ascii="Arial" w:hAnsi="Arial" w:cs="Arial"/>
          <w:b/>
          <w:sz w:val="24"/>
          <w:szCs w:val="24"/>
        </w:rPr>
      </w:pPr>
    </w:p>
    <w:p w14:paraId="792983AB" w14:textId="77777777" w:rsidR="000A2FE6" w:rsidRDefault="000A2FE6" w:rsidP="00D42AA1">
      <w:pPr>
        <w:spacing w:after="0" w:line="240" w:lineRule="auto"/>
        <w:ind w:left="-142" w:right="-188"/>
        <w:rPr>
          <w:rFonts w:ascii="Arial" w:hAnsi="Arial" w:cs="Arial"/>
          <w:b/>
          <w:sz w:val="24"/>
          <w:szCs w:val="24"/>
        </w:rPr>
      </w:pPr>
    </w:p>
    <w:p w14:paraId="48AD3EAB" w14:textId="77777777" w:rsidR="000A2FE6" w:rsidRDefault="000A2FE6" w:rsidP="00D42AA1">
      <w:pPr>
        <w:spacing w:after="0" w:line="240" w:lineRule="auto"/>
        <w:ind w:left="-142" w:right="-188"/>
        <w:rPr>
          <w:rFonts w:ascii="Arial" w:hAnsi="Arial" w:cs="Arial"/>
          <w:b/>
          <w:sz w:val="24"/>
          <w:szCs w:val="24"/>
        </w:rPr>
      </w:pPr>
    </w:p>
    <w:p w14:paraId="3949F03A" w14:textId="77777777" w:rsidR="000A2FE6" w:rsidRDefault="000A2FE6" w:rsidP="00D42AA1">
      <w:pPr>
        <w:spacing w:after="0" w:line="240" w:lineRule="auto"/>
        <w:ind w:left="-142" w:right="-188"/>
        <w:rPr>
          <w:rFonts w:ascii="Arial" w:hAnsi="Arial" w:cs="Arial"/>
          <w:b/>
          <w:sz w:val="24"/>
          <w:szCs w:val="24"/>
        </w:rPr>
      </w:pPr>
      <w:r>
        <w:rPr>
          <w:rFonts w:ascii="Arial" w:hAnsi="Arial" w:cs="Arial"/>
          <w:b/>
          <w:sz w:val="24"/>
          <w:szCs w:val="24"/>
        </w:rPr>
        <w:br w:type="page"/>
      </w:r>
    </w:p>
    <w:p w14:paraId="49C2E7BE" w14:textId="77777777" w:rsidR="00CE4411" w:rsidRDefault="00CE4411" w:rsidP="00AA2226">
      <w:pPr>
        <w:spacing w:after="0" w:line="240" w:lineRule="auto"/>
        <w:ind w:left="-142" w:right="-188"/>
        <w:jc w:val="center"/>
        <w:rPr>
          <w:rFonts w:cs="Arial"/>
          <w:b/>
          <w:sz w:val="32"/>
        </w:rPr>
      </w:pPr>
    </w:p>
    <w:p w14:paraId="6491AD32" w14:textId="1F819878" w:rsidR="000A2FE6" w:rsidRPr="000A2FE6" w:rsidRDefault="000A2FE6" w:rsidP="00AA2226">
      <w:pPr>
        <w:spacing w:after="0" w:line="240" w:lineRule="auto"/>
        <w:ind w:left="-142" w:right="-188"/>
        <w:jc w:val="center"/>
        <w:rPr>
          <w:rFonts w:cs="Arial"/>
          <w:b/>
          <w:sz w:val="32"/>
        </w:rPr>
      </w:pPr>
      <w:bookmarkStart w:id="1" w:name="_GoBack"/>
      <w:bookmarkEnd w:id="1"/>
      <w:r w:rsidRPr="000A2FE6">
        <w:rPr>
          <w:rFonts w:cs="Arial"/>
          <w:b/>
          <w:sz w:val="32"/>
        </w:rPr>
        <w:t>APPENDIX</w:t>
      </w:r>
    </w:p>
    <w:p w14:paraId="43AE45FC" w14:textId="77777777" w:rsidR="00AA2226" w:rsidRDefault="00AA2226" w:rsidP="000A2FE6">
      <w:pPr>
        <w:spacing w:after="0" w:line="240" w:lineRule="auto"/>
        <w:ind w:left="-142" w:right="-188"/>
        <w:rPr>
          <w:rFonts w:cs="Arial"/>
          <w:b/>
          <w:u w:val="single"/>
        </w:rPr>
      </w:pPr>
    </w:p>
    <w:p w14:paraId="0FBFA0D4" w14:textId="618FD266" w:rsidR="000A2FE6" w:rsidRDefault="000A2FE6" w:rsidP="001A0BF4">
      <w:pPr>
        <w:spacing w:after="0" w:line="240" w:lineRule="auto"/>
        <w:ind w:left="-142" w:right="-188"/>
        <w:jc w:val="center"/>
        <w:rPr>
          <w:rFonts w:cs="Times New Roman"/>
          <w:b/>
          <w:sz w:val="28"/>
        </w:rPr>
      </w:pPr>
      <w:r w:rsidRPr="00CE4411">
        <w:rPr>
          <w:rFonts w:cs="Arial"/>
          <w:b/>
          <w:sz w:val="28"/>
        </w:rPr>
        <w:t>O</w:t>
      </w:r>
      <w:r w:rsidRPr="00CE4411">
        <w:rPr>
          <w:rFonts w:cs="Times New Roman"/>
          <w:b/>
          <w:sz w:val="28"/>
        </w:rPr>
        <w:t>verview of different types of systematic</w:t>
      </w:r>
      <w:r w:rsidR="008B3CDF" w:rsidRPr="00CE4411">
        <w:rPr>
          <w:rFonts w:cs="Times New Roman"/>
          <w:b/>
          <w:sz w:val="28"/>
        </w:rPr>
        <w:t xml:space="preserve"> and critical</w:t>
      </w:r>
      <w:r w:rsidRPr="00CE4411">
        <w:rPr>
          <w:rFonts w:cs="Times New Roman"/>
          <w:b/>
          <w:sz w:val="28"/>
        </w:rPr>
        <w:t xml:space="preserve"> literature reviews</w:t>
      </w:r>
    </w:p>
    <w:p w14:paraId="4589950B" w14:textId="3ECF51B7" w:rsidR="00AA2226" w:rsidRDefault="00AA2226" w:rsidP="000A2FE6">
      <w:pPr>
        <w:spacing w:after="0" w:line="240" w:lineRule="auto"/>
        <w:ind w:left="-142" w:right="-188"/>
        <w:rPr>
          <w:rFonts w:cs="Arial"/>
          <w:b/>
          <w:sz w:val="28"/>
        </w:rPr>
      </w:pPr>
    </w:p>
    <w:p w14:paraId="6646A897" w14:textId="77777777" w:rsidR="00CE4411" w:rsidRPr="00CE4411" w:rsidRDefault="00CE4411" w:rsidP="00CE4411">
      <w:pPr>
        <w:pStyle w:val="Default"/>
        <w:ind w:left="142" w:hanging="284"/>
        <w:rPr>
          <w:rFonts w:asciiTheme="minorHAnsi" w:hAnsiTheme="minorHAnsi"/>
          <w:b/>
          <w:bCs/>
          <w:color w:val="auto"/>
          <w:sz w:val="22"/>
          <w:szCs w:val="22"/>
        </w:rPr>
      </w:pPr>
      <w:r w:rsidRPr="00CE4411">
        <w:rPr>
          <w:rFonts w:asciiTheme="minorHAnsi" w:hAnsiTheme="minorHAnsi"/>
          <w:b/>
          <w:bCs/>
          <w:color w:val="auto"/>
          <w:sz w:val="22"/>
          <w:szCs w:val="22"/>
        </w:rPr>
        <w:t>‘Qualitative’/’Traditional’ and ‘Critical’ Approaches to Literature Reviews</w:t>
      </w:r>
    </w:p>
    <w:p w14:paraId="3FBEA071" w14:textId="77777777" w:rsidR="00CE4411" w:rsidRPr="00CE4411" w:rsidRDefault="00CE4411" w:rsidP="00CE4411">
      <w:pPr>
        <w:autoSpaceDE w:val="0"/>
        <w:autoSpaceDN w:val="0"/>
        <w:spacing w:after="0" w:line="240" w:lineRule="auto"/>
        <w:ind w:left="142" w:hanging="284"/>
        <w:rPr>
          <w:rFonts w:cstheme="minorHAnsi"/>
          <w:snapToGrid w:val="0"/>
          <w:color w:val="000000" w:themeColor="text1"/>
        </w:rPr>
      </w:pPr>
      <w:r w:rsidRPr="00CE4411">
        <w:rPr>
          <w:rFonts w:ascii="Calibri" w:hAnsi="Calibri" w:cs="Calibri"/>
          <w:color w:val="000000" w:themeColor="text1"/>
          <w:shd w:val="clear" w:color="auto" w:fill="FFFFFF"/>
        </w:rPr>
        <w:t>Denyer D. &amp; Tranfield D. (2009), Producing a literature review, in Buchanan and Bryman (2009), SAGE Handbook of Organizational Research Methods (Chapter 39), SAGE Publications Ltd, London, England</w:t>
      </w:r>
      <w:r w:rsidRPr="00CE4411">
        <w:rPr>
          <w:rFonts w:cstheme="minorHAnsi"/>
          <w:color w:val="000000" w:themeColor="text1"/>
          <w:shd w:val="clear" w:color="auto" w:fill="FFFFFF"/>
        </w:rPr>
        <w:t>Knopf, J. W. (2006). Doing a literature review. </w:t>
      </w:r>
      <w:r w:rsidRPr="00CE4411">
        <w:rPr>
          <w:rFonts w:cstheme="minorHAnsi"/>
          <w:i/>
          <w:iCs/>
          <w:color w:val="000000" w:themeColor="text1"/>
          <w:shd w:val="clear" w:color="auto" w:fill="FFFFFF"/>
        </w:rPr>
        <w:t>PS: Political Science and Politics</w:t>
      </w:r>
      <w:r w:rsidRPr="00CE4411">
        <w:rPr>
          <w:rFonts w:cstheme="minorHAnsi"/>
          <w:color w:val="000000" w:themeColor="text1"/>
          <w:shd w:val="clear" w:color="auto" w:fill="FFFFFF"/>
        </w:rPr>
        <w:t>, </w:t>
      </w:r>
      <w:r w:rsidRPr="00CE4411">
        <w:rPr>
          <w:rFonts w:cstheme="minorHAnsi"/>
          <w:i/>
          <w:iCs/>
          <w:color w:val="000000" w:themeColor="text1"/>
          <w:shd w:val="clear" w:color="auto" w:fill="FFFFFF"/>
        </w:rPr>
        <w:t>39</w:t>
      </w:r>
      <w:r w:rsidRPr="00CE4411">
        <w:rPr>
          <w:rFonts w:cstheme="minorHAnsi"/>
          <w:color w:val="000000" w:themeColor="text1"/>
          <w:shd w:val="clear" w:color="auto" w:fill="FFFFFF"/>
        </w:rPr>
        <w:t>(1), 127-132.</w:t>
      </w:r>
    </w:p>
    <w:p w14:paraId="0F1DE4FF" w14:textId="77777777" w:rsidR="00CE4411" w:rsidRPr="00CE4411" w:rsidRDefault="00CE4411" w:rsidP="00CE4411">
      <w:pPr>
        <w:autoSpaceDE w:val="0"/>
        <w:autoSpaceDN w:val="0"/>
        <w:spacing w:after="0" w:line="240" w:lineRule="auto"/>
        <w:ind w:left="142" w:hanging="284"/>
        <w:rPr>
          <w:rFonts w:cstheme="minorHAnsi"/>
          <w:snapToGrid w:val="0"/>
          <w:color w:val="000000"/>
        </w:rPr>
      </w:pPr>
      <w:r w:rsidRPr="00CE4411">
        <w:rPr>
          <w:rFonts w:cstheme="minorHAnsi"/>
          <w:color w:val="222222"/>
          <w:shd w:val="clear" w:color="auto" w:fill="FFFFFF"/>
        </w:rPr>
        <w:t>Torraco, R. J. (2005). Writing integrative literature reviews: Guidelines and examples. </w:t>
      </w:r>
      <w:r w:rsidRPr="00CE4411">
        <w:rPr>
          <w:rFonts w:cstheme="minorHAnsi"/>
          <w:i/>
          <w:iCs/>
          <w:color w:val="222222"/>
          <w:shd w:val="clear" w:color="auto" w:fill="FFFFFF"/>
        </w:rPr>
        <w:t>Human resource development review</w:t>
      </w:r>
      <w:r w:rsidRPr="00CE4411">
        <w:rPr>
          <w:rFonts w:cstheme="minorHAnsi"/>
          <w:color w:val="222222"/>
          <w:shd w:val="clear" w:color="auto" w:fill="FFFFFF"/>
        </w:rPr>
        <w:t>, </w:t>
      </w:r>
      <w:r w:rsidRPr="00CE4411">
        <w:rPr>
          <w:rFonts w:cstheme="minorHAnsi"/>
          <w:i/>
          <w:iCs/>
          <w:color w:val="222222"/>
          <w:shd w:val="clear" w:color="auto" w:fill="FFFFFF"/>
        </w:rPr>
        <w:t>4</w:t>
      </w:r>
      <w:r w:rsidRPr="00CE4411">
        <w:rPr>
          <w:rFonts w:cstheme="minorHAnsi"/>
          <w:color w:val="222222"/>
          <w:shd w:val="clear" w:color="auto" w:fill="FFFFFF"/>
        </w:rPr>
        <w:t>(3), 356-367.</w:t>
      </w:r>
    </w:p>
    <w:p w14:paraId="08E6CB3B" w14:textId="77777777" w:rsidR="00CE4411" w:rsidRPr="00CE4411" w:rsidRDefault="00CE4411" w:rsidP="00CE4411">
      <w:pPr>
        <w:autoSpaceDE w:val="0"/>
        <w:autoSpaceDN w:val="0"/>
        <w:spacing w:after="0" w:line="240" w:lineRule="auto"/>
        <w:ind w:left="142" w:hanging="284"/>
        <w:rPr>
          <w:b/>
          <w:bCs/>
        </w:rPr>
      </w:pPr>
      <w:r w:rsidRPr="00CE4411">
        <w:rPr>
          <w:rFonts w:cstheme="minorHAnsi"/>
          <w:color w:val="222222"/>
          <w:shd w:val="clear" w:color="auto" w:fill="FFFFFF"/>
        </w:rPr>
        <w:t>Saunders, M. N., &amp; Rojon, C. (2011). On the attributes of a critical literature review. </w:t>
      </w:r>
      <w:r w:rsidRPr="00CE4411">
        <w:rPr>
          <w:rFonts w:cstheme="minorHAnsi"/>
          <w:i/>
          <w:iCs/>
          <w:color w:val="222222"/>
          <w:shd w:val="clear" w:color="auto" w:fill="FFFFFF"/>
        </w:rPr>
        <w:t>Coaching: An International Journal of Theory, Research and Practice</w:t>
      </w:r>
      <w:r w:rsidRPr="00CE4411">
        <w:rPr>
          <w:rFonts w:cstheme="minorHAnsi"/>
          <w:color w:val="222222"/>
          <w:shd w:val="clear" w:color="auto" w:fill="FFFFFF"/>
        </w:rPr>
        <w:t>, </w:t>
      </w:r>
      <w:r w:rsidRPr="00CE4411">
        <w:rPr>
          <w:rFonts w:cstheme="minorHAnsi"/>
          <w:i/>
          <w:iCs/>
          <w:color w:val="222222"/>
          <w:shd w:val="clear" w:color="auto" w:fill="FFFFFF"/>
        </w:rPr>
        <w:t>4</w:t>
      </w:r>
      <w:r w:rsidRPr="00CE4411">
        <w:rPr>
          <w:rFonts w:cstheme="minorHAnsi"/>
          <w:color w:val="222222"/>
          <w:shd w:val="clear" w:color="auto" w:fill="FFFFFF"/>
        </w:rPr>
        <w:t>(2), 156-162.</w:t>
      </w:r>
    </w:p>
    <w:p w14:paraId="78209D82" w14:textId="77777777" w:rsidR="00CE4411" w:rsidRDefault="00CE4411" w:rsidP="00AA2226">
      <w:pPr>
        <w:pStyle w:val="Default"/>
        <w:ind w:left="142" w:hanging="284"/>
        <w:rPr>
          <w:rFonts w:asciiTheme="minorHAnsi" w:hAnsiTheme="minorHAnsi"/>
          <w:b/>
          <w:bCs/>
          <w:color w:val="auto"/>
          <w:sz w:val="22"/>
          <w:szCs w:val="22"/>
        </w:rPr>
      </w:pPr>
    </w:p>
    <w:p w14:paraId="4A27B165" w14:textId="190F3994"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b/>
          <w:bCs/>
          <w:color w:val="auto"/>
          <w:sz w:val="22"/>
          <w:szCs w:val="22"/>
        </w:rPr>
        <w:t xml:space="preserve">Bibliometric analysis </w:t>
      </w:r>
    </w:p>
    <w:p w14:paraId="6FCD46D5" w14:textId="77777777"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color w:val="auto"/>
          <w:sz w:val="22"/>
          <w:szCs w:val="22"/>
        </w:rPr>
        <w:t xml:space="preserve">Randhawa, K., Wilden, R., &amp; Hohberger, J. (2016). A bibliometric review of open innovation: Setting a research agenda. </w:t>
      </w:r>
      <w:r w:rsidRPr="00CE4411">
        <w:rPr>
          <w:rFonts w:asciiTheme="minorHAnsi" w:hAnsiTheme="minorHAnsi"/>
          <w:i/>
          <w:iCs/>
          <w:color w:val="auto"/>
          <w:sz w:val="22"/>
          <w:szCs w:val="22"/>
        </w:rPr>
        <w:t>Journal of Product Innovation Management</w:t>
      </w:r>
      <w:r w:rsidRPr="00CE4411">
        <w:rPr>
          <w:rFonts w:asciiTheme="minorHAnsi" w:hAnsiTheme="minorHAnsi"/>
          <w:color w:val="auto"/>
          <w:sz w:val="22"/>
          <w:szCs w:val="22"/>
        </w:rPr>
        <w:t xml:space="preserve">, 33(6), 750-772. https://doi.org/10.1111/jpim.12312 </w:t>
      </w:r>
    </w:p>
    <w:p w14:paraId="31233CBC" w14:textId="77777777"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color w:val="auto"/>
          <w:sz w:val="22"/>
          <w:szCs w:val="22"/>
        </w:rPr>
        <w:t xml:space="preserve">Ruggeri, G., Orsi, L., &amp; Corsi, S. (2019). A bibliometric analysis of the scientific literature on Fairtrade labelling. </w:t>
      </w:r>
      <w:r w:rsidRPr="00CE4411">
        <w:rPr>
          <w:rFonts w:asciiTheme="minorHAnsi" w:hAnsiTheme="minorHAnsi"/>
          <w:i/>
          <w:iCs/>
          <w:color w:val="auto"/>
          <w:sz w:val="22"/>
          <w:szCs w:val="22"/>
        </w:rPr>
        <w:t>International Journal of Consumer Studies</w:t>
      </w:r>
      <w:r w:rsidRPr="00CE4411">
        <w:rPr>
          <w:rFonts w:asciiTheme="minorHAnsi" w:hAnsiTheme="minorHAnsi"/>
          <w:color w:val="auto"/>
          <w:sz w:val="22"/>
          <w:szCs w:val="22"/>
        </w:rPr>
        <w:t xml:space="preserve">, 43(2), 134-152. https://doi.org/10.1111/ijcs.12492 </w:t>
      </w:r>
    </w:p>
    <w:p w14:paraId="762B54D6" w14:textId="77777777" w:rsidR="008B3CDF" w:rsidRPr="00CE4411" w:rsidRDefault="008B3CDF" w:rsidP="00AA2226">
      <w:pPr>
        <w:pStyle w:val="Default"/>
        <w:ind w:left="142" w:hanging="284"/>
        <w:rPr>
          <w:rFonts w:asciiTheme="minorHAnsi" w:hAnsiTheme="minorHAnsi"/>
          <w:b/>
          <w:bCs/>
          <w:color w:val="auto"/>
          <w:sz w:val="22"/>
          <w:szCs w:val="22"/>
        </w:rPr>
      </w:pPr>
    </w:p>
    <w:p w14:paraId="6B0463B2" w14:textId="77777777"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b/>
          <w:bCs/>
          <w:color w:val="auto"/>
          <w:sz w:val="22"/>
          <w:szCs w:val="22"/>
        </w:rPr>
        <w:t>Framework and theory development reviews</w:t>
      </w:r>
    </w:p>
    <w:p w14:paraId="2271993B" w14:textId="77777777"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color w:val="auto"/>
          <w:sz w:val="22"/>
          <w:szCs w:val="22"/>
        </w:rPr>
        <w:t xml:space="preserve">Paul, J., &amp; Mas, E. (2019). Toward a 7-P framework for international marketing. </w:t>
      </w:r>
      <w:r w:rsidRPr="00CE4411">
        <w:rPr>
          <w:rFonts w:asciiTheme="minorHAnsi" w:hAnsiTheme="minorHAnsi"/>
          <w:i/>
          <w:iCs/>
          <w:color w:val="auto"/>
          <w:sz w:val="22"/>
          <w:szCs w:val="22"/>
        </w:rPr>
        <w:t xml:space="preserve">Journal of Strategic Marketing </w:t>
      </w:r>
      <w:r w:rsidRPr="00CE4411">
        <w:rPr>
          <w:rFonts w:asciiTheme="minorHAnsi" w:hAnsiTheme="minorHAnsi"/>
          <w:color w:val="auto"/>
          <w:sz w:val="22"/>
          <w:szCs w:val="22"/>
        </w:rPr>
        <w:t xml:space="preserve">(in press). https://doi.org/10.1080/0965254X.2019.1569111 </w:t>
      </w:r>
    </w:p>
    <w:p w14:paraId="7B101FC2" w14:textId="77777777" w:rsidR="00AA2226" w:rsidRPr="00CE4411" w:rsidRDefault="00AA2226" w:rsidP="00AA2226">
      <w:pPr>
        <w:pStyle w:val="Default"/>
        <w:ind w:left="142" w:hanging="284"/>
        <w:rPr>
          <w:rFonts w:asciiTheme="minorHAnsi" w:hAnsiTheme="minorHAnsi"/>
          <w:color w:val="auto"/>
          <w:sz w:val="22"/>
          <w:szCs w:val="22"/>
        </w:rPr>
      </w:pPr>
      <w:r w:rsidRPr="00CE4411">
        <w:rPr>
          <w:rFonts w:asciiTheme="minorHAnsi" w:hAnsiTheme="minorHAnsi"/>
          <w:color w:val="auto"/>
          <w:sz w:val="22"/>
          <w:szCs w:val="22"/>
        </w:rPr>
        <w:t xml:space="preserve">Paul, J. (2019). Marketing in emerging markets: A review, theoretical synthesis and extension. </w:t>
      </w:r>
      <w:r w:rsidRPr="00CE4411">
        <w:rPr>
          <w:rFonts w:asciiTheme="minorHAnsi" w:hAnsiTheme="minorHAnsi"/>
          <w:i/>
          <w:iCs/>
          <w:color w:val="auto"/>
          <w:sz w:val="22"/>
          <w:szCs w:val="22"/>
        </w:rPr>
        <w:t>International Journal of Emerging Markets</w:t>
      </w:r>
      <w:r w:rsidRPr="00CE4411">
        <w:rPr>
          <w:rFonts w:asciiTheme="minorHAnsi" w:hAnsiTheme="minorHAnsi"/>
          <w:color w:val="auto"/>
          <w:sz w:val="22"/>
          <w:szCs w:val="22"/>
        </w:rPr>
        <w:t xml:space="preserve">. https://doi.org/10.1108/IJOEM-04-2017-0130 </w:t>
      </w:r>
    </w:p>
    <w:p w14:paraId="349F3F93" w14:textId="77777777" w:rsidR="00AA2226" w:rsidRPr="000A2FE6" w:rsidRDefault="00AA2226" w:rsidP="00AA2226">
      <w:pPr>
        <w:pStyle w:val="Default"/>
        <w:ind w:left="142" w:hanging="284"/>
        <w:rPr>
          <w:rFonts w:asciiTheme="minorHAnsi" w:hAnsiTheme="minorHAnsi"/>
          <w:color w:val="auto"/>
          <w:sz w:val="22"/>
          <w:szCs w:val="22"/>
        </w:rPr>
      </w:pPr>
      <w:r w:rsidRPr="00CE4411">
        <w:rPr>
          <w:rFonts w:asciiTheme="minorHAnsi" w:hAnsiTheme="minorHAnsi"/>
          <w:color w:val="auto"/>
          <w:sz w:val="22"/>
          <w:szCs w:val="22"/>
        </w:rPr>
        <w:t xml:space="preserve">Pansari, A., &amp; Kumar, V. (2017). Customer engagement: The construct, antecedents, and consequences. </w:t>
      </w:r>
      <w:r w:rsidRPr="00CE4411">
        <w:rPr>
          <w:rFonts w:asciiTheme="minorHAnsi" w:hAnsiTheme="minorHAnsi"/>
          <w:i/>
          <w:iCs/>
          <w:color w:val="auto"/>
          <w:sz w:val="22"/>
          <w:szCs w:val="22"/>
        </w:rPr>
        <w:t>Journal of the Academy of Marketing Science</w:t>
      </w:r>
      <w:r w:rsidRPr="00CE4411">
        <w:rPr>
          <w:rFonts w:asciiTheme="minorHAnsi" w:hAnsiTheme="minorHAnsi"/>
          <w:color w:val="auto"/>
          <w:sz w:val="22"/>
          <w:szCs w:val="22"/>
        </w:rPr>
        <w:t>, 45(3), 294-311. https://doi.org/10.1007/s11747-016-0485-6</w:t>
      </w:r>
      <w:r w:rsidRPr="000A2FE6">
        <w:rPr>
          <w:rFonts w:asciiTheme="minorHAnsi" w:hAnsiTheme="minorHAnsi"/>
          <w:color w:val="auto"/>
          <w:sz w:val="22"/>
          <w:szCs w:val="22"/>
        </w:rPr>
        <w:t xml:space="preserve"> </w:t>
      </w:r>
    </w:p>
    <w:p w14:paraId="5C56CC08" w14:textId="77777777" w:rsidR="00AA2226" w:rsidRPr="000A2FE6" w:rsidRDefault="00AA2226" w:rsidP="00AA2226">
      <w:pPr>
        <w:pStyle w:val="Default"/>
        <w:ind w:left="142" w:hanging="284"/>
        <w:rPr>
          <w:rFonts w:asciiTheme="minorHAnsi" w:hAnsiTheme="minorHAnsi"/>
          <w:b/>
          <w:bCs/>
          <w:color w:val="auto"/>
          <w:sz w:val="22"/>
          <w:szCs w:val="22"/>
        </w:rPr>
      </w:pPr>
    </w:p>
    <w:p w14:paraId="08DE42C0" w14:textId="77777777" w:rsidR="00AA2226" w:rsidRPr="000A2FE6" w:rsidRDefault="00AA2226" w:rsidP="00AA2226">
      <w:pPr>
        <w:pStyle w:val="Default"/>
        <w:ind w:left="142" w:hanging="284"/>
        <w:rPr>
          <w:rFonts w:asciiTheme="minorHAnsi" w:hAnsiTheme="minorHAnsi"/>
          <w:b/>
          <w:bCs/>
          <w:color w:val="auto"/>
          <w:sz w:val="22"/>
          <w:szCs w:val="22"/>
        </w:rPr>
      </w:pPr>
      <w:r w:rsidRPr="000A2FE6">
        <w:rPr>
          <w:rFonts w:asciiTheme="minorHAnsi" w:hAnsiTheme="minorHAnsi"/>
          <w:b/>
          <w:bCs/>
          <w:color w:val="auto"/>
          <w:sz w:val="22"/>
          <w:szCs w:val="22"/>
        </w:rPr>
        <w:t xml:space="preserve">Framework-based review </w:t>
      </w:r>
    </w:p>
    <w:p w14:paraId="51B36C2F"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Khamitov, M., Grégoire, Y., &amp; Suri, A. (2020). A systematic review of brand transgression, service failure recovery and product-harm crisis: integration and guiding insights. </w:t>
      </w:r>
      <w:r w:rsidRPr="000A2FE6">
        <w:rPr>
          <w:rFonts w:asciiTheme="minorHAnsi" w:hAnsiTheme="minorHAnsi"/>
          <w:i/>
          <w:iCs/>
          <w:color w:val="auto"/>
          <w:sz w:val="22"/>
          <w:szCs w:val="22"/>
        </w:rPr>
        <w:t>Journal of the Academy of Marketing Science</w:t>
      </w:r>
      <w:r w:rsidRPr="000A2FE6">
        <w:rPr>
          <w:rFonts w:asciiTheme="minorHAnsi" w:hAnsiTheme="minorHAnsi"/>
          <w:color w:val="auto"/>
          <w:sz w:val="22"/>
          <w:szCs w:val="22"/>
        </w:rPr>
        <w:t xml:space="preserve">, 48, 519-542. https://doi.org/10.1007/s11747-019-00679-1 </w:t>
      </w:r>
    </w:p>
    <w:p w14:paraId="6B4A15E5"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Paul, J., &amp; Benito, G. R. (2018). A review of research on outward foreign direct investment from emerging countries, including China: What do we know, how do we know and where should we be heading? </w:t>
      </w:r>
      <w:r w:rsidRPr="000A2FE6">
        <w:rPr>
          <w:rFonts w:asciiTheme="minorHAnsi" w:hAnsiTheme="minorHAnsi"/>
          <w:i/>
          <w:iCs/>
          <w:color w:val="auto"/>
          <w:sz w:val="22"/>
          <w:szCs w:val="22"/>
        </w:rPr>
        <w:t>Asia Pacific Business Review</w:t>
      </w:r>
      <w:r>
        <w:rPr>
          <w:rFonts w:asciiTheme="minorHAnsi" w:hAnsiTheme="minorHAnsi"/>
          <w:color w:val="auto"/>
          <w:sz w:val="22"/>
          <w:szCs w:val="22"/>
        </w:rPr>
        <w:t xml:space="preserve">, 24(1), 90-115. </w:t>
      </w:r>
      <w:r w:rsidRPr="000A2FE6">
        <w:rPr>
          <w:rFonts w:asciiTheme="minorHAnsi" w:hAnsiTheme="minorHAnsi"/>
          <w:color w:val="auto"/>
          <w:sz w:val="22"/>
          <w:szCs w:val="22"/>
        </w:rPr>
        <w:t xml:space="preserve">https://doi.org/10.1080/13602381.2017.1357316 </w:t>
      </w:r>
    </w:p>
    <w:p w14:paraId="1436F5B2" w14:textId="77777777" w:rsidR="00AA2226" w:rsidRDefault="00AA2226" w:rsidP="00AA2226">
      <w:pPr>
        <w:pStyle w:val="Default"/>
        <w:ind w:left="142" w:hanging="284"/>
        <w:rPr>
          <w:rFonts w:asciiTheme="minorHAnsi" w:hAnsiTheme="minorHAnsi"/>
          <w:b/>
          <w:bCs/>
          <w:color w:val="auto"/>
          <w:sz w:val="22"/>
          <w:szCs w:val="22"/>
        </w:rPr>
      </w:pPr>
    </w:p>
    <w:p w14:paraId="1B7C58C0"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Hybrid-Narrative reviews </w:t>
      </w:r>
    </w:p>
    <w:p w14:paraId="0C65823D"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Dabić, M., Vlačić, B., Paul, J., Dana, L. P., Sahasranamam, S., &amp; Glinka, B. (2020). Immigrant entrepreneurship: A review and research agenda. </w:t>
      </w:r>
      <w:r w:rsidRPr="000A2FE6">
        <w:rPr>
          <w:rFonts w:asciiTheme="minorHAnsi" w:hAnsiTheme="minorHAnsi"/>
          <w:i/>
          <w:iCs/>
          <w:color w:val="auto"/>
          <w:sz w:val="22"/>
          <w:szCs w:val="22"/>
        </w:rPr>
        <w:t>Journal of Business Research</w:t>
      </w:r>
      <w:r w:rsidRPr="000A2FE6">
        <w:rPr>
          <w:rFonts w:asciiTheme="minorHAnsi" w:hAnsiTheme="minorHAnsi"/>
          <w:color w:val="auto"/>
          <w:sz w:val="22"/>
          <w:szCs w:val="22"/>
        </w:rPr>
        <w:t xml:space="preserve">, 113, 25-38. https://doi.org/10.1016/j.jbusres.2020.03.013 </w:t>
      </w:r>
    </w:p>
    <w:p w14:paraId="2D421263" w14:textId="77777777" w:rsidR="00AA2226" w:rsidRPr="000A2FE6" w:rsidRDefault="00AA2226" w:rsidP="00AA2226">
      <w:pPr>
        <w:pStyle w:val="Default"/>
        <w:ind w:left="142" w:hanging="284"/>
        <w:rPr>
          <w:rFonts w:asciiTheme="minorHAnsi" w:hAnsiTheme="minorHAnsi"/>
          <w:b/>
          <w:bCs/>
          <w:color w:val="auto"/>
          <w:sz w:val="22"/>
          <w:szCs w:val="22"/>
        </w:rPr>
      </w:pPr>
    </w:p>
    <w:p w14:paraId="09506AF1" w14:textId="77777777" w:rsidR="00CE4411" w:rsidRDefault="00CE4411" w:rsidP="00AA2226">
      <w:pPr>
        <w:pStyle w:val="Default"/>
        <w:ind w:left="142" w:hanging="284"/>
        <w:rPr>
          <w:rFonts w:asciiTheme="minorHAnsi" w:hAnsiTheme="minorHAnsi"/>
          <w:b/>
          <w:bCs/>
          <w:color w:val="auto"/>
          <w:sz w:val="22"/>
          <w:szCs w:val="22"/>
        </w:rPr>
      </w:pPr>
      <w:r>
        <w:rPr>
          <w:rFonts w:asciiTheme="minorHAnsi" w:hAnsiTheme="minorHAnsi"/>
          <w:b/>
          <w:bCs/>
          <w:color w:val="auto"/>
          <w:sz w:val="22"/>
          <w:szCs w:val="22"/>
        </w:rPr>
        <w:br w:type="page"/>
      </w:r>
    </w:p>
    <w:p w14:paraId="48566CDE" w14:textId="77777777" w:rsidR="00CE4411" w:rsidRDefault="00CE4411" w:rsidP="00AA2226">
      <w:pPr>
        <w:pStyle w:val="Default"/>
        <w:ind w:left="142" w:hanging="284"/>
        <w:rPr>
          <w:rFonts w:asciiTheme="minorHAnsi" w:hAnsiTheme="minorHAnsi"/>
          <w:b/>
          <w:bCs/>
          <w:color w:val="auto"/>
          <w:sz w:val="22"/>
          <w:szCs w:val="22"/>
        </w:rPr>
      </w:pPr>
    </w:p>
    <w:p w14:paraId="03F91BE9" w14:textId="77777777" w:rsidR="00CE4411" w:rsidRDefault="00CE4411" w:rsidP="00AA2226">
      <w:pPr>
        <w:pStyle w:val="Default"/>
        <w:ind w:left="142" w:hanging="284"/>
        <w:rPr>
          <w:rFonts w:asciiTheme="minorHAnsi" w:hAnsiTheme="minorHAnsi"/>
          <w:b/>
          <w:bCs/>
          <w:color w:val="auto"/>
          <w:sz w:val="22"/>
          <w:szCs w:val="22"/>
        </w:rPr>
      </w:pPr>
    </w:p>
    <w:p w14:paraId="5AC82A98" w14:textId="369B6EDE"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Meta-analysis </w:t>
      </w:r>
    </w:p>
    <w:p w14:paraId="4C16DFC3"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Khamitov, M., Wang, X., &amp; Thomson, M. (2019). How well do consumer-brand relationships drive customer brand loyalty? Generalizations from a meta-analysis of brand relationship elasticities. </w:t>
      </w:r>
      <w:r w:rsidRPr="000A2FE6">
        <w:rPr>
          <w:rFonts w:asciiTheme="minorHAnsi" w:hAnsiTheme="minorHAnsi"/>
          <w:i/>
          <w:iCs/>
          <w:color w:val="auto"/>
          <w:sz w:val="22"/>
          <w:szCs w:val="22"/>
        </w:rPr>
        <w:t>Journal of Consumer Research</w:t>
      </w:r>
      <w:r>
        <w:rPr>
          <w:rFonts w:asciiTheme="minorHAnsi" w:hAnsiTheme="minorHAnsi"/>
          <w:color w:val="auto"/>
          <w:sz w:val="22"/>
          <w:szCs w:val="22"/>
        </w:rPr>
        <w:t xml:space="preserve">, 46(3), 435-459. </w:t>
      </w:r>
      <w:r w:rsidRPr="000A2FE6">
        <w:rPr>
          <w:rFonts w:asciiTheme="minorHAnsi" w:hAnsiTheme="minorHAnsi"/>
          <w:color w:val="auto"/>
          <w:sz w:val="22"/>
          <w:szCs w:val="22"/>
        </w:rPr>
        <w:t xml:space="preserve">https://doi.org/10.1093/jcr/ucz006 </w:t>
      </w:r>
    </w:p>
    <w:p w14:paraId="24930DD0"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Knoll, J., &amp; Matthes, J. (2017). The effectiveness of celebrity endorsements: A meta-analysis. </w:t>
      </w:r>
      <w:r w:rsidRPr="000A2FE6">
        <w:rPr>
          <w:rFonts w:asciiTheme="minorHAnsi" w:hAnsiTheme="minorHAnsi"/>
          <w:i/>
          <w:iCs/>
          <w:color w:val="auto"/>
          <w:sz w:val="22"/>
          <w:szCs w:val="22"/>
        </w:rPr>
        <w:t>Journal of the Academy of Marketing Science</w:t>
      </w:r>
      <w:r w:rsidRPr="000A2FE6">
        <w:rPr>
          <w:rFonts w:asciiTheme="minorHAnsi" w:hAnsiTheme="minorHAnsi"/>
          <w:color w:val="auto"/>
          <w:sz w:val="22"/>
          <w:szCs w:val="22"/>
        </w:rPr>
        <w:t>, 45(1),</w:t>
      </w:r>
      <w:r>
        <w:rPr>
          <w:rFonts w:asciiTheme="minorHAnsi" w:hAnsiTheme="minorHAnsi"/>
          <w:color w:val="auto"/>
          <w:sz w:val="22"/>
          <w:szCs w:val="22"/>
        </w:rPr>
        <w:t xml:space="preserve"> 55-75. </w:t>
      </w:r>
      <w:r w:rsidRPr="000A2FE6">
        <w:rPr>
          <w:rFonts w:asciiTheme="minorHAnsi" w:hAnsiTheme="minorHAnsi"/>
          <w:color w:val="auto"/>
          <w:sz w:val="22"/>
          <w:szCs w:val="22"/>
        </w:rPr>
        <w:t xml:space="preserve">https://doi.org/10.1007/s11747-016-0503-8 </w:t>
      </w:r>
    </w:p>
    <w:p w14:paraId="3885B376"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Rana, J., &amp; Paul, J. (2019). Health motive and the purchase of organic food: A meta</w:t>
      </w:r>
      <w:r w:rsidRPr="000A2FE6">
        <w:rPr>
          <w:rFonts w:asciiTheme="minorHAnsi" w:hAnsiTheme="minorHAnsi" w:cs="Cambria Math"/>
          <w:color w:val="auto"/>
          <w:sz w:val="22"/>
          <w:szCs w:val="22"/>
        </w:rPr>
        <w:t>‐</w:t>
      </w:r>
      <w:r w:rsidRPr="000A2FE6">
        <w:rPr>
          <w:rFonts w:asciiTheme="minorHAnsi" w:hAnsiTheme="minorHAnsi"/>
          <w:color w:val="auto"/>
          <w:sz w:val="22"/>
          <w:szCs w:val="22"/>
        </w:rPr>
        <w:t xml:space="preserve">analytic review. </w:t>
      </w:r>
      <w:r w:rsidRPr="000A2FE6">
        <w:rPr>
          <w:rFonts w:asciiTheme="minorHAnsi" w:hAnsiTheme="minorHAnsi"/>
          <w:i/>
          <w:iCs/>
          <w:color w:val="auto"/>
          <w:sz w:val="22"/>
          <w:szCs w:val="22"/>
        </w:rPr>
        <w:t>International Journal of Consumer Studies</w:t>
      </w:r>
      <w:r>
        <w:rPr>
          <w:rFonts w:asciiTheme="minorHAnsi" w:hAnsiTheme="minorHAnsi"/>
          <w:color w:val="auto"/>
          <w:sz w:val="22"/>
          <w:szCs w:val="22"/>
        </w:rPr>
        <w:t xml:space="preserve">. 44(2), 161-172 </w:t>
      </w:r>
      <w:r w:rsidRPr="000A2FE6">
        <w:rPr>
          <w:rFonts w:asciiTheme="minorHAnsi" w:hAnsiTheme="minorHAnsi"/>
          <w:color w:val="auto"/>
          <w:sz w:val="22"/>
          <w:szCs w:val="22"/>
        </w:rPr>
        <w:t xml:space="preserve">https://doi.org/10.1111/ijcs.12556 </w:t>
      </w:r>
    </w:p>
    <w:p w14:paraId="7C4299F8" w14:textId="77777777" w:rsidR="00AA2226" w:rsidRPr="000A2FE6" w:rsidRDefault="00AA2226" w:rsidP="00AA2226">
      <w:pPr>
        <w:pStyle w:val="Default"/>
        <w:ind w:left="142" w:hanging="284"/>
        <w:rPr>
          <w:rFonts w:asciiTheme="minorHAnsi" w:hAnsiTheme="minorHAnsi"/>
          <w:b/>
          <w:bCs/>
          <w:color w:val="auto"/>
          <w:sz w:val="22"/>
          <w:szCs w:val="22"/>
        </w:rPr>
      </w:pPr>
    </w:p>
    <w:p w14:paraId="2219B2B6"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Morphological analysis </w:t>
      </w:r>
    </w:p>
    <w:p w14:paraId="4EE9AE15"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Sunder M., V., Ganesh, L. S., &amp; Marathe, R. R. (2018). A morphological analysis of research literature on Lean Six Sigma for services. </w:t>
      </w:r>
      <w:r w:rsidRPr="000A2FE6">
        <w:rPr>
          <w:rFonts w:asciiTheme="minorHAnsi" w:hAnsiTheme="minorHAnsi"/>
          <w:i/>
          <w:iCs/>
          <w:color w:val="auto"/>
          <w:sz w:val="22"/>
          <w:szCs w:val="22"/>
        </w:rPr>
        <w:t>International Journal of Operations &amp; Production Management</w:t>
      </w:r>
      <w:r w:rsidRPr="000A2FE6">
        <w:rPr>
          <w:rFonts w:asciiTheme="minorHAnsi" w:hAnsiTheme="minorHAnsi"/>
          <w:color w:val="auto"/>
          <w:sz w:val="22"/>
          <w:szCs w:val="22"/>
        </w:rPr>
        <w:t xml:space="preserve">, 38(1), 149-182. https://doi.org/10.1108/IJOPM-05-2016-0273 </w:t>
      </w:r>
    </w:p>
    <w:p w14:paraId="75C83DC8" w14:textId="77777777" w:rsidR="00AA2226" w:rsidRPr="000A2FE6" w:rsidRDefault="00AA2226" w:rsidP="00AA2226">
      <w:pPr>
        <w:spacing w:after="0" w:line="240" w:lineRule="auto"/>
        <w:ind w:left="142" w:hanging="284"/>
        <w:rPr>
          <w:rFonts w:cs="Times New Roman"/>
        </w:rPr>
      </w:pPr>
      <w:r w:rsidRPr="000A2FE6">
        <w:rPr>
          <w:rFonts w:cs="Times New Roman"/>
        </w:rPr>
        <w:t xml:space="preserve">Sunder M., V., Ganesh L.S. and Marathe, R. (2019). Dynamic capabilities: A morphological analysis framework and agenda for future research, </w:t>
      </w:r>
      <w:r w:rsidRPr="000A2FE6">
        <w:rPr>
          <w:rFonts w:cs="Times New Roman"/>
          <w:i/>
          <w:iCs/>
        </w:rPr>
        <w:t>European Business Review</w:t>
      </w:r>
      <w:r w:rsidRPr="000A2FE6">
        <w:rPr>
          <w:rFonts w:cs="Times New Roman"/>
        </w:rPr>
        <w:t>, Vol. 31 No. 1, pp. 25-63. https://doi.org/10.1108/EBR-03-2018-0060</w:t>
      </w:r>
    </w:p>
    <w:p w14:paraId="1DF71FEA" w14:textId="47A948FF" w:rsidR="001A0BF4" w:rsidRDefault="001A0BF4" w:rsidP="00AA2226">
      <w:pPr>
        <w:pStyle w:val="Default"/>
        <w:ind w:left="142" w:hanging="284"/>
        <w:rPr>
          <w:rFonts w:asciiTheme="minorHAnsi" w:hAnsiTheme="minorHAnsi"/>
          <w:b/>
          <w:bCs/>
          <w:color w:val="auto"/>
          <w:sz w:val="22"/>
          <w:szCs w:val="22"/>
        </w:rPr>
      </w:pPr>
    </w:p>
    <w:p w14:paraId="2C900A08"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Theme-based reviews </w:t>
      </w:r>
    </w:p>
    <w:p w14:paraId="2CDDAD53"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Hao, A. W., Paul, J., Trott, S., Guo, C., &amp; Wu, H. H. (2019). Two decades of research on nation branding: A review and future research agenda. </w:t>
      </w:r>
      <w:r w:rsidRPr="000A2FE6">
        <w:rPr>
          <w:rFonts w:asciiTheme="minorHAnsi" w:hAnsiTheme="minorHAnsi"/>
          <w:i/>
          <w:iCs/>
          <w:color w:val="auto"/>
          <w:sz w:val="22"/>
          <w:szCs w:val="22"/>
        </w:rPr>
        <w:t xml:space="preserve">International Marketing Review </w:t>
      </w:r>
      <w:r>
        <w:rPr>
          <w:rFonts w:asciiTheme="minorHAnsi" w:hAnsiTheme="minorHAnsi"/>
          <w:color w:val="auto"/>
          <w:sz w:val="22"/>
          <w:szCs w:val="22"/>
        </w:rPr>
        <w:t xml:space="preserve">(in press). </w:t>
      </w:r>
      <w:r w:rsidRPr="000A2FE6">
        <w:rPr>
          <w:rFonts w:asciiTheme="minorHAnsi" w:hAnsiTheme="minorHAnsi"/>
          <w:color w:val="auto"/>
          <w:sz w:val="22"/>
          <w:szCs w:val="22"/>
        </w:rPr>
        <w:t xml:space="preserve">https://doi.org/10.1108/IMR-01-2019-0028 </w:t>
      </w:r>
    </w:p>
    <w:p w14:paraId="4F4F0984"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Jamali, D., &amp; Karam, C. (2018). Corporate social responsibility in developing countries as an emerging field of study. </w:t>
      </w:r>
      <w:r w:rsidRPr="000A2FE6">
        <w:rPr>
          <w:rFonts w:asciiTheme="minorHAnsi" w:hAnsiTheme="minorHAnsi"/>
          <w:i/>
          <w:iCs/>
          <w:color w:val="auto"/>
          <w:sz w:val="22"/>
          <w:szCs w:val="22"/>
        </w:rPr>
        <w:t>International Journal of Management Reviews</w:t>
      </w:r>
      <w:r w:rsidRPr="000A2FE6">
        <w:rPr>
          <w:rFonts w:asciiTheme="minorHAnsi" w:hAnsiTheme="minorHAnsi"/>
          <w:color w:val="auto"/>
          <w:sz w:val="22"/>
          <w:szCs w:val="22"/>
        </w:rPr>
        <w:t xml:space="preserve">, 20(1), 32-61. https://doi.org/10.1111/ijmr.12112 </w:t>
      </w:r>
    </w:p>
    <w:p w14:paraId="262CE7EB"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Kahiya, E. T. (2018). Five decades of research on export barriers: Review and future directions. </w:t>
      </w:r>
      <w:r w:rsidRPr="000A2FE6">
        <w:rPr>
          <w:rFonts w:asciiTheme="minorHAnsi" w:hAnsiTheme="minorHAnsi"/>
          <w:i/>
          <w:iCs/>
          <w:color w:val="auto"/>
          <w:sz w:val="22"/>
          <w:szCs w:val="22"/>
        </w:rPr>
        <w:t>International Business Review</w:t>
      </w:r>
      <w:r w:rsidRPr="000A2FE6">
        <w:rPr>
          <w:rFonts w:asciiTheme="minorHAnsi" w:hAnsiTheme="minorHAnsi"/>
          <w:color w:val="auto"/>
          <w:sz w:val="22"/>
          <w:szCs w:val="22"/>
        </w:rPr>
        <w:t xml:space="preserve">, 27(6), 1172-1188. https://doi.org/10.1016/j.ibusrev.2018.04.008 </w:t>
      </w:r>
    </w:p>
    <w:p w14:paraId="23C9E97B"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Lim, W. M. (2016). Understanding the selfie phenomenon: current insights and future research directions. </w:t>
      </w:r>
      <w:r w:rsidRPr="000A2FE6">
        <w:rPr>
          <w:rFonts w:asciiTheme="minorHAnsi" w:hAnsiTheme="minorHAnsi"/>
          <w:i/>
          <w:iCs/>
          <w:color w:val="auto"/>
          <w:sz w:val="22"/>
          <w:szCs w:val="22"/>
        </w:rPr>
        <w:t>European Journal of Marketing</w:t>
      </w:r>
      <w:r>
        <w:rPr>
          <w:rFonts w:asciiTheme="minorHAnsi" w:hAnsiTheme="minorHAnsi"/>
          <w:color w:val="auto"/>
          <w:sz w:val="22"/>
          <w:szCs w:val="22"/>
        </w:rPr>
        <w:t xml:space="preserve">, 50(9/10), 1773-1788. </w:t>
      </w:r>
      <w:r w:rsidRPr="000A2FE6">
        <w:rPr>
          <w:rFonts w:asciiTheme="minorHAnsi" w:hAnsiTheme="minorHAnsi"/>
          <w:color w:val="auto"/>
          <w:sz w:val="22"/>
          <w:szCs w:val="22"/>
        </w:rPr>
        <w:t xml:space="preserve">https://doi.org/10.1108/EJM-07-2015-0484 </w:t>
      </w:r>
    </w:p>
    <w:p w14:paraId="140ED5A0"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Paul, J., Parthasarathy, S., &amp; Gupta, P. (2017). Exporting challenges of SMEs: A review and future research agenda. </w:t>
      </w:r>
      <w:r w:rsidRPr="000A2FE6">
        <w:rPr>
          <w:rFonts w:asciiTheme="minorHAnsi" w:hAnsiTheme="minorHAnsi"/>
          <w:i/>
          <w:iCs/>
          <w:color w:val="auto"/>
          <w:sz w:val="22"/>
          <w:szCs w:val="22"/>
        </w:rPr>
        <w:t>Journal of World Business</w:t>
      </w:r>
      <w:r>
        <w:rPr>
          <w:rFonts w:asciiTheme="minorHAnsi" w:hAnsiTheme="minorHAnsi"/>
          <w:color w:val="auto"/>
          <w:sz w:val="22"/>
          <w:szCs w:val="22"/>
        </w:rPr>
        <w:t xml:space="preserve">, 52(3), 327-342. </w:t>
      </w:r>
      <w:r w:rsidRPr="000A2FE6">
        <w:rPr>
          <w:rFonts w:asciiTheme="minorHAnsi" w:hAnsiTheme="minorHAnsi"/>
          <w:color w:val="auto"/>
          <w:sz w:val="22"/>
          <w:szCs w:val="22"/>
        </w:rPr>
        <w:t xml:space="preserve">https://doi.org/10.1016/j.jwb.2017.01.003 </w:t>
      </w:r>
    </w:p>
    <w:p w14:paraId="1826089C"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Rana, J., &amp; Paul, J. (2017). Consumer behavior and purchase intention for organic food: A review and research agenda. </w:t>
      </w:r>
      <w:r w:rsidRPr="000A2FE6">
        <w:rPr>
          <w:rFonts w:asciiTheme="minorHAnsi" w:hAnsiTheme="minorHAnsi"/>
          <w:i/>
          <w:iCs/>
          <w:color w:val="auto"/>
          <w:sz w:val="22"/>
          <w:szCs w:val="22"/>
        </w:rPr>
        <w:t>Journal of Retailing and Consumer Services</w:t>
      </w:r>
      <w:r w:rsidRPr="000A2FE6">
        <w:rPr>
          <w:rFonts w:asciiTheme="minorHAnsi" w:hAnsiTheme="minorHAnsi"/>
          <w:color w:val="auto"/>
          <w:sz w:val="22"/>
          <w:szCs w:val="22"/>
        </w:rPr>
        <w:t>, 38, 157-</w:t>
      </w:r>
      <w:r>
        <w:rPr>
          <w:rFonts w:asciiTheme="minorHAnsi" w:hAnsiTheme="minorHAnsi"/>
          <w:color w:val="auto"/>
          <w:sz w:val="22"/>
          <w:szCs w:val="22"/>
        </w:rPr>
        <w:t xml:space="preserve">165. </w:t>
      </w:r>
      <w:r w:rsidRPr="000A2FE6">
        <w:rPr>
          <w:rFonts w:asciiTheme="minorHAnsi" w:hAnsiTheme="minorHAnsi"/>
          <w:color w:val="auto"/>
          <w:sz w:val="22"/>
          <w:szCs w:val="22"/>
        </w:rPr>
        <w:t xml:space="preserve">https://doi.org/10.1016/j.jretconser.2017.06.004 </w:t>
      </w:r>
    </w:p>
    <w:p w14:paraId="062505F8" w14:textId="77777777" w:rsidR="00AA2226" w:rsidRPr="000A2FE6" w:rsidRDefault="00AA222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Rosado-Serrano, A., Paul, J. &amp; Dikova, D (2018). International franchising: A literature review and research agenda. </w:t>
      </w:r>
      <w:r w:rsidRPr="000A2FE6">
        <w:rPr>
          <w:rFonts w:asciiTheme="minorHAnsi" w:hAnsiTheme="minorHAnsi"/>
          <w:i/>
          <w:iCs/>
          <w:color w:val="auto"/>
          <w:sz w:val="22"/>
          <w:szCs w:val="22"/>
        </w:rPr>
        <w:t>Journal of Business Research</w:t>
      </w:r>
      <w:r w:rsidRPr="000A2FE6">
        <w:rPr>
          <w:rFonts w:asciiTheme="minorHAnsi" w:hAnsiTheme="minorHAnsi"/>
          <w:color w:val="auto"/>
          <w:sz w:val="22"/>
          <w:szCs w:val="22"/>
        </w:rPr>
        <w:t xml:space="preserve">, 85, 238-257. https://doi.org/10.1016/j.jbusres.2017.12.049 </w:t>
      </w:r>
    </w:p>
    <w:p w14:paraId="55629E89" w14:textId="77777777" w:rsidR="00AA2226" w:rsidRDefault="00AA2226" w:rsidP="000A2FE6">
      <w:pPr>
        <w:pStyle w:val="Default"/>
        <w:ind w:left="142" w:hanging="284"/>
        <w:rPr>
          <w:rFonts w:asciiTheme="minorHAnsi" w:hAnsiTheme="minorHAnsi"/>
          <w:b/>
          <w:bCs/>
          <w:color w:val="auto"/>
          <w:sz w:val="22"/>
          <w:szCs w:val="22"/>
        </w:rPr>
      </w:pPr>
    </w:p>
    <w:p w14:paraId="4368C463" w14:textId="77777777" w:rsidR="000A2FE6" w:rsidRPr="000A2FE6" w:rsidRDefault="000A2FE6" w:rsidP="000A2FE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Theory-based reviews </w:t>
      </w:r>
    </w:p>
    <w:p w14:paraId="2542E2E8" w14:textId="77777777" w:rsidR="000A2FE6" w:rsidRPr="000A2FE6" w:rsidRDefault="000A2FE6" w:rsidP="000A2FE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Gilal, F. G., Zhang, J., Paul, J., &amp; Gilal, N. G. (2019). The role of self-determination theory in marketing science: An integrative review and agenda for research. </w:t>
      </w:r>
      <w:r w:rsidRPr="000A2FE6">
        <w:rPr>
          <w:rFonts w:asciiTheme="minorHAnsi" w:hAnsiTheme="minorHAnsi"/>
          <w:i/>
          <w:iCs/>
          <w:color w:val="auto"/>
          <w:sz w:val="22"/>
          <w:szCs w:val="22"/>
        </w:rPr>
        <w:t>European Management Journal</w:t>
      </w:r>
      <w:r w:rsidRPr="000A2FE6">
        <w:rPr>
          <w:rFonts w:asciiTheme="minorHAnsi" w:hAnsiTheme="minorHAnsi"/>
          <w:color w:val="auto"/>
          <w:sz w:val="22"/>
          <w:szCs w:val="22"/>
        </w:rPr>
        <w:t xml:space="preserve">, 37(1), 29-44. https://doi.org/10.1016/j.emj.2018.10.004 </w:t>
      </w:r>
    </w:p>
    <w:p w14:paraId="1207A910" w14:textId="77777777" w:rsidR="000A2FE6" w:rsidRPr="00AA2226" w:rsidRDefault="000A2FE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Hassan, L. M., Shiu, E., &amp; Parry, S. (2016). Addressing the cross</w:t>
      </w:r>
      <w:r w:rsidRPr="000A2FE6">
        <w:rPr>
          <w:rFonts w:asciiTheme="minorHAnsi" w:hAnsiTheme="minorHAnsi" w:cs="Cambria Math"/>
          <w:color w:val="auto"/>
          <w:sz w:val="22"/>
          <w:szCs w:val="22"/>
        </w:rPr>
        <w:t>‐</w:t>
      </w:r>
      <w:r w:rsidRPr="000A2FE6">
        <w:rPr>
          <w:rFonts w:asciiTheme="minorHAnsi" w:hAnsiTheme="minorHAnsi"/>
          <w:color w:val="auto"/>
          <w:sz w:val="22"/>
          <w:szCs w:val="22"/>
        </w:rPr>
        <w:t>country applicability of the theory of planned behaviour (TPB): A structured review of multi</w:t>
      </w:r>
      <w:r w:rsidRPr="000A2FE6">
        <w:rPr>
          <w:rFonts w:asciiTheme="minorHAnsi" w:hAnsiTheme="minorHAnsi" w:cs="Cambria Math"/>
          <w:color w:val="auto"/>
          <w:sz w:val="22"/>
          <w:szCs w:val="22"/>
        </w:rPr>
        <w:t>‐</w:t>
      </w:r>
      <w:r w:rsidRPr="000A2FE6">
        <w:rPr>
          <w:rFonts w:asciiTheme="minorHAnsi" w:hAnsiTheme="minorHAnsi"/>
          <w:color w:val="auto"/>
          <w:sz w:val="22"/>
          <w:szCs w:val="22"/>
        </w:rPr>
        <w:t xml:space="preserve">country TPB studies. </w:t>
      </w:r>
      <w:r w:rsidRPr="000A2FE6">
        <w:rPr>
          <w:rFonts w:asciiTheme="minorHAnsi" w:hAnsiTheme="minorHAnsi"/>
          <w:i/>
          <w:iCs/>
          <w:color w:val="auto"/>
          <w:sz w:val="22"/>
          <w:szCs w:val="22"/>
        </w:rPr>
        <w:t>Journal of Consumer Behaviour</w:t>
      </w:r>
      <w:r w:rsidRPr="000A2FE6">
        <w:rPr>
          <w:rFonts w:asciiTheme="minorHAnsi" w:hAnsiTheme="minorHAnsi"/>
          <w:color w:val="auto"/>
          <w:sz w:val="22"/>
          <w:szCs w:val="22"/>
        </w:rPr>
        <w:t>, 15(1), 72-86. h</w:t>
      </w:r>
      <w:r w:rsidR="00AA2226">
        <w:rPr>
          <w:rFonts w:asciiTheme="minorHAnsi" w:hAnsiTheme="minorHAnsi"/>
          <w:color w:val="auto"/>
          <w:sz w:val="22"/>
          <w:szCs w:val="22"/>
        </w:rPr>
        <w:t xml:space="preserve">ttps://doi.org/10.1002/cb.1536 </w:t>
      </w:r>
    </w:p>
    <w:p w14:paraId="4AED88ED" w14:textId="77777777" w:rsidR="000A2FE6" w:rsidRPr="000A2FE6" w:rsidRDefault="000A2FE6" w:rsidP="000A2FE6">
      <w:pPr>
        <w:pStyle w:val="Default"/>
        <w:ind w:left="142" w:hanging="284"/>
        <w:rPr>
          <w:rFonts w:asciiTheme="minorHAnsi" w:hAnsiTheme="minorHAnsi"/>
          <w:b/>
          <w:bCs/>
          <w:color w:val="auto"/>
          <w:sz w:val="22"/>
          <w:szCs w:val="22"/>
        </w:rPr>
      </w:pPr>
    </w:p>
    <w:p w14:paraId="0BF89FD9" w14:textId="77777777" w:rsidR="00CE4411" w:rsidRDefault="00CE4411" w:rsidP="000A2FE6">
      <w:pPr>
        <w:pStyle w:val="Default"/>
        <w:ind w:left="142" w:hanging="284"/>
        <w:rPr>
          <w:rFonts w:asciiTheme="minorHAnsi" w:hAnsiTheme="minorHAnsi"/>
          <w:b/>
          <w:bCs/>
          <w:color w:val="auto"/>
          <w:sz w:val="22"/>
          <w:szCs w:val="22"/>
        </w:rPr>
      </w:pPr>
      <w:r>
        <w:rPr>
          <w:rFonts w:asciiTheme="minorHAnsi" w:hAnsiTheme="minorHAnsi"/>
          <w:b/>
          <w:bCs/>
          <w:color w:val="auto"/>
          <w:sz w:val="22"/>
          <w:szCs w:val="22"/>
        </w:rPr>
        <w:br w:type="page"/>
      </w:r>
    </w:p>
    <w:p w14:paraId="3803DF32" w14:textId="77777777" w:rsidR="00CE4411" w:rsidRDefault="00CE4411" w:rsidP="000A2FE6">
      <w:pPr>
        <w:pStyle w:val="Default"/>
        <w:ind w:left="142" w:hanging="284"/>
        <w:rPr>
          <w:rFonts w:asciiTheme="minorHAnsi" w:hAnsiTheme="minorHAnsi"/>
          <w:b/>
          <w:bCs/>
          <w:color w:val="auto"/>
          <w:sz w:val="22"/>
          <w:szCs w:val="22"/>
        </w:rPr>
      </w:pPr>
    </w:p>
    <w:p w14:paraId="2C3F9D48" w14:textId="77777777" w:rsidR="00CE4411" w:rsidRDefault="00CE4411" w:rsidP="000A2FE6">
      <w:pPr>
        <w:pStyle w:val="Default"/>
        <w:ind w:left="142" w:hanging="284"/>
        <w:rPr>
          <w:rFonts w:asciiTheme="minorHAnsi" w:hAnsiTheme="minorHAnsi"/>
          <w:b/>
          <w:bCs/>
          <w:color w:val="auto"/>
          <w:sz w:val="22"/>
          <w:szCs w:val="22"/>
        </w:rPr>
      </w:pPr>
    </w:p>
    <w:p w14:paraId="15AADC31" w14:textId="07964E1F" w:rsidR="000A2FE6" w:rsidRPr="000A2FE6" w:rsidRDefault="000A2FE6" w:rsidP="000A2FE6">
      <w:pPr>
        <w:pStyle w:val="Default"/>
        <w:ind w:left="142" w:hanging="284"/>
        <w:rPr>
          <w:rFonts w:asciiTheme="minorHAnsi" w:hAnsiTheme="minorHAnsi"/>
          <w:color w:val="auto"/>
          <w:sz w:val="22"/>
          <w:szCs w:val="22"/>
        </w:rPr>
      </w:pPr>
      <w:r w:rsidRPr="000A2FE6">
        <w:rPr>
          <w:rFonts w:asciiTheme="minorHAnsi" w:hAnsiTheme="minorHAnsi"/>
          <w:b/>
          <w:bCs/>
          <w:color w:val="auto"/>
          <w:sz w:val="22"/>
          <w:szCs w:val="22"/>
        </w:rPr>
        <w:t xml:space="preserve">Theory-Context-Characteristics-Methodology (TCCM)-based reviews </w:t>
      </w:r>
    </w:p>
    <w:p w14:paraId="56CE1373" w14:textId="77777777" w:rsidR="000A2FE6" w:rsidRPr="000A2FE6" w:rsidRDefault="000A2FE6" w:rsidP="000A2FE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Canabal, A., &amp; White III, G. O. (2008). Entry mode research: Past and future. </w:t>
      </w:r>
      <w:r w:rsidRPr="000A2FE6">
        <w:rPr>
          <w:rFonts w:asciiTheme="minorHAnsi" w:hAnsiTheme="minorHAnsi"/>
          <w:i/>
          <w:iCs/>
          <w:color w:val="auto"/>
          <w:sz w:val="22"/>
          <w:szCs w:val="22"/>
        </w:rPr>
        <w:t>International Business Review</w:t>
      </w:r>
      <w:r w:rsidRPr="000A2FE6">
        <w:rPr>
          <w:rFonts w:asciiTheme="minorHAnsi" w:hAnsiTheme="minorHAnsi"/>
          <w:color w:val="auto"/>
          <w:sz w:val="22"/>
          <w:szCs w:val="22"/>
        </w:rPr>
        <w:t xml:space="preserve">, 17(3), 267-284. https://doi.org/10.1016/j.ibusrev.2008.01.003 </w:t>
      </w:r>
    </w:p>
    <w:p w14:paraId="3ACCFFD7" w14:textId="77777777" w:rsidR="000A2FE6" w:rsidRPr="000A2FE6" w:rsidRDefault="000A2FE6" w:rsidP="000A2FE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Paul, J., &amp; Rosado-Serrano, A. (2019). Gradual internationalization vs born-global / international new venture models: A review and research agenda. </w:t>
      </w:r>
      <w:r w:rsidRPr="000A2FE6">
        <w:rPr>
          <w:rFonts w:asciiTheme="minorHAnsi" w:hAnsiTheme="minorHAnsi"/>
          <w:i/>
          <w:iCs/>
          <w:color w:val="auto"/>
          <w:sz w:val="22"/>
          <w:szCs w:val="22"/>
        </w:rPr>
        <w:t>International Marketing Review</w:t>
      </w:r>
      <w:r>
        <w:rPr>
          <w:rFonts w:asciiTheme="minorHAnsi" w:hAnsiTheme="minorHAnsi"/>
          <w:color w:val="auto"/>
          <w:sz w:val="22"/>
          <w:szCs w:val="22"/>
        </w:rPr>
        <w:t xml:space="preserve">, 36(6), 830-858. </w:t>
      </w:r>
      <w:r w:rsidRPr="000A2FE6">
        <w:rPr>
          <w:rFonts w:asciiTheme="minorHAnsi" w:hAnsiTheme="minorHAnsi"/>
          <w:color w:val="auto"/>
          <w:sz w:val="22"/>
          <w:szCs w:val="22"/>
        </w:rPr>
        <w:t xml:space="preserve">https://doi.org/10.1108/IMR-10-2018-0280 </w:t>
      </w:r>
    </w:p>
    <w:p w14:paraId="657FA582" w14:textId="77777777" w:rsidR="000A2FE6" w:rsidRPr="000A2FE6" w:rsidRDefault="000A2FE6" w:rsidP="00AA2226">
      <w:pPr>
        <w:pStyle w:val="Default"/>
        <w:ind w:left="142" w:hanging="284"/>
        <w:rPr>
          <w:rFonts w:asciiTheme="minorHAnsi" w:hAnsiTheme="minorHAnsi"/>
          <w:color w:val="auto"/>
          <w:sz w:val="22"/>
          <w:szCs w:val="22"/>
        </w:rPr>
      </w:pPr>
      <w:r w:rsidRPr="000A2FE6">
        <w:rPr>
          <w:rFonts w:asciiTheme="minorHAnsi" w:hAnsiTheme="minorHAnsi"/>
          <w:color w:val="auto"/>
          <w:sz w:val="22"/>
          <w:szCs w:val="22"/>
        </w:rPr>
        <w:t xml:space="preserve">Paul, J., &amp; Singh, G. (2017). The 45 years of foreign direct investment research: Approaches, advances and analytical areas. </w:t>
      </w:r>
      <w:r w:rsidRPr="000A2FE6">
        <w:rPr>
          <w:rFonts w:asciiTheme="minorHAnsi" w:hAnsiTheme="minorHAnsi"/>
          <w:i/>
          <w:iCs/>
          <w:color w:val="auto"/>
          <w:sz w:val="22"/>
          <w:szCs w:val="22"/>
        </w:rPr>
        <w:t>The World Economy</w:t>
      </w:r>
      <w:r>
        <w:rPr>
          <w:rFonts w:asciiTheme="minorHAnsi" w:hAnsiTheme="minorHAnsi"/>
          <w:color w:val="auto"/>
          <w:sz w:val="22"/>
          <w:szCs w:val="22"/>
        </w:rPr>
        <w:t xml:space="preserve">, 40(11), 2512-2527. </w:t>
      </w:r>
      <w:r w:rsidRPr="000A2FE6">
        <w:rPr>
          <w:rFonts w:asciiTheme="minorHAnsi" w:hAnsiTheme="minorHAnsi"/>
          <w:color w:val="auto"/>
          <w:sz w:val="22"/>
          <w:szCs w:val="22"/>
        </w:rPr>
        <w:t>https://doi.org/10.1111/tw</w:t>
      </w:r>
      <w:r w:rsidR="00AA2226">
        <w:rPr>
          <w:rFonts w:asciiTheme="minorHAnsi" w:hAnsiTheme="minorHAnsi"/>
          <w:color w:val="auto"/>
          <w:sz w:val="22"/>
          <w:szCs w:val="22"/>
        </w:rPr>
        <w:t xml:space="preserve">ec.12502 </w:t>
      </w:r>
    </w:p>
    <w:sectPr w:rsidR="000A2FE6" w:rsidRPr="000A2FE6" w:rsidSect="00D42AA1">
      <w:headerReference w:type="default" r:id="rId11"/>
      <w:pgSz w:w="11906" w:h="16838"/>
      <w:pgMar w:top="1440"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757159" w16cex:dateUtc="2021-06-17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2AC3A8" w16cid:durableId="24757159"/>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3789C0" w14:textId="77777777" w:rsidR="005073AE" w:rsidRDefault="005073AE" w:rsidP="00A678DF">
      <w:pPr>
        <w:spacing w:after="0" w:line="240" w:lineRule="auto"/>
      </w:pPr>
      <w:r>
        <w:separator/>
      </w:r>
    </w:p>
  </w:endnote>
  <w:endnote w:type="continuationSeparator" w:id="0">
    <w:p w14:paraId="0345E16E" w14:textId="77777777" w:rsidR="005073AE" w:rsidRDefault="005073AE" w:rsidP="00A678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8C458" w14:textId="77777777" w:rsidR="005073AE" w:rsidRDefault="005073AE" w:rsidP="00A678DF">
      <w:pPr>
        <w:spacing w:after="0" w:line="240" w:lineRule="auto"/>
      </w:pPr>
      <w:r>
        <w:separator/>
      </w:r>
    </w:p>
  </w:footnote>
  <w:footnote w:type="continuationSeparator" w:id="0">
    <w:p w14:paraId="480BBC65" w14:textId="77777777" w:rsidR="005073AE" w:rsidRDefault="005073AE" w:rsidP="00A678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743CD" w14:textId="77777777" w:rsidR="003B0237" w:rsidRDefault="003B0237" w:rsidP="003B0237">
    <w:pPr>
      <w:pStyle w:val="Header"/>
      <w:rPr>
        <w:rFonts w:ascii="Arial" w:hAnsi="Arial" w:cs="Arial"/>
        <w:b/>
      </w:rPr>
    </w:pPr>
    <w:r>
      <w:rPr>
        <w:noProof/>
        <w:lang w:val="de-DE" w:eastAsia="de-DE"/>
      </w:rPr>
      <w:drawing>
        <wp:inline distT="0" distB="0" distL="0" distR="0" wp14:anchorId="71B1A6D1" wp14:editId="47599543">
          <wp:extent cx="1581150" cy="657225"/>
          <wp:effectExtent l="0" t="0" r="0" b="9525"/>
          <wp:docPr id="2" name="Picture 3" descr="The University of Manchester" title="University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he University of Manchester">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81150"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7500CBA3" w14:textId="77777777" w:rsidR="003B0237" w:rsidRDefault="003B0237" w:rsidP="003B0237">
    <w:pPr>
      <w:pStyle w:val="Header"/>
      <w:rPr>
        <w:rFonts w:ascii="Arial" w:hAnsi="Arial" w:cs="Arial"/>
        <w:b/>
      </w:rPr>
    </w:pPr>
  </w:p>
  <w:p w14:paraId="3A9126F3" w14:textId="77777777" w:rsidR="00A678DF" w:rsidRDefault="003B0237" w:rsidP="003B0237">
    <w:pPr>
      <w:pStyle w:val="Header"/>
      <w:rPr>
        <w:rFonts w:ascii="Arial" w:hAnsi="Arial" w:cs="Arial"/>
        <w:b/>
      </w:rPr>
    </w:pPr>
    <w:r>
      <w:rPr>
        <w:rFonts w:ascii="Arial" w:hAnsi="Arial" w:cs="Arial"/>
        <w:b/>
      </w:rPr>
      <w:tab/>
    </w:r>
    <w:r w:rsidR="00A678DF">
      <w:rPr>
        <w:rFonts w:ascii="Arial" w:hAnsi="Arial" w:cs="Arial"/>
        <w:b/>
      </w:rPr>
      <w:t>Alliance Manchester Business School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75CC4"/>
    <w:multiLevelType w:val="hybridMultilevel"/>
    <w:tmpl w:val="64105A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73326"/>
    <w:multiLevelType w:val="hybridMultilevel"/>
    <w:tmpl w:val="FA344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03C34AF"/>
    <w:multiLevelType w:val="hybridMultilevel"/>
    <w:tmpl w:val="D95C5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A7038C"/>
    <w:multiLevelType w:val="hybridMultilevel"/>
    <w:tmpl w:val="87985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544658"/>
    <w:multiLevelType w:val="hybridMultilevel"/>
    <w:tmpl w:val="C0D68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3B17F7"/>
    <w:multiLevelType w:val="hybridMultilevel"/>
    <w:tmpl w:val="4DAC4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574615"/>
    <w:multiLevelType w:val="hybridMultilevel"/>
    <w:tmpl w:val="90581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634A75"/>
    <w:multiLevelType w:val="hybridMultilevel"/>
    <w:tmpl w:val="53A2EA06"/>
    <w:lvl w:ilvl="0" w:tplc="0809000F">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CE41F4"/>
    <w:multiLevelType w:val="hybridMultilevel"/>
    <w:tmpl w:val="CF9C3DBE"/>
    <w:lvl w:ilvl="0" w:tplc="D3305B24">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290487"/>
    <w:multiLevelType w:val="hybridMultilevel"/>
    <w:tmpl w:val="07663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B34BD8"/>
    <w:multiLevelType w:val="hybridMultilevel"/>
    <w:tmpl w:val="75F6CE08"/>
    <w:lvl w:ilvl="0" w:tplc="062ABDC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916BA4"/>
    <w:multiLevelType w:val="multilevel"/>
    <w:tmpl w:val="8BA4B91A"/>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8"/>
  </w:num>
  <w:num w:numId="3">
    <w:abstractNumId w:val="7"/>
  </w:num>
  <w:num w:numId="4">
    <w:abstractNumId w:val="5"/>
  </w:num>
  <w:num w:numId="5">
    <w:abstractNumId w:val="10"/>
  </w:num>
  <w:num w:numId="6">
    <w:abstractNumId w:val="6"/>
  </w:num>
  <w:num w:numId="7">
    <w:abstractNumId w:val="11"/>
  </w:num>
  <w:num w:numId="8">
    <w:abstractNumId w:val="1"/>
  </w:num>
  <w:num w:numId="9">
    <w:abstractNumId w:val="9"/>
  </w:num>
  <w:num w:numId="10">
    <w:abstractNumId w:val="2"/>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DF"/>
    <w:rsid w:val="00001235"/>
    <w:rsid w:val="00003E4A"/>
    <w:rsid w:val="00076292"/>
    <w:rsid w:val="00092268"/>
    <w:rsid w:val="000A2FE6"/>
    <w:rsid w:val="000C1828"/>
    <w:rsid w:val="000C56BC"/>
    <w:rsid w:val="000D127D"/>
    <w:rsid w:val="000D7869"/>
    <w:rsid w:val="000D7ED3"/>
    <w:rsid w:val="00100855"/>
    <w:rsid w:val="00113B41"/>
    <w:rsid w:val="0012262D"/>
    <w:rsid w:val="001315A1"/>
    <w:rsid w:val="0013381B"/>
    <w:rsid w:val="00143060"/>
    <w:rsid w:val="001535E6"/>
    <w:rsid w:val="00173808"/>
    <w:rsid w:val="001A0BF4"/>
    <w:rsid w:val="001B3F2D"/>
    <w:rsid w:val="00282C8E"/>
    <w:rsid w:val="00290A4D"/>
    <w:rsid w:val="002969F6"/>
    <w:rsid w:val="002A2CDE"/>
    <w:rsid w:val="002F318F"/>
    <w:rsid w:val="002F7643"/>
    <w:rsid w:val="00303944"/>
    <w:rsid w:val="0032202C"/>
    <w:rsid w:val="00345BBB"/>
    <w:rsid w:val="00346135"/>
    <w:rsid w:val="00347F27"/>
    <w:rsid w:val="00370932"/>
    <w:rsid w:val="00396F3E"/>
    <w:rsid w:val="003A3747"/>
    <w:rsid w:val="003A7C4E"/>
    <w:rsid w:val="003B0237"/>
    <w:rsid w:val="003B1440"/>
    <w:rsid w:val="003B32CB"/>
    <w:rsid w:val="003E0908"/>
    <w:rsid w:val="004003EA"/>
    <w:rsid w:val="00411312"/>
    <w:rsid w:val="004274AD"/>
    <w:rsid w:val="004350D0"/>
    <w:rsid w:val="004811C5"/>
    <w:rsid w:val="004B1E88"/>
    <w:rsid w:val="004B6DA9"/>
    <w:rsid w:val="004D1740"/>
    <w:rsid w:val="004E6A71"/>
    <w:rsid w:val="005073AE"/>
    <w:rsid w:val="00530EB1"/>
    <w:rsid w:val="00536D49"/>
    <w:rsid w:val="00537BB9"/>
    <w:rsid w:val="00553DBD"/>
    <w:rsid w:val="0056006D"/>
    <w:rsid w:val="00587551"/>
    <w:rsid w:val="00591BAF"/>
    <w:rsid w:val="00622D16"/>
    <w:rsid w:val="0063304D"/>
    <w:rsid w:val="006510E1"/>
    <w:rsid w:val="006A15A6"/>
    <w:rsid w:val="006A6305"/>
    <w:rsid w:val="006A6BFA"/>
    <w:rsid w:val="006A7B4E"/>
    <w:rsid w:val="006B2ECC"/>
    <w:rsid w:val="006B620F"/>
    <w:rsid w:val="007113B0"/>
    <w:rsid w:val="007420AC"/>
    <w:rsid w:val="007808C0"/>
    <w:rsid w:val="0079253C"/>
    <w:rsid w:val="007A319D"/>
    <w:rsid w:val="007C64F8"/>
    <w:rsid w:val="00806EEC"/>
    <w:rsid w:val="00880A2F"/>
    <w:rsid w:val="00880A5D"/>
    <w:rsid w:val="008B304E"/>
    <w:rsid w:val="008B3CDF"/>
    <w:rsid w:val="008B64AE"/>
    <w:rsid w:val="008C395D"/>
    <w:rsid w:val="008E1EE5"/>
    <w:rsid w:val="008F43BA"/>
    <w:rsid w:val="009068C1"/>
    <w:rsid w:val="009113CF"/>
    <w:rsid w:val="00924DF8"/>
    <w:rsid w:val="009526CA"/>
    <w:rsid w:val="009A0B09"/>
    <w:rsid w:val="009A2688"/>
    <w:rsid w:val="009D504F"/>
    <w:rsid w:val="00A25907"/>
    <w:rsid w:val="00A442B3"/>
    <w:rsid w:val="00A456D9"/>
    <w:rsid w:val="00A678DF"/>
    <w:rsid w:val="00A87038"/>
    <w:rsid w:val="00A92AFB"/>
    <w:rsid w:val="00AA2226"/>
    <w:rsid w:val="00AA2E20"/>
    <w:rsid w:val="00B274A6"/>
    <w:rsid w:val="00B43D94"/>
    <w:rsid w:val="00B46E87"/>
    <w:rsid w:val="00B74C30"/>
    <w:rsid w:val="00B76C82"/>
    <w:rsid w:val="00B85C6F"/>
    <w:rsid w:val="00BB0A10"/>
    <w:rsid w:val="00BB44D3"/>
    <w:rsid w:val="00BC4684"/>
    <w:rsid w:val="00C07621"/>
    <w:rsid w:val="00C138F9"/>
    <w:rsid w:val="00C245DB"/>
    <w:rsid w:val="00C7344D"/>
    <w:rsid w:val="00CD0455"/>
    <w:rsid w:val="00CE4411"/>
    <w:rsid w:val="00CE6B99"/>
    <w:rsid w:val="00CF3EFD"/>
    <w:rsid w:val="00D0407E"/>
    <w:rsid w:val="00D42AA1"/>
    <w:rsid w:val="00D52A0A"/>
    <w:rsid w:val="00D53DC5"/>
    <w:rsid w:val="00D57CBE"/>
    <w:rsid w:val="00D75E87"/>
    <w:rsid w:val="00D8097B"/>
    <w:rsid w:val="00E1652D"/>
    <w:rsid w:val="00E54A8D"/>
    <w:rsid w:val="00EB7A93"/>
    <w:rsid w:val="00F36772"/>
    <w:rsid w:val="00F429F4"/>
    <w:rsid w:val="00F501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E6961"/>
  <w15:docId w15:val="{B0443118-E4E4-4619-AC55-37B55555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78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78DF"/>
  </w:style>
  <w:style w:type="paragraph" w:styleId="Footer">
    <w:name w:val="footer"/>
    <w:basedOn w:val="Normal"/>
    <w:link w:val="FooterChar"/>
    <w:uiPriority w:val="99"/>
    <w:unhideWhenUsed/>
    <w:rsid w:val="00A678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78DF"/>
  </w:style>
  <w:style w:type="table" w:styleId="TableGrid">
    <w:name w:val="Table Grid"/>
    <w:basedOn w:val="TableNormal"/>
    <w:uiPriority w:val="59"/>
    <w:rsid w:val="00400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2F764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13B0"/>
    <w:rPr>
      <w:color w:val="0000FF" w:themeColor="hyperlink"/>
      <w:u w:val="single"/>
    </w:rPr>
  </w:style>
  <w:style w:type="paragraph" w:styleId="ListParagraph">
    <w:name w:val="List Paragraph"/>
    <w:basedOn w:val="Normal"/>
    <w:uiPriority w:val="34"/>
    <w:qFormat/>
    <w:rsid w:val="007113B0"/>
    <w:pPr>
      <w:ind w:left="720"/>
      <w:contextualSpacing/>
    </w:pPr>
  </w:style>
  <w:style w:type="paragraph" w:customStyle="1" w:styleId="Default">
    <w:name w:val="Default"/>
    <w:rsid w:val="000A2FE6"/>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rsid w:val="00553DB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53DBD"/>
    <w:rPr>
      <w:rFonts w:ascii="Times New Roman" w:eastAsia="Times New Roman" w:hAnsi="Times New Roman" w:cs="Times New Roman"/>
      <w:sz w:val="20"/>
      <w:szCs w:val="20"/>
    </w:rPr>
  </w:style>
  <w:style w:type="character" w:customStyle="1" w:styleId="UnresolvedMention">
    <w:name w:val="Unresolved Mention"/>
    <w:basedOn w:val="DefaultParagraphFont"/>
    <w:uiPriority w:val="99"/>
    <w:semiHidden/>
    <w:unhideWhenUsed/>
    <w:rsid w:val="00553DBD"/>
    <w:rPr>
      <w:color w:val="605E5C"/>
      <w:shd w:val="clear" w:color="auto" w:fill="E1DFDD"/>
    </w:rPr>
  </w:style>
  <w:style w:type="character" w:styleId="CommentReference">
    <w:name w:val="annotation reference"/>
    <w:basedOn w:val="DefaultParagraphFont"/>
    <w:uiPriority w:val="99"/>
    <w:semiHidden/>
    <w:unhideWhenUsed/>
    <w:rsid w:val="008F43BA"/>
    <w:rPr>
      <w:sz w:val="16"/>
      <w:szCs w:val="16"/>
    </w:rPr>
  </w:style>
  <w:style w:type="paragraph" w:styleId="CommentSubject">
    <w:name w:val="annotation subject"/>
    <w:basedOn w:val="CommentText"/>
    <w:next w:val="CommentText"/>
    <w:link w:val="CommentSubjectChar"/>
    <w:uiPriority w:val="99"/>
    <w:semiHidden/>
    <w:unhideWhenUsed/>
    <w:rsid w:val="008F43BA"/>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F43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44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iner.evanschitzky@manchester.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mailto:miguel.martinezlucio@manchester.ac.uk" TargetMode="External"/><Relationship Id="rId4" Type="http://schemas.openxmlformats.org/officeDocument/2006/relationships/settings" Target="settings.xml"/><Relationship Id="rId9" Type="http://schemas.openxmlformats.org/officeDocument/2006/relationships/hyperlink" Target="mailto:Laszlo.czaban@manchester.ac.uk" TargetMode="Externa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manche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C7DD7D-541A-4FF8-A445-3217878A7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2063</Words>
  <Characters>13001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Ryan</dc:creator>
  <cp:lastModifiedBy>Heiner Evanschitzky</cp:lastModifiedBy>
  <cp:revision>2</cp:revision>
  <dcterms:created xsi:type="dcterms:W3CDTF">2021-06-17T06:21:00Z</dcterms:created>
  <dcterms:modified xsi:type="dcterms:W3CDTF">2021-06-17T06:21:00Z</dcterms:modified>
</cp:coreProperties>
</file>