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69" w:type="dxa"/>
        <w:tblInd w:w="-176" w:type="dxa"/>
        <w:tblLook w:val="04A0" w:firstRow="1" w:lastRow="0" w:firstColumn="1" w:lastColumn="0" w:noHBand="0" w:noVBand="1"/>
      </w:tblPr>
      <w:tblGrid>
        <w:gridCol w:w="2988"/>
        <w:gridCol w:w="1741"/>
        <w:gridCol w:w="4940"/>
      </w:tblGrid>
      <w:tr w:rsidR="0063304D" w14:paraId="1F1FF416" w14:textId="77777777" w:rsidTr="00345BBB">
        <w:trPr>
          <w:trHeight w:val="1004"/>
        </w:trPr>
        <w:tc>
          <w:tcPr>
            <w:tcW w:w="9669" w:type="dxa"/>
            <w:gridSpan w:val="3"/>
            <w:shd w:val="clear" w:color="auto" w:fill="7030A0"/>
          </w:tcPr>
          <w:p w14:paraId="3383E5FE" w14:textId="77777777" w:rsidR="0063304D" w:rsidRDefault="0063304D" w:rsidP="0063304D">
            <w:pPr>
              <w:jc w:val="center"/>
              <w:rPr>
                <w:rFonts w:ascii="Arial" w:hAnsi="Arial" w:cs="Arial"/>
                <w:b/>
                <w:sz w:val="28"/>
                <w:szCs w:val="28"/>
              </w:rPr>
            </w:pPr>
          </w:p>
          <w:p w14:paraId="661B0382" w14:textId="1085E5A5" w:rsidR="0063304D" w:rsidRPr="0063304D" w:rsidRDefault="00345BBB"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PGR </w:t>
            </w:r>
            <w:r w:rsidR="0063304D" w:rsidRPr="0063304D">
              <w:rPr>
                <w:rFonts w:ascii="Arial" w:hAnsi="Arial" w:cs="Arial"/>
                <w:b/>
                <w:color w:val="FFFFFF" w:themeColor="background1"/>
                <w:sz w:val="28"/>
                <w:szCs w:val="28"/>
              </w:rPr>
              <w:t xml:space="preserve">Course unit outline </w:t>
            </w:r>
            <w:r w:rsidR="00B274A6">
              <w:rPr>
                <w:rFonts w:ascii="Arial" w:hAnsi="Arial" w:cs="Arial"/>
                <w:b/>
                <w:color w:val="FFFFFF" w:themeColor="background1"/>
                <w:sz w:val="28"/>
                <w:szCs w:val="28"/>
              </w:rPr>
              <w:t>202</w:t>
            </w:r>
            <w:r w:rsidR="003911D3">
              <w:rPr>
                <w:rFonts w:ascii="Arial" w:hAnsi="Arial" w:cs="Arial"/>
                <w:b/>
                <w:color w:val="FFFFFF" w:themeColor="background1"/>
                <w:sz w:val="28"/>
                <w:szCs w:val="28"/>
              </w:rPr>
              <w:t>1</w:t>
            </w:r>
            <w:r w:rsidR="00B274A6">
              <w:rPr>
                <w:rFonts w:ascii="Arial" w:hAnsi="Arial" w:cs="Arial"/>
                <w:b/>
                <w:color w:val="FFFFFF" w:themeColor="background1"/>
                <w:sz w:val="28"/>
                <w:szCs w:val="28"/>
              </w:rPr>
              <w:t>/2</w:t>
            </w:r>
            <w:r w:rsidR="003911D3">
              <w:rPr>
                <w:rFonts w:ascii="Arial" w:hAnsi="Arial" w:cs="Arial"/>
                <w:b/>
                <w:color w:val="FFFFFF" w:themeColor="background1"/>
                <w:sz w:val="28"/>
                <w:szCs w:val="28"/>
              </w:rPr>
              <w:t>2</w:t>
            </w:r>
          </w:p>
          <w:p w14:paraId="356281F2" w14:textId="77777777" w:rsidR="0063304D" w:rsidRDefault="0063304D" w:rsidP="00A678DF">
            <w:pPr>
              <w:jc w:val="center"/>
              <w:rPr>
                <w:rFonts w:ascii="Arial" w:hAnsi="Arial" w:cs="Arial"/>
                <w:b/>
                <w:sz w:val="28"/>
                <w:szCs w:val="28"/>
              </w:rPr>
            </w:pPr>
          </w:p>
        </w:tc>
      </w:tr>
      <w:tr w:rsidR="0063304D" w14:paraId="013F0754" w14:textId="77777777" w:rsidTr="00345BBB">
        <w:tc>
          <w:tcPr>
            <w:tcW w:w="2988" w:type="dxa"/>
            <w:shd w:val="clear" w:color="auto" w:fill="D9D9D9" w:themeFill="background1" w:themeFillShade="D9"/>
          </w:tcPr>
          <w:p w14:paraId="27E3BB4C" w14:textId="77777777" w:rsidR="0063304D" w:rsidRPr="00D42AA1" w:rsidRDefault="0063304D"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14:paraId="66951B23" w14:textId="03F8FF0C" w:rsidR="0063304D" w:rsidRPr="00B274A6" w:rsidRDefault="00D57CBE" w:rsidP="00290A4D">
            <w:pPr>
              <w:rPr>
                <w:rFonts w:cstheme="minorHAnsi"/>
                <w:b/>
              </w:rPr>
            </w:pPr>
            <w:r w:rsidRPr="0056006D">
              <w:rPr>
                <w:rFonts w:cstheme="minorHAnsi"/>
                <w:b/>
              </w:rPr>
              <w:t>BMAN</w:t>
            </w:r>
            <w:r w:rsidR="00EB77B1">
              <w:rPr>
                <w:rFonts w:cstheme="minorHAnsi"/>
                <w:b/>
              </w:rPr>
              <w:t xml:space="preserve"> 80810</w:t>
            </w:r>
          </w:p>
        </w:tc>
      </w:tr>
      <w:tr w:rsidR="0063304D" w14:paraId="79BD92CF" w14:textId="77777777" w:rsidTr="00345BBB">
        <w:tc>
          <w:tcPr>
            <w:tcW w:w="2988" w:type="dxa"/>
            <w:shd w:val="clear" w:color="auto" w:fill="D9D9D9" w:themeFill="background1" w:themeFillShade="D9"/>
          </w:tcPr>
          <w:p w14:paraId="6A08CD6C"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14:paraId="6EBD9301" w14:textId="5A8A0BE9" w:rsidR="0063304D" w:rsidRPr="00EB77B1" w:rsidRDefault="00EB77B1" w:rsidP="00290A4D">
            <w:r w:rsidRPr="00302118">
              <w:t xml:space="preserve">Advanced Topics in Science, Technology and Innovation Policy </w:t>
            </w:r>
          </w:p>
        </w:tc>
      </w:tr>
      <w:tr w:rsidR="0063304D" w14:paraId="1D247F77" w14:textId="77777777" w:rsidTr="00345BBB">
        <w:tc>
          <w:tcPr>
            <w:tcW w:w="2988" w:type="dxa"/>
            <w:shd w:val="clear" w:color="auto" w:fill="D9D9D9" w:themeFill="background1" w:themeFillShade="D9"/>
          </w:tcPr>
          <w:p w14:paraId="78B5FC5E"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 xml:space="preserve">Credit </w:t>
            </w:r>
            <w:r w:rsidR="00B274A6">
              <w:rPr>
                <w:rFonts w:ascii="Calibri" w:hAnsi="Calibri" w:cs="Calibri"/>
                <w:b/>
                <w:sz w:val="24"/>
                <w:szCs w:val="24"/>
              </w:rPr>
              <w:t>value</w:t>
            </w:r>
            <w:r w:rsidRPr="00D42AA1">
              <w:rPr>
                <w:rFonts w:ascii="Calibri" w:hAnsi="Calibri" w:cs="Calibri"/>
                <w:b/>
                <w:sz w:val="24"/>
                <w:szCs w:val="24"/>
              </w:rPr>
              <w:t>:</w:t>
            </w:r>
          </w:p>
        </w:tc>
        <w:tc>
          <w:tcPr>
            <w:tcW w:w="6681" w:type="dxa"/>
            <w:gridSpan w:val="2"/>
          </w:tcPr>
          <w:p w14:paraId="789F9503" w14:textId="4B26DA48" w:rsidR="0063304D" w:rsidRDefault="00EB77B1" w:rsidP="00290A4D">
            <w:pPr>
              <w:rPr>
                <w:rFonts w:ascii="Arial" w:hAnsi="Arial" w:cs="Arial"/>
                <w:b/>
                <w:color w:val="FF0000"/>
                <w:sz w:val="28"/>
                <w:szCs w:val="28"/>
              </w:rPr>
            </w:pPr>
            <w:r w:rsidRPr="00EB77B1">
              <w:t>15</w:t>
            </w:r>
          </w:p>
        </w:tc>
      </w:tr>
      <w:tr w:rsidR="0063304D" w14:paraId="12F70A97" w14:textId="77777777" w:rsidTr="00345BBB">
        <w:tc>
          <w:tcPr>
            <w:tcW w:w="2988" w:type="dxa"/>
            <w:shd w:val="clear" w:color="auto" w:fill="D9D9D9" w:themeFill="background1" w:themeFillShade="D9"/>
          </w:tcPr>
          <w:p w14:paraId="1C3AB6F3" w14:textId="77777777" w:rsidR="00B274A6" w:rsidRPr="00B274A6" w:rsidRDefault="0063304D"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14:paraId="13893D08" w14:textId="4E9EC494" w:rsidR="0063304D" w:rsidRDefault="00EB77B1" w:rsidP="00290A4D">
            <w:pPr>
              <w:rPr>
                <w:rFonts w:ascii="Arial" w:hAnsi="Arial" w:cs="Arial"/>
                <w:b/>
                <w:color w:val="FF0000"/>
                <w:sz w:val="28"/>
                <w:szCs w:val="28"/>
              </w:rPr>
            </w:pPr>
            <w:r w:rsidRPr="00302118">
              <w:t>Semester 1 and Semester 2 (both)</w:t>
            </w:r>
          </w:p>
        </w:tc>
      </w:tr>
      <w:tr w:rsidR="0063304D" w14:paraId="28427417" w14:textId="77777777" w:rsidTr="00345BBB">
        <w:tc>
          <w:tcPr>
            <w:tcW w:w="2988" w:type="dxa"/>
            <w:shd w:val="clear" w:color="auto" w:fill="D9D9D9" w:themeFill="background1" w:themeFillShade="D9"/>
          </w:tcPr>
          <w:p w14:paraId="2A5DFC8D" w14:textId="77777777" w:rsidR="0063304D" w:rsidRPr="00D42AA1" w:rsidRDefault="0063304D" w:rsidP="0063304D">
            <w:pPr>
              <w:rPr>
                <w:rFonts w:ascii="Calibri" w:hAnsi="Calibri" w:cs="Calibri"/>
                <w:b/>
                <w:sz w:val="24"/>
                <w:szCs w:val="24"/>
              </w:rPr>
            </w:pPr>
            <w:r w:rsidRPr="00D42AA1">
              <w:rPr>
                <w:rFonts w:ascii="Calibri" w:hAnsi="Calibri" w:cs="Calibri"/>
                <w:b/>
                <w:sz w:val="24"/>
                <w:szCs w:val="24"/>
              </w:rPr>
              <w:t xml:space="preserve">Course Coordinator </w:t>
            </w:r>
          </w:p>
          <w:p w14:paraId="72AE81D0"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14:paraId="0748DAFD" w14:textId="3CE0D228" w:rsidR="00EB77B1" w:rsidRPr="00C624DF" w:rsidRDefault="003911D3" w:rsidP="00EB77B1">
            <w:pPr>
              <w:rPr>
                <w:highlight w:val="yellow"/>
              </w:rPr>
            </w:pPr>
            <w:r w:rsidRPr="00C624DF">
              <w:rPr>
                <w:highlight w:val="yellow"/>
              </w:rPr>
              <w:t>Kieron Flanagan</w:t>
            </w:r>
          </w:p>
          <w:p w14:paraId="1105C08E" w14:textId="448FD7E9" w:rsidR="00EB77B1" w:rsidRPr="00C624DF" w:rsidRDefault="003911D3" w:rsidP="00EB77B1">
            <w:pPr>
              <w:rPr>
                <w:highlight w:val="yellow"/>
              </w:rPr>
            </w:pPr>
            <w:r w:rsidRPr="00C624DF">
              <w:rPr>
                <w:highlight w:val="yellow"/>
              </w:rPr>
              <w:t xml:space="preserve">AMBS </w:t>
            </w:r>
            <w:r w:rsidR="00C751CC">
              <w:rPr>
                <w:highlight w:val="yellow"/>
              </w:rPr>
              <w:t>8.014,</w:t>
            </w:r>
            <w:r w:rsidRPr="00C624DF">
              <w:rPr>
                <w:highlight w:val="yellow"/>
              </w:rPr>
              <w:t xml:space="preserve"> x5-0920</w:t>
            </w:r>
            <w:r w:rsidR="00EB77B1" w:rsidRPr="00C624DF">
              <w:rPr>
                <w:highlight w:val="yellow"/>
              </w:rPr>
              <w:t xml:space="preserve">; </w:t>
            </w:r>
            <w:r w:rsidRPr="00C624DF">
              <w:rPr>
                <w:highlight w:val="yellow"/>
              </w:rPr>
              <w:t xml:space="preserve">Email: </w:t>
            </w:r>
            <w:hyperlink r:id="rId8" w:history="1">
              <w:r w:rsidRPr="00C624DF">
                <w:rPr>
                  <w:rStyle w:val="Hyperlink"/>
                  <w:highlight w:val="yellow"/>
                </w:rPr>
                <w:t>kieron.flanagan@manchester.ac.uk</w:t>
              </w:r>
            </w:hyperlink>
            <w:r w:rsidRPr="00C624DF">
              <w:rPr>
                <w:highlight w:val="yellow"/>
              </w:rPr>
              <w:t xml:space="preserve"> </w:t>
            </w:r>
          </w:p>
          <w:p w14:paraId="7A95AE7F" w14:textId="0BA82512" w:rsidR="0063304D" w:rsidRDefault="00EB77B1" w:rsidP="00EB77B1">
            <w:r w:rsidRPr="00C624DF">
              <w:rPr>
                <w:highlight w:val="yellow"/>
              </w:rPr>
              <w:t>Office Hours: by appointment</w:t>
            </w:r>
          </w:p>
          <w:p w14:paraId="2DB4098D" w14:textId="315BA06F" w:rsidR="00EB77B1" w:rsidRDefault="00EB77B1" w:rsidP="00EB77B1"/>
          <w:p w14:paraId="232696C5" w14:textId="0004F765" w:rsidR="00EB77B1" w:rsidRDefault="00EB77B1" w:rsidP="00EB77B1">
            <w:r>
              <w:t>Cornelia Lawson</w:t>
            </w:r>
          </w:p>
          <w:p w14:paraId="0332E332" w14:textId="76FD3962" w:rsidR="00D970A2" w:rsidRDefault="00EB77B1" w:rsidP="00EB77B1">
            <w:r>
              <w:t xml:space="preserve">AMBS 8.022; x5-7253; Email: </w:t>
            </w:r>
            <w:hyperlink r:id="rId9" w:history="1">
              <w:r w:rsidR="00D970A2" w:rsidRPr="006066C2">
                <w:rPr>
                  <w:rStyle w:val="Hyperlink"/>
                </w:rPr>
                <w:t>cornelia.lawson@manchester.ac.uk</w:t>
              </w:r>
            </w:hyperlink>
          </w:p>
          <w:p w14:paraId="692B206C" w14:textId="36AFA70B" w:rsidR="004F6BE4" w:rsidRDefault="004F6BE4" w:rsidP="003911D3">
            <w:r w:rsidRPr="00C624DF">
              <w:rPr>
                <w:highlight w:val="yellow"/>
              </w:rPr>
              <w:t xml:space="preserve">Office Hours: </w:t>
            </w:r>
            <w:r w:rsidR="003911D3" w:rsidRPr="00C624DF">
              <w:rPr>
                <w:highlight w:val="yellow"/>
              </w:rPr>
              <w:t>by appointment</w:t>
            </w:r>
            <w:r>
              <w:t xml:space="preserve"> </w:t>
            </w:r>
          </w:p>
          <w:p w14:paraId="2BB70B8A" w14:textId="52D20D7B" w:rsidR="00EB77B1" w:rsidRPr="00B274A6" w:rsidRDefault="00EB77B1" w:rsidP="00EB77B1">
            <w:pPr>
              <w:rPr>
                <w:rFonts w:ascii="Arial" w:hAnsi="Arial" w:cs="Arial"/>
                <w:b/>
                <w:color w:val="FF0000"/>
                <w:sz w:val="24"/>
                <w:szCs w:val="24"/>
              </w:rPr>
            </w:pPr>
          </w:p>
        </w:tc>
      </w:tr>
      <w:tr w:rsidR="0063304D" w14:paraId="4508735E" w14:textId="77777777" w:rsidTr="00345BBB">
        <w:tc>
          <w:tcPr>
            <w:tcW w:w="2988" w:type="dxa"/>
            <w:shd w:val="clear" w:color="auto" w:fill="D9D9D9" w:themeFill="background1" w:themeFillShade="D9"/>
          </w:tcPr>
          <w:p w14:paraId="186C70B9"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14:paraId="132D1EEF" w14:textId="7B6FFDF1" w:rsidR="0063304D" w:rsidRPr="00EB77B1" w:rsidRDefault="00EB77B1" w:rsidP="00290A4D">
            <w:r>
              <w:t>N/A</w:t>
            </w:r>
          </w:p>
        </w:tc>
      </w:tr>
      <w:tr w:rsidR="00345BBB" w14:paraId="096C6CDD" w14:textId="77777777" w:rsidTr="00345BBB">
        <w:tc>
          <w:tcPr>
            <w:tcW w:w="2988" w:type="dxa"/>
            <w:shd w:val="clear" w:color="auto" w:fill="D9D9D9" w:themeFill="background1" w:themeFillShade="D9"/>
          </w:tcPr>
          <w:p w14:paraId="703EADFE" w14:textId="77777777" w:rsidR="00345BBB" w:rsidRDefault="00345BBB" w:rsidP="0063304D">
            <w:pPr>
              <w:rPr>
                <w:rFonts w:ascii="Calibri" w:hAnsi="Calibri" w:cs="Calibri"/>
                <w:b/>
                <w:sz w:val="24"/>
                <w:szCs w:val="24"/>
              </w:rPr>
            </w:pPr>
            <w:r>
              <w:rPr>
                <w:rFonts w:ascii="Calibri" w:hAnsi="Calibri" w:cs="Calibri"/>
                <w:b/>
                <w:sz w:val="24"/>
                <w:szCs w:val="24"/>
              </w:rPr>
              <w:t>Pre-requisites</w:t>
            </w:r>
          </w:p>
          <w:p w14:paraId="2FA5E91A" w14:textId="77777777" w:rsidR="00345BBB" w:rsidRDefault="00345BBB" w:rsidP="0063304D">
            <w:pPr>
              <w:rPr>
                <w:rFonts w:ascii="Calibri" w:hAnsi="Calibri" w:cs="Calibri"/>
                <w:b/>
                <w:sz w:val="24"/>
                <w:szCs w:val="24"/>
              </w:rPr>
            </w:pPr>
            <w:r>
              <w:rPr>
                <w:rFonts w:ascii="Calibri" w:hAnsi="Calibri" w:cs="Calibri"/>
                <w:b/>
                <w:sz w:val="24"/>
                <w:szCs w:val="24"/>
              </w:rPr>
              <w:t>Co-requisites</w:t>
            </w:r>
          </w:p>
          <w:p w14:paraId="0AEC5FCB" w14:textId="77777777" w:rsidR="00345BBB" w:rsidRDefault="00B274A6" w:rsidP="0063304D">
            <w:pPr>
              <w:rPr>
                <w:rFonts w:ascii="Calibri" w:hAnsi="Calibri" w:cs="Calibri"/>
                <w:b/>
                <w:sz w:val="24"/>
                <w:szCs w:val="24"/>
              </w:rPr>
            </w:pPr>
            <w:r>
              <w:rPr>
                <w:rFonts w:ascii="Calibri" w:hAnsi="Calibri" w:cs="Calibri"/>
                <w:b/>
                <w:sz w:val="24"/>
                <w:szCs w:val="24"/>
              </w:rPr>
              <w:t>Dependent course units</w:t>
            </w:r>
          </w:p>
          <w:p w14:paraId="29239DF4" w14:textId="77777777" w:rsidR="00B274A6" w:rsidRPr="00D42AA1" w:rsidRDefault="00B274A6" w:rsidP="0063304D">
            <w:pPr>
              <w:rPr>
                <w:rFonts w:ascii="Calibri" w:hAnsi="Calibri" w:cs="Calibri"/>
                <w:b/>
                <w:sz w:val="24"/>
                <w:szCs w:val="24"/>
              </w:rPr>
            </w:pPr>
            <w:r>
              <w:rPr>
                <w:rFonts w:ascii="Calibri" w:hAnsi="Calibri" w:cs="Calibri"/>
                <w:b/>
                <w:sz w:val="24"/>
                <w:szCs w:val="24"/>
              </w:rPr>
              <w:t>Restrictions</w:t>
            </w:r>
          </w:p>
        </w:tc>
        <w:tc>
          <w:tcPr>
            <w:tcW w:w="6681" w:type="dxa"/>
            <w:gridSpan w:val="2"/>
          </w:tcPr>
          <w:p w14:paraId="566F5DC0" w14:textId="0FA925A3" w:rsidR="00345BBB" w:rsidRPr="00EB77B1" w:rsidRDefault="00EB77B1" w:rsidP="00D57CBE">
            <w:r w:rsidRPr="00EB77B1">
              <w:t>None</w:t>
            </w:r>
          </w:p>
        </w:tc>
      </w:tr>
      <w:tr w:rsidR="00A25907" w14:paraId="4E80BA33" w14:textId="77777777" w:rsidTr="00345BBB">
        <w:tc>
          <w:tcPr>
            <w:tcW w:w="9669" w:type="dxa"/>
            <w:gridSpan w:val="3"/>
            <w:shd w:val="clear" w:color="auto" w:fill="7030A0"/>
          </w:tcPr>
          <w:p w14:paraId="1F991328" w14:textId="77777777" w:rsidR="00A25907" w:rsidRPr="00F429F4" w:rsidRDefault="00F429F4"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F429F4" w14:paraId="3FEE9277" w14:textId="77777777" w:rsidTr="00345BBB">
        <w:tc>
          <w:tcPr>
            <w:tcW w:w="9669" w:type="dxa"/>
            <w:gridSpan w:val="3"/>
            <w:shd w:val="clear" w:color="auto" w:fill="auto"/>
          </w:tcPr>
          <w:p w14:paraId="4FEDC091" w14:textId="77777777" w:rsidR="00EB77B1" w:rsidRDefault="00EB77B1" w:rsidP="004003EA"/>
          <w:p w14:paraId="193EE6FE" w14:textId="77777777" w:rsidR="00F429F4" w:rsidRDefault="00EB77B1" w:rsidP="004003EA">
            <w:r>
              <w:t>I</w:t>
            </w:r>
            <w:r w:rsidRPr="00EB77B1">
              <w:t>ntroduce</w:t>
            </w:r>
            <w:r>
              <w:t>s</w:t>
            </w:r>
            <w:r w:rsidRPr="00EB77B1">
              <w:t xml:space="preserve"> and explore</w:t>
            </w:r>
            <w:r>
              <w:t>s</w:t>
            </w:r>
            <w:r w:rsidRPr="00EB77B1">
              <w:t xml:space="preserve"> advanced topics in science, technology and innovation policy</w:t>
            </w:r>
          </w:p>
          <w:p w14:paraId="701A6701" w14:textId="2452D840" w:rsidR="00EB77B1" w:rsidRDefault="00EB77B1" w:rsidP="004003EA">
            <w:pPr>
              <w:rPr>
                <w:rFonts w:ascii="Arial" w:hAnsi="Arial" w:cs="Arial"/>
                <w:b/>
                <w:color w:val="FFFFFF" w:themeColor="background1"/>
                <w:sz w:val="24"/>
                <w:szCs w:val="24"/>
              </w:rPr>
            </w:pPr>
          </w:p>
        </w:tc>
      </w:tr>
      <w:tr w:rsidR="004003EA" w14:paraId="451BBB48" w14:textId="77777777" w:rsidTr="00345BBB">
        <w:tc>
          <w:tcPr>
            <w:tcW w:w="9669" w:type="dxa"/>
            <w:gridSpan w:val="3"/>
            <w:shd w:val="clear" w:color="auto" w:fill="7030A0"/>
          </w:tcPr>
          <w:p w14:paraId="3E75B7DF"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C7344D" w14:paraId="7A19542A" w14:textId="77777777" w:rsidTr="00345BBB">
        <w:tc>
          <w:tcPr>
            <w:tcW w:w="9669" w:type="dxa"/>
            <w:gridSpan w:val="3"/>
          </w:tcPr>
          <w:p w14:paraId="53EC87C1" w14:textId="77777777" w:rsidR="00C7344D" w:rsidRDefault="00C7344D" w:rsidP="004003EA">
            <w:pPr>
              <w:rPr>
                <w:rFonts w:ascii="Arial" w:hAnsi="Arial" w:cs="Arial"/>
                <w:b/>
                <w:sz w:val="24"/>
                <w:szCs w:val="24"/>
              </w:rPr>
            </w:pPr>
          </w:p>
          <w:p w14:paraId="3420E5B5" w14:textId="294D627A" w:rsidR="00C7344D" w:rsidRPr="00EB77B1" w:rsidRDefault="00EB77B1" w:rsidP="00EB77B1">
            <w:r w:rsidRPr="00EB77B1">
              <w:t>This module introduce</w:t>
            </w:r>
            <w:r>
              <w:t>s</w:t>
            </w:r>
            <w:r w:rsidRPr="00EB77B1">
              <w:t xml:space="preserve"> and explore</w:t>
            </w:r>
            <w:r>
              <w:t>s</w:t>
            </w:r>
            <w:r w:rsidRPr="00EB77B1">
              <w:t xml:space="preserve"> advanced topics in science, technology and innovation policy.</w:t>
            </w:r>
            <w:r>
              <w:t xml:space="preserve"> </w:t>
            </w:r>
            <w:r w:rsidRPr="00EB77B1">
              <w:t>The module is targeted to post-graduate students with research interests related to science, technology, and innovation policy.</w:t>
            </w:r>
          </w:p>
          <w:p w14:paraId="6D192E7D" w14:textId="77777777" w:rsidR="00CF3EFD" w:rsidRDefault="00CF3EFD" w:rsidP="004003EA">
            <w:pPr>
              <w:rPr>
                <w:rFonts w:ascii="Arial" w:hAnsi="Arial" w:cs="Arial"/>
                <w:b/>
                <w:sz w:val="24"/>
                <w:szCs w:val="24"/>
              </w:rPr>
            </w:pPr>
          </w:p>
        </w:tc>
      </w:tr>
      <w:tr w:rsidR="004003EA" w14:paraId="07BFDAEF" w14:textId="77777777" w:rsidTr="00345BBB">
        <w:tc>
          <w:tcPr>
            <w:tcW w:w="9669" w:type="dxa"/>
            <w:gridSpan w:val="3"/>
            <w:shd w:val="clear" w:color="auto" w:fill="7030A0"/>
          </w:tcPr>
          <w:p w14:paraId="38BEB8AF"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CF3EFD" w14:paraId="5D14039D" w14:textId="77777777" w:rsidTr="00345BBB">
        <w:tc>
          <w:tcPr>
            <w:tcW w:w="9669" w:type="dxa"/>
            <w:gridSpan w:val="3"/>
          </w:tcPr>
          <w:p w14:paraId="134ABF2D" w14:textId="26DA5170" w:rsidR="00EB77B1" w:rsidRPr="00EB77B1" w:rsidRDefault="00EB77B1" w:rsidP="00EB77B1">
            <w:pPr>
              <w:spacing w:before="120" w:after="120"/>
            </w:pPr>
            <w:r w:rsidRPr="00EB77B1">
              <w:t>On completion of this unit successful students will:</w:t>
            </w:r>
          </w:p>
          <w:p w14:paraId="3594D520" w14:textId="76394177" w:rsidR="00EB77B1" w:rsidRPr="00EB77B1" w:rsidRDefault="00EB77B1" w:rsidP="00EB77B1">
            <w:pPr>
              <w:pStyle w:val="ListParagraph"/>
              <w:numPr>
                <w:ilvl w:val="0"/>
                <w:numId w:val="1"/>
              </w:numPr>
              <w:spacing w:before="120" w:after="120"/>
            </w:pPr>
            <w:r w:rsidRPr="00EB77B1">
              <w:t xml:space="preserve">Enhance their understanding of key and emerging topics in science, technology and innovation policy </w:t>
            </w:r>
          </w:p>
          <w:p w14:paraId="29C0F3CF" w14:textId="20053C51" w:rsidR="00EB77B1" w:rsidRPr="00EB77B1" w:rsidRDefault="00EB77B1" w:rsidP="00EB77B1">
            <w:pPr>
              <w:pStyle w:val="ListParagraph"/>
              <w:numPr>
                <w:ilvl w:val="0"/>
                <w:numId w:val="1"/>
              </w:numPr>
              <w:spacing w:before="120" w:after="120"/>
            </w:pPr>
            <w:r w:rsidRPr="00EB77B1">
              <w:t>Become conversant with current and classical literature sources on these topics.</w:t>
            </w:r>
          </w:p>
          <w:p w14:paraId="6A56151A" w14:textId="6BC84267" w:rsidR="00EB77B1" w:rsidRPr="00EB77B1" w:rsidRDefault="00EB77B1" w:rsidP="00EB77B1">
            <w:pPr>
              <w:pStyle w:val="ListParagraph"/>
              <w:numPr>
                <w:ilvl w:val="0"/>
                <w:numId w:val="1"/>
              </w:numPr>
              <w:spacing w:before="120" w:after="120"/>
            </w:pPr>
            <w:r w:rsidRPr="00EB77B1">
              <w:t>Understand the conceptual underpinnings, and contrasting perspectives, that influence debates on these topics.</w:t>
            </w:r>
          </w:p>
          <w:p w14:paraId="4C359BF1" w14:textId="5BDAEECF" w:rsidR="00EB77B1" w:rsidRDefault="00EB77B1" w:rsidP="00EB77B1">
            <w:pPr>
              <w:pStyle w:val="ListParagraph"/>
              <w:numPr>
                <w:ilvl w:val="0"/>
                <w:numId w:val="1"/>
              </w:numPr>
              <w:spacing w:before="120" w:after="120"/>
            </w:pPr>
            <w:r w:rsidRPr="00EB77B1">
              <w:t>Realise the interlinked role of theories and systems in framing science, technology and innovation policies.</w:t>
            </w:r>
          </w:p>
          <w:p w14:paraId="2F153EB9" w14:textId="31CBEAF8" w:rsidR="00CF3EFD" w:rsidRDefault="00EB77B1" w:rsidP="0087271C">
            <w:pPr>
              <w:spacing w:before="120" w:after="120"/>
              <w:rPr>
                <w:rFonts w:eastAsia="Batang" w:cs="Arial"/>
                <w:color w:val="FF0000"/>
                <w:lang w:eastAsia="de-DE"/>
              </w:rPr>
            </w:pPr>
            <w:r>
              <w:t xml:space="preserve">The module will strengthen key skills in analysing scholarly and policy materials, critiquing </w:t>
            </w:r>
            <w:r w:rsidR="0087271C">
              <w:t>research designs and literature, and formulating and presenting independent perspectives.</w:t>
            </w:r>
          </w:p>
        </w:tc>
      </w:tr>
      <w:tr w:rsidR="004003EA" w14:paraId="7A63C690" w14:textId="77777777" w:rsidTr="00345BBB">
        <w:tc>
          <w:tcPr>
            <w:tcW w:w="9669" w:type="dxa"/>
            <w:gridSpan w:val="3"/>
            <w:shd w:val="clear" w:color="auto" w:fill="7030A0"/>
          </w:tcPr>
          <w:p w14:paraId="63DB9804" w14:textId="77777777" w:rsidR="004003EA" w:rsidRPr="004003EA" w:rsidRDefault="0056006D" w:rsidP="004003EA">
            <w:pPr>
              <w:rPr>
                <w:rFonts w:ascii="Arial" w:hAnsi="Arial" w:cs="Arial"/>
                <w:b/>
                <w:color w:val="FFFFFF" w:themeColor="background1"/>
                <w:sz w:val="24"/>
                <w:szCs w:val="24"/>
              </w:rPr>
            </w:pPr>
            <w:r>
              <w:rPr>
                <w:rFonts w:ascii="Arial" w:hAnsi="Arial" w:cs="Arial"/>
                <w:b/>
                <w:color w:val="FFFFFF" w:themeColor="background1"/>
                <w:sz w:val="24"/>
                <w:szCs w:val="24"/>
              </w:rPr>
              <w:t>Syllabus</w:t>
            </w:r>
            <w:r w:rsidR="00B274A6">
              <w:rPr>
                <w:rFonts w:ascii="Arial" w:hAnsi="Arial" w:cs="Arial"/>
                <w:b/>
                <w:color w:val="FFFFFF" w:themeColor="background1"/>
                <w:sz w:val="24"/>
                <w:szCs w:val="24"/>
              </w:rPr>
              <w:t xml:space="preserve"> content</w:t>
            </w:r>
          </w:p>
        </w:tc>
      </w:tr>
      <w:tr w:rsidR="00C7344D" w14:paraId="7B4AF59C" w14:textId="77777777" w:rsidTr="00345BBB">
        <w:tc>
          <w:tcPr>
            <w:tcW w:w="9669" w:type="dxa"/>
            <w:gridSpan w:val="3"/>
          </w:tcPr>
          <w:p w14:paraId="1ABFFA6A" w14:textId="77777777" w:rsidR="00C7344D" w:rsidRPr="00DA3472" w:rsidRDefault="00C7344D" w:rsidP="00DA3472"/>
          <w:p w14:paraId="31E171BC" w14:textId="004DEC59" w:rsidR="00DA3472" w:rsidRPr="00DA3472" w:rsidRDefault="00DA3472" w:rsidP="00DA3472">
            <w:r w:rsidRPr="00DA3472">
              <w:t xml:space="preserve">The module </w:t>
            </w:r>
            <w:r>
              <w:t xml:space="preserve">engages </w:t>
            </w:r>
            <w:r w:rsidRPr="00DA3472">
              <w:t xml:space="preserve">researchers </w:t>
            </w:r>
            <w:r>
              <w:t>i</w:t>
            </w:r>
            <w:r w:rsidRPr="00DA3472">
              <w:t>n science, technology and innovation policy</w:t>
            </w:r>
            <w:r>
              <w:t>; d</w:t>
            </w:r>
            <w:r w:rsidRPr="00DA3472">
              <w:t xml:space="preserve">omains of science, technology and innovation policy </w:t>
            </w:r>
            <w:r>
              <w:t xml:space="preserve">are examined; </w:t>
            </w:r>
            <w:r w:rsidR="00973859" w:rsidRPr="00973859">
              <w:t xml:space="preserve">with attention to the evolution of theory and literature and relationships with policy from an interdisciplinary perspective. </w:t>
            </w:r>
          </w:p>
          <w:p w14:paraId="1C39BE24" w14:textId="77777777" w:rsidR="00DA3472" w:rsidRDefault="00DA3472" w:rsidP="00DA3472"/>
          <w:p w14:paraId="30D51755" w14:textId="0F4508C8" w:rsidR="00DA3472" w:rsidRDefault="00DA3472" w:rsidP="00DA3472">
            <w:r w:rsidRPr="00DA3472">
              <w:t>The seminars will each focus on a particular topic in science, technology, and innovation policy, with prior targeted reading, and with review and discussion. Key authors and experts will be invited to present at these seminars. Examples of topics to be discussed include: The aims of science policy; technology, sustainability, and inclusive development; assessing innovation policy impacts; the new revolution in production; and policies for emerging technologies.</w:t>
            </w:r>
            <w:r w:rsidR="00135E0E">
              <w:t xml:space="preserve"> </w:t>
            </w:r>
            <w:r w:rsidR="00135E0E" w:rsidRPr="00135E0E">
              <w:t>Individual readings will be assigned ahead of each course session</w:t>
            </w:r>
            <w:r w:rsidR="006A55A5">
              <w:t xml:space="preserve">, with </w:t>
            </w:r>
            <w:r w:rsidR="00E82C58">
              <w:t xml:space="preserve">the </w:t>
            </w:r>
            <w:r w:rsidR="006A55A5">
              <w:t>expectation that students will have read and be prepared to discuss these readings.</w:t>
            </w:r>
          </w:p>
          <w:p w14:paraId="666EA836" w14:textId="3E380B5D" w:rsidR="009B70B9" w:rsidRDefault="009B70B9" w:rsidP="00DA3472"/>
          <w:p w14:paraId="0718D045" w14:textId="661FE083" w:rsidR="009B70B9" w:rsidRDefault="009B70B9" w:rsidP="00DA3472">
            <w:r>
              <w:t xml:space="preserve">In addition to the seminars, individual tutorial meetings will be arranged with each registered student </w:t>
            </w:r>
            <w:r w:rsidR="007314FA">
              <w:t xml:space="preserve">in each semester </w:t>
            </w:r>
            <w:r>
              <w:t>to discuss their own research</w:t>
            </w:r>
            <w:r w:rsidR="007314FA">
              <w:t xml:space="preserve">, </w:t>
            </w:r>
            <w:r>
              <w:t>linkages with seminar topics and methods</w:t>
            </w:r>
            <w:r w:rsidR="007314FA">
              <w:t>, readings and assignments.</w:t>
            </w:r>
          </w:p>
          <w:p w14:paraId="2CBE80D0" w14:textId="77777777" w:rsidR="00DA3472" w:rsidRPr="00DA3472" w:rsidRDefault="00DA3472" w:rsidP="00DA3472"/>
          <w:p w14:paraId="79330FD9" w14:textId="2A64BD63" w:rsidR="00DA3472" w:rsidRDefault="00DA3472" w:rsidP="00DA3472">
            <w:r w:rsidRPr="00DA3472">
              <w:t xml:space="preserve">The capstone discussion will review debates and learning. Students will present and discuss their own perspectives on self-identified topics </w:t>
            </w:r>
            <w:r>
              <w:t xml:space="preserve">(typically related to their research project) </w:t>
            </w:r>
            <w:r w:rsidRPr="00DA3472">
              <w:t xml:space="preserve">in science, technology, and innovation policy, with reference to key literature sources and consideration of the linkages between theory and policy.   </w:t>
            </w:r>
          </w:p>
          <w:p w14:paraId="75C2549B" w14:textId="3B34AFC0" w:rsidR="00C624DF" w:rsidRDefault="00C624DF" w:rsidP="00DA3472"/>
          <w:p w14:paraId="75C33119" w14:textId="6632CFDC" w:rsidR="00C624DF" w:rsidRPr="00DA3472" w:rsidRDefault="00C624DF" w:rsidP="00C624DF">
            <w:r w:rsidRPr="00E90D11">
              <w:rPr>
                <w:highlight w:val="yellow"/>
              </w:rPr>
              <w:t>In 2021-</w:t>
            </w:r>
            <w:r w:rsidRPr="00C624DF">
              <w:rPr>
                <w:highlight w:val="yellow"/>
              </w:rPr>
              <w:t>2022, teaching in the module will</w:t>
            </w:r>
            <w:r w:rsidR="00C751CC">
              <w:rPr>
                <w:highlight w:val="yellow"/>
              </w:rPr>
              <w:t xml:space="preserve"> </w:t>
            </w:r>
            <w:r w:rsidRPr="00C624DF">
              <w:rPr>
                <w:highlight w:val="yellow"/>
              </w:rPr>
              <w:t>conform with current university and AMBS COVID-19 guidelines</w:t>
            </w:r>
            <w:r>
              <w:rPr>
                <w:highlight w:val="yellow"/>
              </w:rPr>
              <w:t>. In Semester 1 students will be able to study on campus or remotely</w:t>
            </w:r>
            <w:r w:rsidRPr="00C624DF">
              <w:rPr>
                <w:highlight w:val="yellow"/>
              </w:rPr>
              <w:t>.</w:t>
            </w:r>
            <w:r>
              <w:t xml:space="preserve"> </w:t>
            </w:r>
            <w:r w:rsidRPr="00E90D11">
              <w:rPr>
                <w:highlight w:val="yellow"/>
              </w:rPr>
              <w:t>All course readings and other materials will be available online.</w:t>
            </w:r>
            <w:r>
              <w:t xml:space="preserve"> </w:t>
            </w:r>
          </w:p>
          <w:p w14:paraId="6F4732E3" w14:textId="77777777" w:rsidR="00C624DF" w:rsidRPr="00DA3472" w:rsidRDefault="00C624DF" w:rsidP="00DA3472"/>
          <w:p w14:paraId="139FFA1D" w14:textId="19987FDF" w:rsidR="00B612B3" w:rsidRPr="00DA3472" w:rsidRDefault="00B612B3" w:rsidP="00BF65F1"/>
        </w:tc>
      </w:tr>
      <w:tr w:rsidR="009A2688" w:rsidRPr="004003EA" w14:paraId="4D665FDD" w14:textId="77777777" w:rsidTr="00345BBB">
        <w:tc>
          <w:tcPr>
            <w:tcW w:w="9669" w:type="dxa"/>
            <w:gridSpan w:val="3"/>
            <w:shd w:val="clear" w:color="auto" w:fill="7030A0"/>
          </w:tcPr>
          <w:p w14:paraId="05BD6207" w14:textId="77777777" w:rsidR="009A2688" w:rsidRPr="004003EA" w:rsidRDefault="00C7344D" w:rsidP="003A0F8F">
            <w:pPr>
              <w:rPr>
                <w:rFonts w:ascii="Arial" w:hAnsi="Arial" w:cs="Arial"/>
                <w:b/>
                <w:color w:val="FFFFFF" w:themeColor="background1"/>
                <w:sz w:val="24"/>
                <w:szCs w:val="24"/>
              </w:rPr>
            </w:pPr>
            <w:r>
              <w:rPr>
                <w:rFonts w:ascii="Arial" w:hAnsi="Arial" w:cs="Arial"/>
                <w:b/>
                <w:color w:val="FFFFFF" w:themeColor="background1"/>
                <w:sz w:val="24"/>
                <w:szCs w:val="24"/>
              </w:rPr>
              <w:lastRenderedPageBreak/>
              <w:t>M</w:t>
            </w:r>
            <w:r w:rsidR="00AA2E20">
              <w:rPr>
                <w:rFonts w:ascii="Arial" w:hAnsi="Arial" w:cs="Arial"/>
                <w:b/>
                <w:color w:val="FFFFFF" w:themeColor="background1"/>
                <w:sz w:val="24"/>
                <w:szCs w:val="24"/>
              </w:rPr>
              <w:t>ethods of d</w:t>
            </w:r>
            <w:r w:rsidR="009A2688">
              <w:rPr>
                <w:rFonts w:ascii="Arial" w:hAnsi="Arial" w:cs="Arial"/>
                <w:b/>
                <w:color w:val="FFFFFF" w:themeColor="background1"/>
                <w:sz w:val="24"/>
                <w:szCs w:val="24"/>
              </w:rPr>
              <w:t>elivery</w:t>
            </w:r>
          </w:p>
        </w:tc>
      </w:tr>
      <w:tr w:rsidR="00AA2E20" w14:paraId="3EE05597" w14:textId="77777777" w:rsidTr="006A15A6">
        <w:tc>
          <w:tcPr>
            <w:tcW w:w="4729" w:type="dxa"/>
            <w:gridSpan w:val="2"/>
            <w:shd w:val="clear" w:color="auto" w:fill="D9D9D9" w:themeFill="background1" w:themeFillShade="D9"/>
          </w:tcPr>
          <w:p w14:paraId="6B787966"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Lectures</w:t>
            </w:r>
          </w:p>
        </w:tc>
        <w:tc>
          <w:tcPr>
            <w:tcW w:w="4940" w:type="dxa"/>
          </w:tcPr>
          <w:p w14:paraId="07D62F46" w14:textId="70D3FAAF" w:rsidR="00AA2E20" w:rsidRPr="00BE4C63" w:rsidRDefault="009B70B9" w:rsidP="00003E4A">
            <w:r>
              <w:t>--</w:t>
            </w:r>
          </w:p>
        </w:tc>
      </w:tr>
      <w:tr w:rsidR="00AA2E20" w14:paraId="7E04A22F" w14:textId="77777777" w:rsidTr="006A15A6">
        <w:tc>
          <w:tcPr>
            <w:tcW w:w="4729" w:type="dxa"/>
            <w:gridSpan w:val="2"/>
            <w:shd w:val="clear" w:color="auto" w:fill="D9D9D9" w:themeFill="background1" w:themeFillShade="D9"/>
          </w:tcPr>
          <w:p w14:paraId="3F404E6F"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Seminar/Tutorial/Workshop/Lab Hours</w:t>
            </w:r>
          </w:p>
          <w:p w14:paraId="210DC43B" w14:textId="77777777" w:rsidR="00AA2E20" w:rsidRPr="00D42AA1" w:rsidRDefault="00AA2E20" w:rsidP="004003EA">
            <w:pPr>
              <w:rPr>
                <w:rFonts w:ascii="Calibri" w:hAnsi="Calibri" w:cs="Calibri"/>
                <w:b/>
                <w:sz w:val="24"/>
                <w:szCs w:val="24"/>
              </w:rPr>
            </w:pPr>
          </w:p>
        </w:tc>
        <w:tc>
          <w:tcPr>
            <w:tcW w:w="4940" w:type="dxa"/>
          </w:tcPr>
          <w:p w14:paraId="282DBEFC" w14:textId="07CF336E" w:rsidR="00AA2E20" w:rsidRPr="00BE4C63" w:rsidRDefault="009B70B9" w:rsidP="004003EA">
            <w:r>
              <w:t>30 hours</w:t>
            </w:r>
          </w:p>
        </w:tc>
      </w:tr>
      <w:tr w:rsidR="00AA2E20" w14:paraId="3839E566" w14:textId="77777777" w:rsidTr="006A15A6">
        <w:tc>
          <w:tcPr>
            <w:tcW w:w="4729" w:type="dxa"/>
            <w:gridSpan w:val="2"/>
            <w:shd w:val="clear" w:color="auto" w:fill="D9D9D9" w:themeFill="background1" w:themeFillShade="D9"/>
          </w:tcPr>
          <w:p w14:paraId="12CEE0B6" w14:textId="77777777" w:rsidR="00AA2E20" w:rsidRPr="00D42AA1" w:rsidRDefault="00CF3EFD" w:rsidP="004003EA">
            <w:pPr>
              <w:rPr>
                <w:rFonts w:ascii="Calibri" w:hAnsi="Calibri" w:cs="Calibri"/>
                <w:b/>
                <w:sz w:val="24"/>
                <w:szCs w:val="24"/>
              </w:rPr>
            </w:pPr>
            <w:r>
              <w:rPr>
                <w:rFonts w:ascii="Calibri" w:hAnsi="Calibri" w:cs="Calibri"/>
                <w:b/>
                <w:sz w:val="24"/>
                <w:szCs w:val="24"/>
              </w:rPr>
              <w:t>Independent</w:t>
            </w:r>
            <w:r w:rsidR="00AA2E20" w:rsidRPr="00D42AA1">
              <w:rPr>
                <w:rFonts w:ascii="Calibri" w:hAnsi="Calibri" w:cs="Calibri"/>
                <w:b/>
                <w:sz w:val="24"/>
                <w:szCs w:val="24"/>
              </w:rPr>
              <w:t xml:space="preserve"> Study</w:t>
            </w:r>
          </w:p>
        </w:tc>
        <w:tc>
          <w:tcPr>
            <w:tcW w:w="4940" w:type="dxa"/>
          </w:tcPr>
          <w:p w14:paraId="258F4E81" w14:textId="3D5BFA59" w:rsidR="00AA2E20" w:rsidRPr="00BE4C63" w:rsidRDefault="00BE4C63" w:rsidP="004003EA">
            <w:r>
              <w:t>120 hours</w:t>
            </w:r>
          </w:p>
          <w:p w14:paraId="05C38109" w14:textId="77777777" w:rsidR="00B274A6" w:rsidRPr="00BE4C63" w:rsidRDefault="00B274A6" w:rsidP="004003EA"/>
        </w:tc>
      </w:tr>
      <w:tr w:rsidR="00AA2E20" w14:paraId="5397313B" w14:textId="77777777" w:rsidTr="006A15A6">
        <w:tc>
          <w:tcPr>
            <w:tcW w:w="4729" w:type="dxa"/>
            <w:gridSpan w:val="2"/>
            <w:shd w:val="clear" w:color="auto" w:fill="D9D9D9" w:themeFill="background1" w:themeFillShade="D9"/>
          </w:tcPr>
          <w:p w14:paraId="20225D90"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Total Study Hours</w:t>
            </w:r>
          </w:p>
          <w:p w14:paraId="616C192E" w14:textId="77777777" w:rsidR="00AA2E20" w:rsidRPr="00D42AA1" w:rsidRDefault="00AA2E20" w:rsidP="004003EA">
            <w:pPr>
              <w:rPr>
                <w:rFonts w:ascii="Calibri" w:hAnsi="Calibri" w:cs="Calibri"/>
                <w:b/>
                <w:color w:val="FF0000"/>
                <w:sz w:val="24"/>
                <w:szCs w:val="24"/>
              </w:rPr>
            </w:pPr>
          </w:p>
        </w:tc>
        <w:tc>
          <w:tcPr>
            <w:tcW w:w="4940" w:type="dxa"/>
          </w:tcPr>
          <w:p w14:paraId="0B0ED893" w14:textId="1174E71C" w:rsidR="00B274A6" w:rsidRPr="00BE4C63" w:rsidRDefault="001A0B10" w:rsidP="004003EA">
            <w:r>
              <w:t>150 hours</w:t>
            </w:r>
          </w:p>
        </w:tc>
      </w:tr>
      <w:tr w:rsidR="00B76C82" w:rsidRPr="004003EA" w14:paraId="78ED82F0" w14:textId="77777777" w:rsidTr="00345BBB">
        <w:trPr>
          <w:trHeight w:val="254"/>
        </w:trPr>
        <w:tc>
          <w:tcPr>
            <w:tcW w:w="9669" w:type="dxa"/>
            <w:gridSpan w:val="3"/>
            <w:shd w:val="clear" w:color="auto" w:fill="7030A0"/>
          </w:tcPr>
          <w:p w14:paraId="6A487641" w14:textId="77777777" w:rsidR="00B76C82" w:rsidRPr="004003EA" w:rsidRDefault="00B76C82" w:rsidP="003A0F8F">
            <w:pPr>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r w:rsidR="0056006D" w14:paraId="6ACA8CF5" w14:textId="77777777" w:rsidTr="00345BBB">
        <w:tc>
          <w:tcPr>
            <w:tcW w:w="9669" w:type="dxa"/>
            <w:gridSpan w:val="3"/>
          </w:tcPr>
          <w:p w14:paraId="0AA1506C" w14:textId="77777777" w:rsidR="001A0B10" w:rsidRDefault="001A0B10" w:rsidP="001A0B10">
            <w:pPr>
              <w:rPr>
                <w:rFonts w:cstheme="minorHAnsi"/>
                <w:b/>
              </w:rPr>
            </w:pPr>
          </w:p>
          <w:p w14:paraId="2A8414BF" w14:textId="77777777" w:rsidR="00EE1009" w:rsidRDefault="00345BBB" w:rsidP="001A0B10">
            <w:pPr>
              <w:rPr>
                <w:rFonts w:cstheme="minorHAnsi"/>
                <w:b/>
              </w:rPr>
            </w:pPr>
            <w:r w:rsidRPr="00B274A6">
              <w:rPr>
                <w:rFonts w:cstheme="minorHAnsi"/>
                <w:b/>
              </w:rPr>
              <w:t>Pre Reading</w:t>
            </w:r>
            <w:r w:rsidR="001A0B10">
              <w:rPr>
                <w:rFonts w:cstheme="minorHAnsi"/>
                <w:b/>
              </w:rPr>
              <w:t xml:space="preserve">: </w:t>
            </w:r>
          </w:p>
          <w:p w14:paraId="16BFE347" w14:textId="4A485B86" w:rsidR="001A0B10" w:rsidRDefault="001A0B10" w:rsidP="00EE1009">
            <w:pPr>
              <w:pStyle w:val="ListParagraph"/>
              <w:numPr>
                <w:ilvl w:val="0"/>
                <w:numId w:val="3"/>
              </w:numPr>
              <w:rPr>
                <w:color w:val="000000" w:themeColor="text1"/>
              </w:rPr>
            </w:pPr>
            <w:r w:rsidRPr="00EE1009">
              <w:rPr>
                <w:color w:val="000000" w:themeColor="text1"/>
              </w:rPr>
              <w:t xml:space="preserve">Martin, BR. </w:t>
            </w:r>
            <w:r w:rsidR="00EE1009">
              <w:rPr>
                <w:color w:val="000000" w:themeColor="text1"/>
              </w:rPr>
              <w:t xml:space="preserve">2012. </w:t>
            </w:r>
            <w:r w:rsidRPr="00EE1009">
              <w:rPr>
                <w:color w:val="000000" w:themeColor="text1"/>
              </w:rPr>
              <w:t xml:space="preserve">The evolution of science policy and innovation studies. </w:t>
            </w:r>
            <w:r w:rsidRPr="00EE1009">
              <w:rPr>
                <w:i/>
                <w:color w:val="000000" w:themeColor="text1"/>
              </w:rPr>
              <w:t>Research Policy</w:t>
            </w:r>
            <w:r w:rsidRPr="00EE1009">
              <w:rPr>
                <w:color w:val="000000" w:themeColor="text1"/>
              </w:rPr>
              <w:t xml:space="preserve"> 41.7: 1219-1239.</w:t>
            </w:r>
            <w:r w:rsidR="00EE1009">
              <w:rPr>
                <w:color w:val="000000" w:themeColor="text1"/>
              </w:rPr>
              <w:t xml:space="preserve"> </w:t>
            </w:r>
            <w:hyperlink r:id="rId10" w:history="1">
              <w:r w:rsidR="00EE1009" w:rsidRPr="004A6B35">
                <w:rPr>
                  <w:rStyle w:val="Hyperlink"/>
                </w:rPr>
                <w:t>https://doi.org/10.1016/j.respol.2012.03.012</w:t>
              </w:r>
            </w:hyperlink>
          </w:p>
          <w:p w14:paraId="13DB651E" w14:textId="0C00D296" w:rsidR="00EE1009" w:rsidRPr="00EE1009" w:rsidRDefault="00EE1009" w:rsidP="00345BBB">
            <w:pPr>
              <w:pStyle w:val="ListParagraph"/>
              <w:numPr>
                <w:ilvl w:val="0"/>
                <w:numId w:val="3"/>
              </w:numPr>
              <w:rPr>
                <w:rFonts w:cstheme="minorHAnsi"/>
                <w:color w:val="000000" w:themeColor="text1"/>
              </w:rPr>
            </w:pPr>
            <w:r w:rsidRPr="00EE1009">
              <w:rPr>
                <w:color w:val="000000" w:themeColor="text1"/>
              </w:rPr>
              <w:t>Kuhlmann, S., and Rip, A.</w:t>
            </w:r>
            <w:r>
              <w:rPr>
                <w:color w:val="000000" w:themeColor="text1"/>
              </w:rPr>
              <w:t xml:space="preserve"> 2019. </w:t>
            </w:r>
            <w:r w:rsidRPr="00EE1009">
              <w:rPr>
                <w:color w:val="000000" w:themeColor="text1"/>
              </w:rPr>
              <w:t xml:space="preserve">Next generation science policy and Grand Challenges. In: Simon, D., Kuhlmann, S., </w:t>
            </w:r>
            <w:proofErr w:type="spellStart"/>
            <w:r w:rsidRPr="00EE1009">
              <w:rPr>
                <w:color w:val="000000" w:themeColor="text1"/>
              </w:rPr>
              <w:t>Stamm</w:t>
            </w:r>
            <w:proofErr w:type="spellEnd"/>
            <w:r w:rsidRPr="00EE1009">
              <w:rPr>
                <w:color w:val="000000" w:themeColor="text1"/>
              </w:rPr>
              <w:t xml:space="preserve">, J., and </w:t>
            </w:r>
            <w:proofErr w:type="spellStart"/>
            <w:r w:rsidRPr="00EE1009">
              <w:rPr>
                <w:color w:val="000000" w:themeColor="text1"/>
              </w:rPr>
              <w:t>Canzler</w:t>
            </w:r>
            <w:proofErr w:type="spellEnd"/>
            <w:r w:rsidRPr="00EE1009">
              <w:rPr>
                <w:color w:val="000000" w:themeColor="text1"/>
              </w:rPr>
              <w:t xml:space="preserve">, W. (eds) Handbook on Science and Public Policy. Edward Elgar. </w:t>
            </w:r>
            <w:hyperlink r:id="rId11" w:history="1">
              <w:r w:rsidRPr="00EE1009">
                <w:rPr>
                  <w:rStyle w:val="Hyperlink"/>
                  <w:rFonts w:cstheme="minorHAnsi"/>
                  <w:color w:val="000000" w:themeColor="text1"/>
                </w:rPr>
                <w:t>https://doi.org/10.4337/9781784715946.00009</w:t>
              </w:r>
            </w:hyperlink>
          </w:p>
          <w:p w14:paraId="6461019E" w14:textId="5083A361" w:rsidR="00EE1009" w:rsidRDefault="00EE1009" w:rsidP="00345BBB">
            <w:pPr>
              <w:pStyle w:val="ListParagraph"/>
              <w:numPr>
                <w:ilvl w:val="0"/>
                <w:numId w:val="3"/>
              </w:numPr>
              <w:rPr>
                <w:rFonts w:cstheme="minorHAnsi"/>
                <w:color w:val="000000" w:themeColor="text1"/>
              </w:rPr>
            </w:pPr>
            <w:r w:rsidRPr="00EE1009">
              <w:rPr>
                <w:rFonts w:cstheme="minorHAnsi"/>
                <w:color w:val="000000" w:themeColor="text1"/>
              </w:rPr>
              <w:t xml:space="preserve">Edler, J., Gök, A., Cunningham, P., and Shapira, P. </w:t>
            </w:r>
            <w:r>
              <w:rPr>
                <w:rFonts w:cstheme="minorHAnsi"/>
                <w:color w:val="000000" w:themeColor="text1"/>
              </w:rPr>
              <w:t xml:space="preserve"> 2016. </w:t>
            </w:r>
            <w:r w:rsidRPr="00EE1009">
              <w:rPr>
                <w:rFonts w:cstheme="minorHAnsi"/>
                <w:color w:val="000000" w:themeColor="text1"/>
              </w:rPr>
              <w:t>Making Sense of Innovation Policy</w:t>
            </w:r>
            <w:r>
              <w:rPr>
                <w:rFonts w:cstheme="minorHAnsi"/>
                <w:color w:val="000000" w:themeColor="text1"/>
              </w:rPr>
              <w:t xml:space="preserve">. In: </w:t>
            </w:r>
            <w:r w:rsidRPr="00EE1009">
              <w:rPr>
                <w:rFonts w:cstheme="minorHAnsi"/>
                <w:color w:val="000000" w:themeColor="text1"/>
              </w:rPr>
              <w:t>Edler, J., Cunningham, P., Gök, A, and Shapira, P. (eds). Handbook of Innovation Policy Impact. Edward Elgar</w:t>
            </w:r>
            <w:r>
              <w:rPr>
                <w:rFonts w:cstheme="minorHAnsi"/>
                <w:color w:val="000000" w:themeColor="text1"/>
              </w:rPr>
              <w:t>.</w:t>
            </w:r>
            <w:r>
              <w:t xml:space="preserve"> </w:t>
            </w:r>
            <w:hyperlink r:id="rId12" w:history="1">
              <w:r w:rsidRPr="004A6B35">
                <w:rPr>
                  <w:rStyle w:val="Hyperlink"/>
                  <w:rFonts w:cstheme="minorHAnsi"/>
                </w:rPr>
                <w:t>https://doi.org/10.4337/9781784711856.00008</w:t>
              </w:r>
            </w:hyperlink>
          </w:p>
          <w:p w14:paraId="23C64429" w14:textId="77777777" w:rsidR="00EE1009" w:rsidRPr="00EE1009" w:rsidRDefault="00EE1009" w:rsidP="00EE1009">
            <w:pPr>
              <w:pStyle w:val="ListParagraph"/>
              <w:rPr>
                <w:rFonts w:cstheme="minorHAnsi"/>
                <w:color w:val="000000" w:themeColor="text1"/>
              </w:rPr>
            </w:pPr>
          </w:p>
          <w:p w14:paraId="46DD4B1B" w14:textId="27CABE32" w:rsidR="00345BBB" w:rsidRDefault="00345BBB" w:rsidP="00345BBB">
            <w:pPr>
              <w:rPr>
                <w:rFonts w:cstheme="minorHAnsi"/>
                <w:color w:val="000000" w:themeColor="text1"/>
              </w:rPr>
            </w:pPr>
            <w:r w:rsidRPr="00EE1009">
              <w:rPr>
                <w:rFonts w:cstheme="minorHAnsi"/>
                <w:b/>
                <w:color w:val="000000" w:themeColor="text1"/>
              </w:rPr>
              <w:t>Core Text:</w:t>
            </w:r>
            <w:r w:rsidRPr="00EE1009">
              <w:rPr>
                <w:rFonts w:cstheme="minorHAnsi"/>
                <w:color w:val="000000" w:themeColor="text1"/>
              </w:rPr>
              <w:t xml:space="preserve"> </w:t>
            </w:r>
            <w:r w:rsidR="00EE1009">
              <w:rPr>
                <w:rFonts w:cstheme="minorHAnsi"/>
                <w:color w:val="000000" w:themeColor="text1"/>
              </w:rPr>
              <w:t>Individual readings will be assigned ahead of each course session.</w:t>
            </w:r>
          </w:p>
          <w:p w14:paraId="0B3A909B" w14:textId="77777777" w:rsidR="00EE1009" w:rsidRPr="00EE1009" w:rsidRDefault="00EE1009" w:rsidP="00345BBB">
            <w:pPr>
              <w:rPr>
                <w:rFonts w:cstheme="minorHAnsi"/>
                <w:color w:val="000000" w:themeColor="text1"/>
              </w:rPr>
            </w:pPr>
          </w:p>
          <w:p w14:paraId="3D34AE00" w14:textId="54EC9C1C" w:rsidR="0056006D" w:rsidRDefault="00345BBB" w:rsidP="00D42AA1">
            <w:pPr>
              <w:rPr>
                <w:rFonts w:cstheme="minorHAnsi"/>
                <w:color w:val="000000" w:themeColor="text1"/>
              </w:rPr>
            </w:pPr>
            <w:r w:rsidRPr="00EE1009">
              <w:rPr>
                <w:rFonts w:cstheme="minorHAnsi"/>
                <w:b/>
                <w:color w:val="000000" w:themeColor="text1"/>
              </w:rPr>
              <w:t>Supplementary Text</w:t>
            </w:r>
            <w:r w:rsidRPr="00EE1009">
              <w:rPr>
                <w:rFonts w:cstheme="minorHAnsi"/>
                <w:color w:val="000000" w:themeColor="text1"/>
              </w:rPr>
              <w:t xml:space="preserve">: </w:t>
            </w:r>
            <w:r w:rsidR="00E82C58">
              <w:rPr>
                <w:rFonts w:cstheme="minorHAnsi"/>
                <w:color w:val="000000" w:themeColor="text1"/>
              </w:rPr>
              <w:t xml:space="preserve">Multiple readings from prior seminars are available at this </w:t>
            </w:r>
            <w:hyperlink r:id="rId13" w:history="1">
              <w:r w:rsidR="00E82C58" w:rsidRPr="00E82C58">
                <w:rPr>
                  <w:rStyle w:val="Hyperlink"/>
                  <w:rFonts w:cstheme="minorHAnsi"/>
                </w:rPr>
                <w:t>link</w:t>
              </w:r>
            </w:hyperlink>
          </w:p>
          <w:p w14:paraId="3297209A" w14:textId="163653AC" w:rsidR="00E82C58" w:rsidRPr="00345BBB" w:rsidRDefault="00E82C58" w:rsidP="00D42AA1">
            <w:pPr>
              <w:rPr>
                <w:rFonts w:cstheme="minorHAnsi"/>
                <w:color w:val="FF0000"/>
              </w:rPr>
            </w:pPr>
          </w:p>
        </w:tc>
      </w:tr>
      <w:tr w:rsidR="00B76C82" w:rsidRPr="004003EA" w14:paraId="327BB7F8" w14:textId="77777777" w:rsidTr="00345BBB">
        <w:trPr>
          <w:trHeight w:val="328"/>
        </w:trPr>
        <w:tc>
          <w:tcPr>
            <w:tcW w:w="9669" w:type="dxa"/>
            <w:gridSpan w:val="3"/>
            <w:shd w:val="clear" w:color="auto" w:fill="7030A0"/>
          </w:tcPr>
          <w:p w14:paraId="778E8B1C" w14:textId="77777777" w:rsidR="00B76C82" w:rsidRPr="004003EA" w:rsidRDefault="00B76C82"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14:paraId="424416BF" w14:textId="77777777" w:rsidTr="006A15A6">
        <w:tc>
          <w:tcPr>
            <w:tcW w:w="5217" w:type="dxa"/>
            <w:shd w:val="clear" w:color="auto" w:fill="D9D9D9" w:themeFill="background1" w:themeFillShade="D9"/>
            <w:vAlign w:val="center"/>
          </w:tcPr>
          <w:p w14:paraId="4F4D763E"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lastRenderedPageBreak/>
              <w:t>Mode of Assessment</w:t>
            </w:r>
          </w:p>
        </w:tc>
        <w:tc>
          <w:tcPr>
            <w:tcW w:w="1984" w:type="dxa"/>
            <w:shd w:val="clear" w:color="auto" w:fill="D9D9D9" w:themeFill="background1" w:themeFillShade="D9"/>
          </w:tcPr>
          <w:p w14:paraId="69BDF77F"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37CCAE36"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2F7643" w:rsidRPr="002F7643" w14:paraId="2AAFDEE7" w14:textId="77777777" w:rsidTr="00345BBB">
        <w:tc>
          <w:tcPr>
            <w:tcW w:w="5217" w:type="dxa"/>
          </w:tcPr>
          <w:p w14:paraId="093FA73A" w14:textId="727C7EBD" w:rsidR="002F7643" w:rsidRPr="00345BBB" w:rsidRDefault="00E82C58" w:rsidP="003911D3">
            <w:pPr>
              <w:autoSpaceDE w:val="0"/>
              <w:autoSpaceDN w:val="0"/>
              <w:spacing w:before="120" w:after="120" w:line="240" w:lineRule="auto"/>
              <w:rPr>
                <w:rFonts w:eastAsia="Batang" w:cs="Palatino Linotype"/>
                <w:color w:val="FF0000"/>
                <w:lang w:eastAsia="ko-KR"/>
              </w:rPr>
            </w:pPr>
            <w:r>
              <w:t>Outline of s</w:t>
            </w:r>
            <w:r w:rsidRPr="00302118">
              <w:t>cience, technology, and innovation policy topic review – identify topic, with abstract, and three key literature contributions</w:t>
            </w:r>
            <w:r>
              <w:t xml:space="preserve">. </w:t>
            </w:r>
            <w:r w:rsidRPr="00E254D8">
              <w:t>(</w:t>
            </w:r>
            <w:r w:rsidRPr="00C624DF">
              <w:rPr>
                <w:highlight w:val="yellow"/>
              </w:rPr>
              <w:t xml:space="preserve">Due </w:t>
            </w:r>
            <w:r w:rsidR="00B612B3" w:rsidRPr="00C624DF">
              <w:rPr>
                <w:highlight w:val="yellow"/>
              </w:rPr>
              <w:t>2</w:t>
            </w:r>
            <w:r w:rsidR="003911D3" w:rsidRPr="00C624DF">
              <w:rPr>
                <w:highlight w:val="yellow"/>
              </w:rPr>
              <w:t>1</w:t>
            </w:r>
            <w:r w:rsidR="00B612B3" w:rsidRPr="00C624DF">
              <w:rPr>
                <w:highlight w:val="yellow"/>
              </w:rPr>
              <w:t xml:space="preserve"> </w:t>
            </w:r>
            <w:r w:rsidRPr="00C624DF">
              <w:rPr>
                <w:highlight w:val="yellow"/>
              </w:rPr>
              <w:t>January 202</w:t>
            </w:r>
            <w:r w:rsidR="003911D3" w:rsidRPr="00C624DF">
              <w:rPr>
                <w:highlight w:val="yellow"/>
              </w:rPr>
              <w:t>2</w:t>
            </w:r>
            <w:r w:rsidRPr="00E254D8">
              <w:t>, 10h00 UK</w:t>
            </w:r>
            <w:r w:rsidR="00A25907" w:rsidRPr="00A25907">
              <w:rPr>
                <w:rFonts w:eastAsia="Batang" w:cs="Palatino Linotype"/>
                <w:color w:val="FF0000"/>
                <w:lang w:eastAsia="ko-KR"/>
              </w:rPr>
              <w:t xml:space="preserve"> </w:t>
            </w:r>
          </w:p>
        </w:tc>
        <w:tc>
          <w:tcPr>
            <w:tcW w:w="1984" w:type="dxa"/>
          </w:tcPr>
          <w:p w14:paraId="69FF21FA" w14:textId="7931DA3F" w:rsidR="002F7643" w:rsidRPr="002F7643" w:rsidRDefault="00E82C58"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500 words</w:t>
            </w:r>
          </w:p>
        </w:tc>
        <w:tc>
          <w:tcPr>
            <w:tcW w:w="2439" w:type="dxa"/>
          </w:tcPr>
          <w:p w14:paraId="7BC75FB7" w14:textId="6A9F5ED3" w:rsidR="002F7643" w:rsidRPr="002F7643" w:rsidRDefault="00B612B3"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Formative</w:t>
            </w:r>
          </w:p>
        </w:tc>
      </w:tr>
      <w:tr w:rsidR="00E82C58" w:rsidRPr="002F7643" w14:paraId="45273E93" w14:textId="77777777" w:rsidTr="00345BBB">
        <w:tc>
          <w:tcPr>
            <w:tcW w:w="5217" w:type="dxa"/>
          </w:tcPr>
          <w:p w14:paraId="1DE26872" w14:textId="382AEF9D" w:rsidR="00E82C58" w:rsidRDefault="00E82C58" w:rsidP="003911D3">
            <w:pPr>
              <w:autoSpaceDE w:val="0"/>
              <w:autoSpaceDN w:val="0"/>
              <w:spacing w:before="120" w:after="120" w:line="240" w:lineRule="auto"/>
            </w:pPr>
            <w:r w:rsidRPr="00E82C58">
              <w:t>Science, technology, and innovation policy topic review – on a selected topic, compare and critique three key references and link review to discussion of conceptual and policy implications. Submit through Blackboard/Turnitin. Review to be written as academic text. (</w:t>
            </w:r>
            <w:r w:rsidR="00B612B3" w:rsidRPr="00C624DF">
              <w:rPr>
                <w:highlight w:val="yellow"/>
              </w:rPr>
              <w:t>Due 1</w:t>
            </w:r>
            <w:r w:rsidR="003911D3" w:rsidRPr="00C624DF">
              <w:rPr>
                <w:highlight w:val="yellow"/>
              </w:rPr>
              <w:t>3</w:t>
            </w:r>
            <w:r w:rsidR="00B612B3" w:rsidRPr="00C624DF">
              <w:rPr>
                <w:highlight w:val="yellow"/>
              </w:rPr>
              <w:t xml:space="preserve"> </w:t>
            </w:r>
            <w:r w:rsidRPr="00C624DF">
              <w:rPr>
                <w:highlight w:val="yellow"/>
              </w:rPr>
              <w:t>May 202</w:t>
            </w:r>
            <w:r w:rsidR="003911D3" w:rsidRPr="00C624DF">
              <w:rPr>
                <w:highlight w:val="yellow"/>
              </w:rPr>
              <w:t>2</w:t>
            </w:r>
            <w:r w:rsidRPr="00E82C58">
              <w:t>, 10h00 UK time).</w:t>
            </w:r>
          </w:p>
        </w:tc>
        <w:tc>
          <w:tcPr>
            <w:tcW w:w="1984" w:type="dxa"/>
          </w:tcPr>
          <w:p w14:paraId="11CDA918" w14:textId="0444DC3D" w:rsidR="00E82C58" w:rsidRPr="002F7643" w:rsidRDefault="00CD22FC"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25</w:t>
            </w:r>
            <w:r w:rsidR="00E82C58">
              <w:rPr>
                <w:rFonts w:eastAsia="Batang" w:cs="Palatino Linotype"/>
                <w:lang w:eastAsia="ko-KR"/>
              </w:rPr>
              <w:t>00-4000 words</w:t>
            </w:r>
          </w:p>
        </w:tc>
        <w:tc>
          <w:tcPr>
            <w:tcW w:w="2439" w:type="dxa"/>
          </w:tcPr>
          <w:p w14:paraId="19DCC2BB" w14:textId="3061CFAA" w:rsidR="00E82C58" w:rsidRPr="002F7643" w:rsidRDefault="00E82C58"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80%</w:t>
            </w:r>
          </w:p>
        </w:tc>
      </w:tr>
      <w:tr w:rsidR="00E82C58" w:rsidRPr="002F7643" w14:paraId="19C50C24" w14:textId="77777777" w:rsidTr="00345BBB">
        <w:tc>
          <w:tcPr>
            <w:tcW w:w="5217" w:type="dxa"/>
          </w:tcPr>
          <w:p w14:paraId="307E18A6" w14:textId="024662F7" w:rsidR="00E82C58" w:rsidRPr="00E82C58" w:rsidRDefault="00B612B3" w:rsidP="003911D3">
            <w:pPr>
              <w:autoSpaceDE w:val="0"/>
              <w:autoSpaceDN w:val="0"/>
              <w:spacing w:before="120" w:after="120" w:line="240" w:lineRule="auto"/>
            </w:pPr>
            <w:r>
              <w:t>I</w:t>
            </w:r>
            <w:r w:rsidR="00E82C58" w:rsidRPr="00E82C58">
              <w:t>ndividual presentation of topic at capstone meeting (</w:t>
            </w:r>
            <w:r w:rsidRPr="00C624DF">
              <w:rPr>
                <w:highlight w:val="yellow"/>
              </w:rPr>
              <w:t>1</w:t>
            </w:r>
            <w:r w:rsidR="003911D3" w:rsidRPr="00C624DF">
              <w:rPr>
                <w:highlight w:val="yellow"/>
              </w:rPr>
              <w:t>6</w:t>
            </w:r>
            <w:r w:rsidRPr="00C624DF">
              <w:rPr>
                <w:highlight w:val="yellow"/>
              </w:rPr>
              <w:t xml:space="preserve"> </w:t>
            </w:r>
            <w:r w:rsidR="00E82C58" w:rsidRPr="00C624DF">
              <w:rPr>
                <w:highlight w:val="yellow"/>
              </w:rPr>
              <w:t>May 202</w:t>
            </w:r>
            <w:r w:rsidR="003911D3" w:rsidRPr="00C624DF">
              <w:rPr>
                <w:highlight w:val="yellow"/>
              </w:rPr>
              <w:t>2</w:t>
            </w:r>
            <w:r w:rsidR="00E82C58" w:rsidRPr="00E82C58">
              <w:t>).</w:t>
            </w:r>
          </w:p>
        </w:tc>
        <w:tc>
          <w:tcPr>
            <w:tcW w:w="1984" w:type="dxa"/>
          </w:tcPr>
          <w:p w14:paraId="70846E9F" w14:textId="77777777" w:rsidR="00E82C58" w:rsidRPr="002F7643" w:rsidRDefault="00E82C58" w:rsidP="002F7643">
            <w:pPr>
              <w:autoSpaceDE w:val="0"/>
              <w:autoSpaceDN w:val="0"/>
              <w:spacing w:before="120" w:after="120" w:line="240" w:lineRule="auto"/>
              <w:jc w:val="center"/>
              <w:rPr>
                <w:rFonts w:eastAsia="Batang" w:cs="Palatino Linotype"/>
                <w:lang w:eastAsia="ko-KR"/>
              </w:rPr>
            </w:pPr>
          </w:p>
        </w:tc>
        <w:tc>
          <w:tcPr>
            <w:tcW w:w="2439" w:type="dxa"/>
          </w:tcPr>
          <w:p w14:paraId="2394AD32" w14:textId="056DBA05" w:rsidR="00E82C58" w:rsidRPr="002F7643" w:rsidRDefault="00B612B3"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2</w:t>
            </w:r>
            <w:r w:rsidR="00E82C58">
              <w:rPr>
                <w:rFonts w:eastAsia="Batang" w:cs="Palatino Linotype"/>
                <w:lang w:eastAsia="ko-KR"/>
              </w:rPr>
              <w:t>0%</w:t>
            </w:r>
          </w:p>
        </w:tc>
      </w:tr>
      <w:tr w:rsidR="002F7643" w:rsidRPr="002F7643" w14:paraId="2F564331" w14:textId="77777777" w:rsidTr="00345BBB">
        <w:tc>
          <w:tcPr>
            <w:tcW w:w="5217" w:type="dxa"/>
          </w:tcPr>
          <w:p w14:paraId="3806FB4A" w14:textId="05BB42A8" w:rsidR="002F7643" w:rsidRPr="00D42AA1" w:rsidRDefault="002F7643" w:rsidP="00E82C58">
            <w:pPr>
              <w:spacing w:after="0" w:line="240" w:lineRule="auto"/>
              <w:rPr>
                <w:color w:val="FF0000"/>
              </w:rPr>
            </w:pPr>
            <w:r w:rsidRPr="002F7643">
              <w:rPr>
                <w:rFonts w:eastAsia="Batang" w:cs="Palatino Linotype"/>
                <w:b/>
                <w:lang w:eastAsia="ko-KR"/>
              </w:rPr>
              <w:t>Resits</w:t>
            </w:r>
            <w:r>
              <w:rPr>
                <w:rFonts w:eastAsia="Batang" w:cs="Palatino Linotype"/>
                <w:lang w:eastAsia="ko-KR"/>
              </w:rPr>
              <w:t xml:space="preserve">: </w:t>
            </w:r>
            <w:r w:rsidR="00E82C58">
              <w:rPr>
                <w:rFonts w:eastAsia="Batang" w:cs="Palatino Linotype"/>
                <w:lang w:eastAsia="ko-KR"/>
              </w:rPr>
              <w:t xml:space="preserve">Will by assessed by satisfactory completion of </w:t>
            </w:r>
            <w:r w:rsidRPr="00E82C58">
              <w:rPr>
                <w:rFonts w:eastAsia="Batang" w:cs="Palatino Linotype"/>
                <w:lang w:eastAsia="ko-KR"/>
              </w:rPr>
              <w:t>coursework.</w:t>
            </w:r>
          </w:p>
        </w:tc>
        <w:tc>
          <w:tcPr>
            <w:tcW w:w="1984" w:type="dxa"/>
          </w:tcPr>
          <w:p w14:paraId="7EE328A3"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c>
          <w:tcPr>
            <w:tcW w:w="2439" w:type="dxa"/>
          </w:tcPr>
          <w:p w14:paraId="6B9ADE7D"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4003EA" w14:paraId="48320A68" w14:textId="77777777" w:rsidTr="00345BBB">
        <w:tc>
          <w:tcPr>
            <w:tcW w:w="9640" w:type="dxa"/>
            <w:shd w:val="clear" w:color="auto" w:fill="7030A0"/>
          </w:tcPr>
          <w:p w14:paraId="1B5C8A4A" w14:textId="77777777"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14:paraId="2B86D31E" w14:textId="77777777" w:rsidTr="00345BBB">
        <w:tc>
          <w:tcPr>
            <w:tcW w:w="9640" w:type="dxa"/>
          </w:tcPr>
          <w:p w14:paraId="4000AE9C" w14:textId="77777777" w:rsidR="00B612B3" w:rsidRPr="00447116" w:rsidRDefault="00B612B3" w:rsidP="00B612B3">
            <w:pPr>
              <w:rPr>
                <w:rFonts w:cstheme="minorHAnsi"/>
                <w:color w:val="000000" w:themeColor="text1"/>
              </w:rPr>
            </w:pPr>
            <w:r w:rsidRPr="00447116">
              <w:rPr>
                <w:rFonts w:cstheme="minorHAnsi"/>
                <w:color w:val="000000" w:themeColor="text1"/>
              </w:rPr>
              <w:t>Students will receive feedback through a series of methods, comprising:</w:t>
            </w:r>
          </w:p>
          <w:p w14:paraId="753769B1" w14:textId="77777777" w:rsidR="00B612B3" w:rsidRPr="00447116" w:rsidRDefault="00B612B3" w:rsidP="00B612B3">
            <w:pPr>
              <w:rPr>
                <w:rFonts w:cstheme="minorHAnsi"/>
                <w:color w:val="000000" w:themeColor="text1"/>
              </w:rPr>
            </w:pPr>
          </w:p>
          <w:p w14:paraId="69DE8F07" w14:textId="77777777" w:rsidR="00B612B3" w:rsidRPr="00447116" w:rsidRDefault="00B612B3" w:rsidP="00B612B3">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Written and/or verbal comments on non-assessed (formative) and assessed coursework.</w:t>
            </w:r>
          </w:p>
          <w:p w14:paraId="1A21F6C2" w14:textId="77777777" w:rsidR="00B612B3" w:rsidRPr="00447116" w:rsidRDefault="00B612B3" w:rsidP="00B612B3">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Informal advice and discussion during course meetings and following presentations.</w:t>
            </w:r>
          </w:p>
          <w:p w14:paraId="24042394" w14:textId="77777777" w:rsidR="00B612B3" w:rsidRPr="00447116" w:rsidRDefault="00B612B3" w:rsidP="00B612B3">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 xml:space="preserve">Responses to student emails and questions. </w:t>
            </w:r>
          </w:p>
          <w:p w14:paraId="4DD5B9F5" w14:textId="77777777" w:rsidR="00B612B3" w:rsidRPr="00447116" w:rsidRDefault="00B612B3" w:rsidP="00B612B3">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Individual feedback in meetings with instructors (e.g. in office hours or by appointment).</w:t>
            </w:r>
          </w:p>
          <w:p w14:paraId="1B4BDA00" w14:textId="77777777" w:rsidR="00B612B3" w:rsidRPr="00447116" w:rsidRDefault="00B612B3" w:rsidP="00B612B3">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Specific course related feedback discussion in course sessions.</w:t>
            </w:r>
          </w:p>
          <w:p w14:paraId="47F6FE5A" w14:textId="77777777" w:rsidR="00B612B3" w:rsidRPr="00447116" w:rsidRDefault="00B612B3" w:rsidP="00B612B3">
            <w:pPr>
              <w:rPr>
                <w:rFonts w:cstheme="minorHAnsi"/>
                <w:color w:val="000000" w:themeColor="text1"/>
              </w:rPr>
            </w:pPr>
          </w:p>
          <w:p w14:paraId="6988A00E" w14:textId="5CADC470" w:rsidR="00B612B3" w:rsidRPr="00447116" w:rsidRDefault="00B612B3" w:rsidP="00B612B3">
            <w:pPr>
              <w:rPr>
                <w:rFonts w:cstheme="minorHAnsi"/>
                <w:color w:val="000000" w:themeColor="text1"/>
              </w:rPr>
            </w:pPr>
            <w:r w:rsidRPr="00447116">
              <w:rPr>
                <w:rFonts w:cstheme="minorHAnsi"/>
                <w:color w:val="000000" w:themeColor="text1"/>
              </w:rPr>
              <w:t>Feedback for all assessed coursework and formative assessment will be provided within 15 working days of the submission deadline.  A working day is defined as Monday to Friday, not including bank holidays and excluding student vacation periods and University examination periods. For submission dates, see section on Assessment.</w:t>
            </w:r>
          </w:p>
          <w:p w14:paraId="39711F5D" w14:textId="77777777" w:rsidR="00B612B3" w:rsidRPr="00447116" w:rsidRDefault="00B612B3" w:rsidP="00B612B3">
            <w:pPr>
              <w:rPr>
                <w:rFonts w:cstheme="minorHAnsi"/>
                <w:color w:val="000000" w:themeColor="text1"/>
              </w:rPr>
            </w:pPr>
          </w:p>
          <w:p w14:paraId="0CB7FF16" w14:textId="77777777" w:rsidR="00A25907" w:rsidRDefault="00B612B3" w:rsidP="004003EA">
            <w:pPr>
              <w:rPr>
                <w:iCs/>
                <w:color w:val="000000" w:themeColor="text1"/>
              </w:rPr>
            </w:pPr>
            <w:r w:rsidRPr="00447116">
              <w:rPr>
                <w:iCs/>
                <w:color w:val="000000" w:themeColor="text1"/>
              </w:rPr>
              <w:t>In addition to the course unit evaluation questionnaire, students are encouraged to give feedback through emails and conversations at any time, and using the online questionnaire near the end of the semester</w:t>
            </w:r>
          </w:p>
          <w:p w14:paraId="300ADB2B" w14:textId="27D40B08" w:rsidR="00B612B3" w:rsidRPr="00B612B3" w:rsidRDefault="00B612B3" w:rsidP="004003EA">
            <w:pPr>
              <w:rPr>
                <w:iCs/>
                <w:color w:val="000000" w:themeColor="text1"/>
              </w:rPr>
            </w:pPr>
          </w:p>
        </w:tc>
      </w:tr>
    </w:tbl>
    <w:p w14:paraId="6E5DFF36" w14:textId="77777777" w:rsidR="009526CA" w:rsidRPr="00290A4D" w:rsidRDefault="009526CA" w:rsidP="00D42AA1">
      <w:pPr>
        <w:spacing w:after="0" w:line="240" w:lineRule="auto"/>
        <w:ind w:left="-142" w:right="-188"/>
        <w:rPr>
          <w:rFonts w:ascii="Arial" w:hAnsi="Arial" w:cs="Arial"/>
          <w:b/>
          <w:color w:val="FF0000"/>
          <w:sz w:val="24"/>
          <w:szCs w:val="24"/>
        </w:rPr>
      </w:pPr>
      <w:r w:rsidRPr="00290A4D">
        <w:rPr>
          <w:color w:val="FF0000"/>
        </w:rPr>
        <w:t xml:space="preserve"> </w:t>
      </w:r>
    </w:p>
    <w:sectPr w:rsidR="009526CA" w:rsidRPr="00290A4D" w:rsidSect="00D42AA1">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DE868" w14:textId="77777777" w:rsidR="00AA7749" w:rsidRDefault="00AA7749" w:rsidP="00A678DF">
      <w:pPr>
        <w:spacing w:after="0" w:line="240" w:lineRule="auto"/>
      </w:pPr>
      <w:r>
        <w:separator/>
      </w:r>
    </w:p>
  </w:endnote>
  <w:endnote w:type="continuationSeparator" w:id="0">
    <w:p w14:paraId="02867775" w14:textId="77777777" w:rsidR="00AA7749" w:rsidRDefault="00AA7749"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B3C42" w14:textId="77777777" w:rsidR="00AA7749" w:rsidRDefault="00AA7749" w:rsidP="00A678DF">
      <w:pPr>
        <w:spacing w:after="0" w:line="240" w:lineRule="auto"/>
      </w:pPr>
      <w:r>
        <w:separator/>
      </w:r>
    </w:p>
  </w:footnote>
  <w:footnote w:type="continuationSeparator" w:id="0">
    <w:p w14:paraId="0ABBEDA9" w14:textId="77777777" w:rsidR="00AA7749" w:rsidRDefault="00AA7749"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C38CC" w14:textId="77777777" w:rsidR="00A678DF" w:rsidRDefault="00A678DF" w:rsidP="00A678DF">
    <w:pPr>
      <w:pStyle w:val="Header"/>
      <w:jc w:val="center"/>
      <w:rPr>
        <w:rFonts w:ascii="Arial" w:hAnsi="Arial" w:cs="Arial"/>
        <w:b/>
      </w:rPr>
    </w:pPr>
    <w:r>
      <w:rPr>
        <w:rFonts w:ascii="Arial" w:hAnsi="Arial" w:cs="Arial"/>
        <w:b/>
      </w:rPr>
      <w:t>Alliance Manchester Business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C6FAA"/>
    <w:multiLevelType w:val="hybridMultilevel"/>
    <w:tmpl w:val="4338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9277D"/>
    <w:multiLevelType w:val="hybridMultilevel"/>
    <w:tmpl w:val="274C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902813"/>
    <w:multiLevelType w:val="hybridMultilevel"/>
    <w:tmpl w:val="2B84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DF"/>
    <w:rsid w:val="00003E4A"/>
    <w:rsid w:val="000C56BC"/>
    <w:rsid w:val="000E5C61"/>
    <w:rsid w:val="00135E0E"/>
    <w:rsid w:val="001A0B10"/>
    <w:rsid w:val="001E51E8"/>
    <w:rsid w:val="00274187"/>
    <w:rsid w:val="00290A4D"/>
    <w:rsid w:val="002F7643"/>
    <w:rsid w:val="00303944"/>
    <w:rsid w:val="00345BBB"/>
    <w:rsid w:val="00347F27"/>
    <w:rsid w:val="003911D3"/>
    <w:rsid w:val="00396F3E"/>
    <w:rsid w:val="003E0908"/>
    <w:rsid w:val="004003EA"/>
    <w:rsid w:val="00411312"/>
    <w:rsid w:val="004274AD"/>
    <w:rsid w:val="00473FF8"/>
    <w:rsid w:val="004B1E88"/>
    <w:rsid w:val="004B25CA"/>
    <w:rsid w:val="004D3EE1"/>
    <w:rsid w:val="004F6BE4"/>
    <w:rsid w:val="00536D49"/>
    <w:rsid w:val="0056006D"/>
    <w:rsid w:val="00591BAF"/>
    <w:rsid w:val="00622D16"/>
    <w:rsid w:val="0063304D"/>
    <w:rsid w:val="006A15A6"/>
    <w:rsid w:val="006A55A5"/>
    <w:rsid w:val="006B2ECC"/>
    <w:rsid w:val="007314FA"/>
    <w:rsid w:val="007420AC"/>
    <w:rsid w:val="0079253C"/>
    <w:rsid w:val="0087271C"/>
    <w:rsid w:val="00896559"/>
    <w:rsid w:val="008B64AE"/>
    <w:rsid w:val="00906557"/>
    <w:rsid w:val="009526CA"/>
    <w:rsid w:val="009536AC"/>
    <w:rsid w:val="00973859"/>
    <w:rsid w:val="00996323"/>
    <w:rsid w:val="009A0B09"/>
    <w:rsid w:val="009A2688"/>
    <w:rsid w:val="009B70B9"/>
    <w:rsid w:val="00A25907"/>
    <w:rsid w:val="00A50666"/>
    <w:rsid w:val="00A66140"/>
    <w:rsid w:val="00A678DF"/>
    <w:rsid w:val="00A74CC5"/>
    <w:rsid w:val="00AA2E20"/>
    <w:rsid w:val="00AA7749"/>
    <w:rsid w:val="00AC28D4"/>
    <w:rsid w:val="00B274A6"/>
    <w:rsid w:val="00B46E87"/>
    <w:rsid w:val="00B612B3"/>
    <w:rsid w:val="00B76C82"/>
    <w:rsid w:val="00BC4684"/>
    <w:rsid w:val="00BE4C63"/>
    <w:rsid w:val="00BF65F1"/>
    <w:rsid w:val="00C624DF"/>
    <w:rsid w:val="00C7344D"/>
    <w:rsid w:val="00C751CC"/>
    <w:rsid w:val="00CD22FC"/>
    <w:rsid w:val="00CF3EFD"/>
    <w:rsid w:val="00D42AA1"/>
    <w:rsid w:val="00D52A0A"/>
    <w:rsid w:val="00D57CBE"/>
    <w:rsid w:val="00D970A2"/>
    <w:rsid w:val="00DA3472"/>
    <w:rsid w:val="00DD4CC4"/>
    <w:rsid w:val="00E82C58"/>
    <w:rsid w:val="00EB439C"/>
    <w:rsid w:val="00EB77B1"/>
    <w:rsid w:val="00EB7A93"/>
    <w:rsid w:val="00EE1009"/>
    <w:rsid w:val="00F1594E"/>
    <w:rsid w:val="00F429F4"/>
    <w:rsid w:val="00FB00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EC2C"/>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77B1"/>
    <w:rPr>
      <w:color w:val="0000FF" w:themeColor="hyperlink"/>
      <w:u w:val="single"/>
    </w:rPr>
  </w:style>
  <w:style w:type="paragraph" w:styleId="ListParagraph">
    <w:name w:val="List Paragraph"/>
    <w:basedOn w:val="Normal"/>
    <w:uiPriority w:val="34"/>
    <w:qFormat/>
    <w:rsid w:val="00EB77B1"/>
    <w:pPr>
      <w:ind w:left="720"/>
      <w:contextualSpacing/>
    </w:pPr>
  </w:style>
  <w:style w:type="character" w:customStyle="1" w:styleId="EndNoteBibliographyChar">
    <w:name w:val="EndNote Bibliography Char"/>
    <w:basedOn w:val="DefaultParagraphFont"/>
    <w:link w:val="EndNoteBibliography"/>
    <w:locked/>
    <w:rsid w:val="001A0B10"/>
    <w:rPr>
      <w:rFonts w:ascii="Calibri" w:hAnsi="Calibri" w:cs="Calibri"/>
    </w:rPr>
  </w:style>
  <w:style w:type="paragraph" w:customStyle="1" w:styleId="EndNoteBibliography">
    <w:name w:val="EndNote Bibliography"/>
    <w:basedOn w:val="Normal"/>
    <w:link w:val="EndNoteBibliographyChar"/>
    <w:rsid w:val="001A0B10"/>
    <w:pPr>
      <w:spacing w:line="240" w:lineRule="auto"/>
    </w:pPr>
    <w:rPr>
      <w:rFonts w:ascii="Calibri" w:hAnsi="Calibri" w:cs="Calibri"/>
    </w:rPr>
  </w:style>
  <w:style w:type="character" w:customStyle="1" w:styleId="UnresolvedMention1">
    <w:name w:val="Unresolved Mention1"/>
    <w:basedOn w:val="DefaultParagraphFont"/>
    <w:uiPriority w:val="99"/>
    <w:semiHidden/>
    <w:unhideWhenUsed/>
    <w:rsid w:val="00EE1009"/>
    <w:rPr>
      <w:color w:val="605E5C"/>
      <w:shd w:val="clear" w:color="auto" w:fill="E1DFDD"/>
    </w:rPr>
  </w:style>
  <w:style w:type="character" w:styleId="FollowedHyperlink">
    <w:name w:val="FollowedHyperlink"/>
    <w:basedOn w:val="DefaultParagraphFont"/>
    <w:uiPriority w:val="99"/>
    <w:semiHidden/>
    <w:unhideWhenUsed/>
    <w:rsid w:val="00E8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ron.flanagan@manchester.ac.uk" TargetMode="External"/><Relationship Id="rId13" Type="http://schemas.openxmlformats.org/officeDocument/2006/relationships/hyperlink" Target="https://www.dropbox.com/sh/ofq6c2i52rz3dp7/AABDTYGmCUeFSq-VxLoHgB9ka?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337/9781784711856.000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37/9781784715946.000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respol.2012.03.012" TargetMode="External"/><Relationship Id="rId4" Type="http://schemas.openxmlformats.org/officeDocument/2006/relationships/settings" Target="settings.xml"/><Relationship Id="rId9" Type="http://schemas.openxmlformats.org/officeDocument/2006/relationships/hyperlink" Target="mailto:cornelia.lawson@manchester.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8364E-098B-403E-8742-D4B45E76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1049</Words>
  <Characters>5354</Characters>
  <Application>Microsoft Office Word</Application>
  <DocSecurity>0</DocSecurity>
  <Lines>95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Kieron Flanagan</cp:lastModifiedBy>
  <cp:revision>6</cp:revision>
  <dcterms:created xsi:type="dcterms:W3CDTF">2021-06-21T09:58:00Z</dcterms:created>
  <dcterms:modified xsi:type="dcterms:W3CDTF">2021-06-21T17:26:00Z</dcterms:modified>
</cp:coreProperties>
</file>