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669" w:type="dxa"/>
        <w:tblInd w:w="-176" w:type="dxa"/>
        <w:tblLook w:val="04A0" w:firstRow="1" w:lastRow="0" w:firstColumn="1" w:lastColumn="0" w:noHBand="0" w:noVBand="1"/>
      </w:tblPr>
      <w:tblGrid>
        <w:gridCol w:w="2988"/>
        <w:gridCol w:w="1741"/>
        <w:gridCol w:w="4940"/>
      </w:tblGrid>
      <w:tr w:rsidR="0063304D" w14:paraId="4EFA5CF1" w14:textId="77777777" w:rsidTr="00345BBB">
        <w:trPr>
          <w:trHeight w:val="1004"/>
        </w:trPr>
        <w:tc>
          <w:tcPr>
            <w:tcW w:w="9669" w:type="dxa"/>
            <w:gridSpan w:val="3"/>
            <w:shd w:val="clear" w:color="auto" w:fill="7030A0"/>
          </w:tcPr>
          <w:p w14:paraId="4CAABD60" w14:textId="77777777" w:rsidR="0063304D" w:rsidRPr="00B21952" w:rsidRDefault="0063304D" w:rsidP="0063304D">
            <w:pPr>
              <w:jc w:val="center"/>
              <w:rPr>
                <w:rFonts w:ascii="Arial" w:hAnsi="Arial" w:cs="Arial"/>
                <w:b/>
                <w:sz w:val="28"/>
                <w:szCs w:val="28"/>
              </w:rPr>
            </w:pPr>
          </w:p>
          <w:p w14:paraId="4D2FF5E6" w14:textId="77777777" w:rsidR="0063304D" w:rsidRPr="00B21952" w:rsidRDefault="00345BBB" w:rsidP="0063304D">
            <w:pPr>
              <w:jc w:val="center"/>
              <w:rPr>
                <w:rFonts w:ascii="Arial" w:hAnsi="Arial" w:cs="Arial"/>
                <w:b/>
                <w:color w:val="FFFFFF" w:themeColor="background1"/>
                <w:sz w:val="28"/>
                <w:szCs w:val="28"/>
              </w:rPr>
            </w:pPr>
            <w:r w:rsidRPr="00B21952">
              <w:rPr>
                <w:rFonts w:ascii="Arial" w:hAnsi="Arial" w:cs="Arial"/>
                <w:b/>
                <w:color w:val="FFFFFF" w:themeColor="background1"/>
                <w:sz w:val="28"/>
                <w:szCs w:val="28"/>
              </w:rPr>
              <w:t xml:space="preserve">PGR </w:t>
            </w:r>
            <w:r w:rsidR="0063304D" w:rsidRPr="00B21952">
              <w:rPr>
                <w:rFonts w:ascii="Arial" w:hAnsi="Arial" w:cs="Arial"/>
                <w:b/>
                <w:color w:val="FFFFFF" w:themeColor="background1"/>
                <w:sz w:val="28"/>
                <w:szCs w:val="28"/>
              </w:rPr>
              <w:t xml:space="preserve">Course unit outline </w:t>
            </w:r>
            <w:r w:rsidR="00B274A6" w:rsidRPr="00B21952">
              <w:rPr>
                <w:rFonts w:ascii="Arial" w:hAnsi="Arial" w:cs="Arial"/>
                <w:b/>
                <w:color w:val="FFFFFF" w:themeColor="background1"/>
                <w:sz w:val="28"/>
                <w:szCs w:val="28"/>
              </w:rPr>
              <w:t>2020/21</w:t>
            </w:r>
          </w:p>
          <w:p w14:paraId="43F95338" w14:textId="77777777" w:rsidR="0063304D" w:rsidRPr="00B21952" w:rsidRDefault="0063304D" w:rsidP="00A678DF">
            <w:pPr>
              <w:jc w:val="center"/>
              <w:rPr>
                <w:rFonts w:ascii="Arial" w:hAnsi="Arial" w:cs="Arial"/>
                <w:b/>
                <w:color w:val="FF0000"/>
                <w:sz w:val="28"/>
                <w:szCs w:val="28"/>
              </w:rPr>
            </w:pPr>
          </w:p>
        </w:tc>
      </w:tr>
      <w:tr w:rsidR="00B21952" w14:paraId="2F10774A" w14:textId="77777777" w:rsidTr="00345BBB">
        <w:tc>
          <w:tcPr>
            <w:tcW w:w="2988" w:type="dxa"/>
            <w:shd w:val="clear" w:color="auto" w:fill="D9D9D9" w:themeFill="background1" w:themeFillShade="D9"/>
          </w:tcPr>
          <w:p w14:paraId="75CC5BF8" w14:textId="77777777" w:rsidR="00B21952" w:rsidRPr="00D42AA1" w:rsidRDefault="00B21952" w:rsidP="00B21952">
            <w:pPr>
              <w:rPr>
                <w:rFonts w:ascii="Calibri" w:hAnsi="Calibri" w:cs="Calibri"/>
                <w:b/>
                <w:color w:val="FF0000"/>
                <w:sz w:val="28"/>
                <w:szCs w:val="28"/>
              </w:rPr>
            </w:pPr>
            <w:r w:rsidRPr="00D42AA1">
              <w:rPr>
                <w:rFonts w:ascii="Calibri" w:hAnsi="Calibri" w:cs="Calibri"/>
                <w:b/>
                <w:sz w:val="24"/>
                <w:szCs w:val="24"/>
              </w:rPr>
              <w:t xml:space="preserve">Unit code: </w:t>
            </w:r>
          </w:p>
        </w:tc>
        <w:tc>
          <w:tcPr>
            <w:tcW w:w="6681" w:type="dxa"/>
            <w:gridSpan w:val="2"/>
          </w:tcPr>
          <w:p w14:paraId="3BF131CE" w14:textId="534A4605" w:rsidR="00B21952" w:rsidRPr="00B274A6" w:rsidRDefault="00B21952" w:rsidP="00B21952">
            <w:pPr>
              <w:rPr>
                <w:rFonts w:cstheme="minorHAnsi"/>
                <w:b/>
              </w:rPr>
            </w:pPr>
            <w:r w:rsidRPr="00AF44DE">
              <w:rPr>
                <w:rFonts w:cstheme="minorHAnsi"/>
                <w:b/>
              </w:rPr>
              <w:t>BMAN80292</w:t>
            </w:r>
          </w:p>
        </w:tc>
      </w:tr>
      <w:tr w:rsidR="00B21952" w14:paraId="7A49D90B" w14:textId="77777777" w:rsidTr="00345BBB">
        <w:tc>
          <w:tcPr>
            <w:tcW w:w="2988" w:type="dxa"/>
            <w:shd w:val="clear" w:color="auto" w:fill="D9D9D9" w:themeFill="background1" w:themeFillShade="D9"/>
          </w:tcPr>
          <w:p w14:paraId="25BD285A" w14:textId="77777777" w:rsidR="00B21952" w:rsidRPr="00B274A6" w:rsidRDefault="00B21952" w:rsidP="00B21952">
            <w:pPr>
              <w:rPr>
                <w:rFonts w:ascii="Calibri" w:hAnsi="Calibri" w:cs="Calibri"/>
                <w:b/>
                <w:sz w:val="24"/>
                <w:szCs w:val="24"/>
              </w:rPr>
            </w:pPr>
            <w:r w:rsidRPr="00D42AA1">
              <w:rPr>
                <w:rFonts w:ascii="Calibri" w:hAnsi="Calibri" w:cs="Calibri"/>
                <w:b/>
                <w:sz w:val="24"/>
                <w:szCs w:val="24"/>
              </w:rPr>
              <w:t>Title:</w:t>
            </w:r>
          </w:p>
        </w:tc>
        <w:tc>
          <w:tcPr>
            <w:tcW w:w="6681" w:type="dxa"/>
            <w:gridSpan w:val="2"/>
          </w:tcPr>
          <w:p w14:paraId="64C1CFB2" w14:textId="636D19F0" w:rsidR="00B21952" w:rsidRDefault="00B21952" w:rsidP="00B21952">
            <w:pPr>
              <w:rPr>
                <w:rFonts w:ascii="Arial" w:hAnsi="Arial" w:cs="Arial"/>
                <w:b/>
                <w:color w:val="FF0000"/>
                <w:sz w:val="28"/>
                <w:szCs w:val="28"/>
              </w:rPr>
            </w:pPr>
            <w:r w:rsidRPr="00AF44DE">
              <w:rPr>
                <w:rFonts w:cstheme="minorHAnsi"/>
                <w:b/>
                <w:color w:val="000000" w:themeColor="text1"/>
              </w:rPr>
              <w:t>Advanced Finance Research Seminar 2</w:t>
            </w:r>
          </w:p>
        </w:tc>
      </w:tr>
      <w:tr w:rsidR="00B21952" w14:paraId="3060686E" w14:textId="77777777" w:rsidTr="00345BBB">
        <w:tc>
          <w:tcPr>
            <w:tcW w:w="2988" w:type="dxa"/>
            <w:shd w:val="clear" w:color="auto" w:fill="D9D9D9" w:themeFill="background1" w:themeFillShade="D9"/>
          </w:tcPr>
          <w:p w14:paraId="7E188516" w14:textId="77777777" w:rsidR="00B21952" w:rsidRPr="00B274A6" w:rsidRDefault="00B21952" w:rsidP="00B21952">
            <w:pPr>
              <w:rPr>
                <w:rFonts w:ascii="Calibri" w:hAnsi="Calibri" w:cs="Calibri"/>
                <w:b/>
                <w:sz w:val="24"/>
                <w:szCs w:val="24"/>
              </w:rPr>
            </w:pPr>
            <w:r w:rsidRPr="00D42AA1">
              <w:rPr>
                <w:rFonts w:ascii="Calibri" w:hAnsi="Calibri" w:cs="Calibri"/>
                <w:b/>
                <w:sz w:val="24"/>
                <w:szCs w:val="24"/>
              </w:rPr>
              <w:t xml:space="preserve">Credit </w:t>
            </w:r>
            <w:r>
              <w:rPr>
                <w:rFonts w:ascii="Calibri" w:hAnsi="Calibri" w:cs="Calibri"/>
                <w:b/>
                <w:sz w:val="24"/>
                <w:szCs w:val="24"/>
              </w:rPr>
              <w:t>value</w:t>
            </w:r>
            <w:r w:rsidRPr="00D42AA1">
              <w:rPr>
                <w:rFonts w:ascii="Calibri" w:hAnsi="Calibri" w:cs="Calibri"/>
                <w:b/>
                <w:sz w:val="24"/>
                <w:szCs w:val="24"/>
              </w:rPr>
              <w:t>:</w:t>
            </w:r>
          </w:p>
        </w:tc>
        <w:tc>
          <w:tcPr>
            <w:tcW w:w="6681" w:type="dxa"/>
            <w:gridSpan w:val="2"/>
          </w:tcPr>
          <w:p w14:paraId="0DB69435" w14:textId="6B88EA25" w:rsidR="00B21952" w:rsidRDefault="00B21952" w:rsidP="00B21952">
            <w:pPr>
              <w:rPr>
                <w:rFonts w:ascii="Arial" w:hAnsi="Arial" w:cs="Arial"/>
                <w:b/>
                <w:color w:val="FF0000"/>
                <w:sz w:val="28"/>
                <w:szCs w:val="28"/>
              </w:rPr>
            </w:pPr>
            <w:r w:rsidRPr="00AF44DE">
              <w:rPr>
                <w:rFonts w:cstheme="minorHAnsi"/>
                <w:b/>
                <w:color w:val="000000" w:themeColor="text1"/>
              </w:rPr>
              <w:t>15</w:t>
            </w:r>
          </w:p>
        </w:tc>
      </w:tr>
      <w:tr w:rsidR="00B21952" w14:paraId="22D11E85" w14:textId="77777777" w:rsidTr="00345BBB">
        <w:tc>
          <w:tcPr>
            <w:tcW w:w="2988" w:type="dxa"/>
            <w:shd w:val="clear" w:color="auto" w:fill="D9D9D9" w:themeFill="background1" w:themeFillShade="D9"/>
          </w:tcPr>
          <w:p w14:paraId="7D93201F" w14:textId="77777777" w:rsidR="00B21952" w:rsidRPr="00B274A6" w:rsidRDefault="00B21952" w:rsidP="00B21952">
            <w:pPr>
              <w:rPr>
                <w:rFonts w:ascii="Calibri" w:hAnsi="Calibri" w:cs="Calibri"/>
                <w:b/>
                <w:sz w:val="24"/>
                <w:szCs w:val="24"/>
              </w:rPr>
            </w:pPr>
            <w:r w:rsidRPr="00D42AA1">
              <w:rPr>
                <w:rFonts w:ascii="Calibri" w:hAnsi="Calibri" w:cs="Calibri"/>
                <w:b/>
                <w:sz w:val="24"/>
                <w:szCs w:val="24"/>
              </w:rPr>
              <w:t>Semester:</w:t>
            </w:r>
          </w:p>
        </w:tc>
        <w:tc>
          <w:tcPr>
            <w:tcW w:w="6681" w:type="dxa"/>
            <w:gridSpan w:val="2"/>
          </w:tcPr>
          <w:p w14:paraId="10442F23" w14:textId="7E8B8519" w:rsidR="00B21952" w:rsidRDefault="00B21952" w:rsidP="00B21952">
            <w:pPr>
              <w:rPr>
                <w:rFonts w:ascii="Arial" w:hAnsi="Arial" w:cs="Arial"/>
                <w:b/>
                <w:color w:val="FF0000"/>
                <w:sz w:val="28"/>
                <w:szCs w:val="28"/>
              </w:rPr>
            </w:pPr>
            <w:r w:rsidRPr="00AF44DE">
              <w:rPr>
                <w:rFonts w:cstheme="minorHAnsi"/>
                <w:b/>
                <w:color w:val="000000" w:themeColor="text1"/>
              </w:rPr>
              <w:t>2</w:t>
            </w:r>
          </w:p>
        </w:tc>
      </w:tr>
      <w:tr w:rsidR="0063304D" w14:paraId="3D0C9D6C" w14:textId="77777777" w:rsidTr="00345BBB">
        <w:tc>
          <w:tcPr>
            <w:tcW w:w="2988" w:type="dxa"/>
            <w:shd w:val="clear" w:color="auto" w:fill="D9D9D9" w:themeFill="background1" w:themeFillShade="D9"/>
          </w:tcPr>
          <w:p w14:paraId="4B8C8EC3" w14:textId="77777777" w:rsidR="0063304D" w:rsidRPr="00D42AA1" w:rsidRDefault="0063304D" w:rsidP="0063304D">
            <w:pPr>
              <w:rPr>
                <w:rFonts w:ascii="Calibri" w:hAnsi="Calibri" w:cs="Calibri"/>
                <w:b/>
                <w:sz w:val="24"/>
                <w:szCs w:val="24"/>
              </w:rPr>
            </w:pPr>
            <w:r w:rsidRPr="00D42AA1">
              <w:rPr>
                <w:rFonts w:ascii="Calibri" w:hAnsi="Calibri" w:cs="Calibri"/>
                <w:b/>
                <w:sz w:val="24"/>
                <w:szCs w:val="24"/>
              </w:rPr>
              <w:t xml:space="preserve">Course Coordinator </w:t>
            </w:r>
          </w:p>
          <w:p w14:paraId="6A4D9C63"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contact details:</w:t>
            </w:r>
          </w:p>
        </w:tc>
        <w:tc>
          <w:tcPr>
            <w:tcW w:w="6681" w:type="dxa"/>
            <w:gridSpan w:val="2"/>
          </w:tcPr>
          <w:p w14:paraId="3E758218" w14:textId="2D402495" w:rsidR="0063304D" w:rsidRPr="00B274A6" w:rsidRDefault="00B21952" w:rsidP="00290A4D">
            <w:pPr>
              <w:rPr>
                <w:rFonts w:ascii="Arial" w:hAnsi="Arial" w:cs="Arial"/>
                <w:b/>
                <w:color w:val="FF0000"/>
                <w:sz w:val="24"/>
                <w:szCs w:val="24"/>
              </w:rPr>
            </w:pPr>
            <w:r w:rsidRPr="00B21952">
              <w:rPr>
                <w:color w:val="000000" w:themeColor="text1"/>
              </w:rPr>
              <w:t>Professor Ian Garrett (ian.garrett@manchester.ac.uk), AMBS 4.078, ext. 54958,</w:t>
            </w:r>
            <w:r w:rsidR="00D57CBE" w:rsidRPr="00B21952">
              <w:rPr>
                <w:color w:val="000000" w:themeColor="text1"/>
              </w:rPr>
              <w:t xml:space="preserve"> office hours</w:t>
            </w:r>
            <w:r w:rsidRPr="00B21952">
              <w:rPr>
                <w:color w:val="000000" w:themeColor="text1"/>
              </w:rPr>
              <w:t xml:space="preserve"> to be announced</w:t>
            </w:r>
          </w:p>
        </w:tc>
      </w:tr>
      <w:tr w:rsidR="0063304D" w14:paraId="41E2096F" w14:textId="77777777" w:rsidTr="00345BBB">
        <w:tc>
          <w:tcPr>
            <w:tcW w:w="2988" w:type="dxa"/>
            <w:shd w:val="clear" w:color="auto" w:fill="D9D9D9" w:themeFill="background1" w:themeFillShade="D9"/>
          </w:tcPr>
          <w:p w14:paraId="280015BF" w14:textId="77777777" w:rsidR="0063304D" w:rsidRPr="00B274A6" w:rsidRDefault="0063304D" w:rsidP="00D57CBE">
            <w:pPr>
              <w:rPr>
                <w:rFonts w:ascii="Calibri" w:hAnsi="Calibri" w:cs="Calibri"/>
                <w:b/>
                <w:sz w:val="24"/>
                <w:szCs w:val="24"/>
              </w:rPr>
            </w:pPr>
            <w:r w:rsidRPr="00D42AA1">
              <w:rPr>
                <w:rFonts w:ascii="Calibri" w:hAnsi="Calibri" w:cs="Calibri"/>
                <w:b/>
                <w:sz w:val="24"/>
                <w:szCs w:val="24"/>
              </w:rPr>
              <w:t>Other staff involved contact details:</w:t>
            </w:r>
          </w:p>
        </w:tc>
        <w:tc>
          <w:tcPr>
            <w:tcW w:w="6681" w:type="dxa"/>
            <w:gridSpan w:val="2"/>
          </w:tcPr>
          <w:p w14:paraId="264F0E3D" w14:textId="0DF65CEA" w:rsidR="0063304D" w:rsidRPr="00B274A6" w:rsidRDefault="00B21952" w:rsidP="00290A4D">
            <w:pPr>
              <w:rPr>
                <w:color w:val="FF0000"/>
              </w:rPr>
            </w:pPr>
            <w:r w:rsidRPr="00AF44DE">
              <w:rPr>
                <w:rFonts w:cstheme="minorHAnsi"/>
                <w:color w:val="000000" w:themeColor="text1"/>
              </w:rPr>
              <w:t>N/A</w:t>
            </w:r>
          </w:p>
        </w:tc>
      </w:tr>
      <w:tr w:rsidR="00345BBB" w14:paraId="64B92677" w14:textId="77777777" w:rsidTr="00345BBB">
        <w:tc>
          <w:tcPr>
            <w:tcW w:w="2988" w:type="dxa"/>
            <w:shd w:val="clear" w:color="auto" w:fill="D9D9D9" w:themeFill="background1" w:themeFillShade="D9"/>
          </w:tcPr>
          <w:p w14:paraId="1790C7E9" w14:textId="77777777" w:rsidR="00345BBB" w:rsidRDefault="00345BBB" w:rsidP="0063304D">
            <w:pPr>
              <w:rPr>
                <w:rFonts w:ascii="Calibri" w:hAnsi="Calibri" w:cs="Calibri"/>
                <w:b/>
                <w:sz w:val="24"/>
                <w:szCs w:val="24"/>
              </w:rPr>
            </w:pPr>
            <w:r>
              <w:rPr>
                <w:rFonts w:ascii="Calibri" w:hAnsi="Calibri" w:cs="Calibri"/>
                <w:b/>
                <w:sz w:val="24"/>
                <w:szCs w:val="24"/>
              </w:rPr>
              <w:t>Pre-requisites</w:t>
            </w:r>
          </w:p>
          <w:p w14:paraId="2851EE4B" w14:textId="77777777" w:rsidR="00345BBB" w:rsidRDefault="00345BBB" w:rsidP="0063304D">
            <w:pPr>
              <w:rPr>
                <w:rFonts w:ascii="Calibri" w:hAnsi="Calibri" w:cs="Calibri"/>
                <w:b/>
                <w:sz w:val="24"/>
                <w:szCs w:val="24"/>
              </w:rPr>
            </w:pPr>
            <w:r>
              <w:rPr>
                <w:rFonts w:ascii="Calibri" w:hAnsi="Calibri" w:cs="Calibri"/>
                <w:b/>
                <w:sz w:val="24"/>
                <w:szCs w:val="24"/>
              </w:rPr>
              <w:t>Co-requisites</w:t>
            </w:r>
          </w:p>
          <w:p w14:paraId="6A2F7302" w14:textId="77777777" w:rsidR="00345BBB" w:rsidRDefault="00B274A6" w:rsidP="0063304D">
            <w:pPr>
              <w:rPr>
                <w:rFonts w:ascii="Calibri" w:hAnsi="Calibri" w:cs="Calibri"/>
                <w:b/>
                <w:sz w:val="24"/>
                <w:szCs w:val="24"/>
              </w:rPr>
            </w:pPr>
            <w:r>
              <w:rPr>
                <w:rFonts w:ascii="Calibri" w:hAnsi="Calibri" w:cs="Calibri"/>
                <w:b/>
                <w:sz w:val="24"/>
                <w:szCs w:val="24"/>
              </w:rPr>
              <w:t>Dependent course units</w:t>
            </w:r>
          </w:p>
          <w:p w14:paraId="395C03AC" w14:textId="77777777" w:rsidR="00B274A6" w:rsidRPr="00D42AA1" w:rsidRDefault="00B274A6" w:rsidP="0063304D">
            <w:pPr>
              <w:rPr>
                <w:rFonts w:ascii="Calibri" w:hAnsi="Calibri" w:cs="Calibri"/>
                <w:b/>
                <w:sz w:val="24"/>
                <w:szCs w:val="24"/>
              </w:rPr>
            </w:pPr>
            <w:r>
              <w:rPr>
                <w:rFonts w:ascii="Calibri" w:hAnsi="Calibri" w:cs="Calibri"/>
                <w:b/>
                <w:sz w:val="24"/>
                <w:szCs w:val="24"/>
              </w:rPr>
              <w:t>Restrictions</w:t>
            </w:r>
          </w:p>
        </w:tc>
        <w:tc>
          <w:tcPr>
            <w:tcW w:w="6681" w:type="dxa"/>
            <w:gridSpan w:val="2"/>
          </w:tcPr>
          <w:p w14:paraId="1A059F33" w14:textId="6EEC6E36" w:rsidR="00345BBB" w:rsidRPr="00303944" w:rsidRDefault="00B21952" w:rsidP="00D57CBE">
            <w:pPr>
              <w:rPr>
                <w:color w:val="FF0000"/>
              </w:rPr>
            </w:pPr>
            <w:r w:rsidRPr="00B21952">
              <w:rPr>
                <w:color w:val="000000" w:themeColor="text1"/>
              </w:rPr>
              <w:t>This is a core course</w:t>
            </w:r>
            <w:r>
              <w:rPr>
                <w:color w:val="000000" w:themeColor="text1"/>
              </w:rPr>
              <w:t xml:space="preserve"> for the Accounting and Finance stream.</w:t>
            </w:r>
          </w:p>
        </w:tc>
      </w:tr>
      <w:tr w:rsidR="00A25907" w14:paraId="26EEC6EF" w14:textId="77777777" w:rsidTr="00345BBB">
        <w:tc>
          <w:tcPr>
            <w:tcW w:w="9669" w:type="dxa"/>
            <w:gridSpan w:val="3"/>
            <w:shd w:val="clear" w:color="auto" w:fill="7030A0"/>
          </w:tcPr>
          <w:p w14:paraId="2E059340" w14:textId="77777777" w:rsidR="00A25907" w:rsidRPr="00F429F4" w:rsidRDefault="00F429F4" w:rsidP="004003EA">
            <w:pPr>
              <w:rPr>
                <w:rFonts w:ascii="Arial" w:hAnsi="Arial" w:cs="Arial"/>
                <w:b/>
                <w:color w:val="FFFFFF" w:themeColor="background1"/>
                <w:sz w:val="24"/>
                <w:szCs w:val="24"/>
              </w:rPr>
            </w:pPr>
            <w:r>
              <w:rPr>
                <w:rFonts w:ascii="Arial" w:hAnsi="Arial" w:cs="Arial"/>
                <w:b/>
                <w:color w:val="FFFFFF" w:themeColor="background1"/>
                <w:sz w:val="24"/>
                <w:szCs w:val="24"/>
              </w:rPr>
              <w:t>Course unit overview</w:t>
            </w:r>
          </w:p>
        </w:tc>
      </w:tr>
      <w:tr w:rsidR="00F429F4" w14:paraId="6D5AAD9D" w14:textId="77777777" w:rsidTr="00345BBB">
        <w:tc>
          <w:tcPr>
            <w:tcW w:w="9669" w:type="dxa"/>
            <w:gridSpan w:val="3"/>
            <w:shd w:val="clear" w:color="auto" w:fill="auto"/>
          </w:tcPr>
          <w:p w14:paraId="315279A5" w14:textId="00FF2700" w:rsidR="00F429F4" w:rsidRPr="00B21952" w:rsidRDefault="00B21952" w:rsidP="004003EA">
            <w:pPr>
              <w:rPr>
                <w:rFonts w:ascii="Arial" w:hAnsi="Arial"/>
              </w:rPr>
            </w:pPr>
            <w:r>
              <w:rPr>
                <w:rFonts w:ascii="Arial" w:hAnsi="Arial" w:cs="Arial"/>
                <w:color w:val="000000"/>
              </w:rPr>
              <w:t xml:space="preserve">This course is a presentation-based course designed to get you used to presenting your work in front of your colleagues and peers. A key component of the PhD programme is presenting your research, not necessarily just in the annual review but at conferences as well. This course is designed to provide a foundation for this and to give you some experience of what </w:t>
            </w:r>
            <w:proofErr w:type="gramStart"/>
            <w:r>
              <w:rPr>
                <w:rFonts w:ascii="Arial" w:hAnsi="Arial" w:cs="Arial"/>
                <w:color w:val="000000"/>
              </w:rPr>
              <w:t>can be a daunting prospect</w:t>
            </w:r>
            <w:proofErr w:type="gramEnd"/>
            <w:r>
              <w:rPr>
                <w:rFonts w:ascii="Arial" w:hAnsi="Arial" w:cs="Arial"/>
                <w:color w:val="000000"/>
              </w:rPr>
              <w:t>: standing up in front of your peers, talking about your research and answering questions about your research from the audience.</w:t>
            </w:r>
          </w:p>
          <w:p w14:paraId="441178F8" w14:textId="77777777" w:rsidR="00F429F4" w:rsidRDefault="00F429F4" w:rsidP="004003EA">
            <w:pPr>
              <w:rPr>
                <w:rFonts w:ascii="Arial" w:hAnsi="Arial" w:cs="Arial"/>
                <w:b/>
                <w:color w:val="FFFFFF" w:themeColor="background1"/>
                <w:sz w:val="24"/>
                <w:szCs w:val="24"/>
              </w:rPr>
            </w:pPr>
          </w:p>
        </w:tc>
      </w:tr>
      <w:tr w:rsidR="004003EA" w14:paraId="42530CDF" w14:textId="77777777" w:rsidTr="00345BBB">
        <w:tc>
          <w:tcPr>
            <w:tcW w:w="9669" w:type="dxa"/>
            <w:gridSpan w:val="3"/>
            <w:shd w:val="clear" w:color="auto" w:fill="7030A0"/>
          </w:tcPr>
          <w:p w14:paraId="4AC352FA" w14:textId="77777777" w:rsidR="004003EA" w:rsidRPr="004003EA" w:rsidRDefault="004003EA" w:rsidP="004003EA">
            <w:pPr>
              <w:rPr>
                <w:rFonts w:ascii="Arial" w:hAnsi="Arial" w:cs="Arial"/>
                <w:b/>
                <w:color w:val="FFFFFF" w:themeColor="background1"/>
                <w:sz w:val="24"/>
                <w:szCs w:val="24"/>
              </w:rPr>
            </w:pPr>
            <w:r>
              <w:rPr>
                <w:rFonts w:ascii="Arial" w:hAnsi="Arial" w:cs="Arial"/>
                <w:b/>
                <w:color w:val="FFFFFF" w:themeColor="background1"/>
                <w:sz w:val="24"/>
                <w:szCs w:val="24"/>
              </w:rPr>
              <w:t>Aims</w:t>
            </w:r>
          </w:p>
        </w:tc>
      </w:tr>
      <w:tr w:rsidR="00B21952" w14:paraId="73EC45C6" w14:textId="77777777" w:rsidTr="00345BBB">
        <w:tc>
          <w:tcPr>
            <w:tcW w:w="9669" w:type="dxa"/>
            <w:gridSpan w:val="3"/>
          </w:tcPr>
          <w:p w14:paraId="20B36C7D" w14:textId="77777777" w:rsidR="00B21952" w:rsidRDefault="00B21952" w:rsidP="00B21952">
            <w:pPr>
              <w:rPr>
                <w:rFonts w:ascii="Arial" w:hAnsi="Arial" w:cstheme="minorHAnsi"/>
                <w:b/>
              </w:rPr>
            </w:pPr>
          </w:p>
          <w:p w14:paraId="1E55C08B" w14:textId="77777777" w:rsidR="00B21952" w:rsidRDefault="00B21952" w:rsidP="00B21952">
            <w:pPr>
              <w:numPr>
                <w:ilvl w:val="0"/>
                <w:numId w:val="1"/>
              </w:numPr>
              <w:suppressAutoHyphens/>
              <w:rPr>
                <w:rFonts w:ascii="Arial" w:hAnsi="Arial"/>
              </w:rPr>
            </w:pPr>
            <w:r>
              <w:rPr>
                <w:rFonts w:ascii="Arial" w:hAnsi="Arial" w:cstheme="minorHAnsi"/>
              </w:rPr>
              <w:t>To become more confident in presenting and discussing your research</w:t>
            </w:r>
          </w:p>
          <w:p w14:paraId="5AC852C3" w14:textId="77777777" w:rsidR="00B21952" w:rsidRDefault="00B21952" w:rsidP="00B21952">
            <w:pPr>
              <w:numPr>
                <w:ilvl w:val="0"/>
                <w:numId w:val="1"/>
              </w:numPr>
              <w:suppressAutoHyphens/>
              <w:rPr>
                <w:rFonts w:ascii="Arial" w:hAnsi="Arial"/>
              </w:rPr>
            </w:pPr>
            <w:r>
              <w:rPr>
                <w:rFonts w:ascii="Arial" w:hAnsi="Arial" w:cstheme="minorHAnsi"/>
              </w:rPr>
              <w:t>To improve presentational skills</w:t>
            </w:r>
          </w:p>
          <w:p w14:paraId="15122398" w14:textId="77777777" w:rsidR="00B21952" w:rsidRDefault="00B21952" w:rsidP="00B21952">
            <w:pPr>
              <w:rPr>
                <w:rFonts w:ascii="Arial" w:hAnsi="Arial" w:cs="Arial"/>
                <w:b/>
                <w:sz w:val="24"/>
                <w:szCs w:val="24"/>
              </w:rPr>
            </w:pPr>
          </w:p>
        </w:tc>
      </w:tr>
      <w:tr w:rsidR="00B21952" w14:paraId="3A7CD67B" w14:textId="77777777" w:rsidTr="00345BBB">
        <w:tc>
          <w:tcPr>
            <w:tcW w:w="9669" w:type="dxa"/>
            <w:gridSpan w:val="3"/>
            <w:shd w:val="clear" w:color="auto" w:fill="7030A0"/>
          </w:tcPr>
          <w:p w14:paraId="4A3DA8AD" w14:textId="119A74A3" w:rsidR="00B21952" w:rsidRPr="004003EA" w:rsidRDefault="00B21952" w:rsidP="00B21952">
            <w:pPr>
              <w:rPr>
                <w:rFonts w:ascii="Arial" w:hAnsi="Arial" w:cs="Arial"/>
                <w:b/>
                <w:color w:val="FFFFFF" w:themeColor="background1"/>
                <w:sz w:val="24"/>
                <w:szCs w:val="24"/>
              </w:rPr>
            </w:pPr>
            <w:r>
              <w:rPr>
                <w:rFonts w:ascii="Arial" w:hAnsi="Arial" w:cs="Arial"/>
                <w:b/>
                <w:color w:val="FFFFFF" w:themeColor="background1"/>
              </w:rPr>
              <w:t>Objectives (Learning outcomes)</w:t>
            </w:r>
          </w:p>
        </w:tc>
      </w:tr>
      <w:tr w:rsidR="00B21952" w14:paraId="6BD32771" w14:textId="77777777" w:rsidTr="00345BBB">
        <w:tc>
          <w:tcPr>
            <w:tcW w:w="9669" w:type="dxa"/>
            <w:gridSpan w:val="3"/>
          </w:tcPr>
          <w:p w14:paraId="6D7948A9" w14:textId="77777777" w:rsidR="00B21952" w:rsidRDefault="00B21952" w:rsidP="00B21952">
            <w:pPr>
              <w:spacing w:before="120" w:after="120"/>
              <w:jc w:val="both"/>
              <w:rPr>
                <w:rFonts w:ascii="Arial" w:hAnsi="Arial"/>
              </w:rPr>
            </w:pPr>
            <w:r>
              <w:rPr>
                <w:rFonts w:ascii="Arial" w:hAnsi="Arial" w:cstheme="minorHAnsi"/>
              </w:rPr>
              <w:t>On completion of this unit successful students will be able to:</w:t>
            </w:r>
          </w:p>
          <w:p w14:paraId="60E5651E" w14:textId="77777777" w:rsidR="00B21952" w:rsidRDefault="00B21952" w:rsidP="00B21952">
            <w:pPr>
              <w:numPr>
                <w:ilvl w:val="0"/>
                <w:numId w:val="2"/>
              </w:numPr>
              <w:tabs>
                <w:tab w:val="left" w:pos="220"/>
                <w:tab w:val="left" w:pos="720"/>
              </w:tabs>
              <w:suppressAutoHyphens/>
              <w:spacing w:before="120" w:after="120"/>
              <w:jc w:val="both"/>
              <w:rPr>
                <w:rFonts w:ascii="Arial" w:hAnsi="Arial"/>
              </w:rPr>
            </w:pPr>
            <w:r>
              <w:rPr>
                <w:rFonts w:ascii="Arial" w:hAnsi="Arial" w:cstheme="minorHAnsi"/>
              </w:rPr>
              <w:t>Understand how to present their research to a wider audience</w:t>
            </w:r>
          </w:p>
          <w:p w14:paraId="5B651520" w14:textId="77777777" w:rsidR="00B21952" w:rsidRDefault="00B21952" w:rsidP="00B21952">
            <w:pPr>
              <w:numPr>
                <w:ilvl w:val="0"/>
                <w:numId w:val="2"/>
              </w:numPr>
              <w:tabs>
                <w:tab w:val="left" w:pos="220"/>
                <w:tab w:val="left" w:pos="720"/>
              </w:tabs>
              <w:suppressAutoHyphens/>
              <w:spacing w:before="120" w:after="120"/>
              <w:jc w:val="both"/>
              <w:rPr>
                <w:rFonts w:ascii="Arial" w:hAnsi="Arial"/>
              </w:rPr>
            </w:pPr>
            <w:r>
              <w:rPr>
                <w:rFonts w:ascii="Arial" w:hAnsi="Arial" w:cstheme="minorHAnsi"/>
              </w:rPr>
              <w:t>Understand the differences required in preparing slides for conferences, workshops and research seminars</w:t>
            </w:r>
          </w:p>
          <w:p w14:paraId="3FDBBC4A" w14:textId="77777777" w:rsidR="00B21952" w:rsidRDefault="00B21952" w:rsidP="00B21952">
            <w:pPr>
              <w:ind w:left="-142"/>
              <w:rPr>
                <w:rFonts w:eastAsia="Batang" w:cs="Arial"/>
                <w:color w:val="FF0000"/>
                <w:lang w:eastAsia="de-DE"/>
              </w:rPr>
            </w:pPr>
          </w:p>
        </w:tc>
      </w:tr>
      <w:tr w:rsidR="00B21952" w14:paraId="076D5655" w14:textId="77777777" w:rsidTr="00345BBB">
        <w:tc>
          <w:tcPr>
            <w:tcW w:w="9669" w:type="dxa"/>
            <w:gridSpan w:val="3"/>
            <w:shd w:val="clear" w:color="auto" w:fill="7030A0"/>
          </w:tcPr>
          <w:p w14:paraId="1E9CFB9C" w14:textId="77777777" w:rsidR="00B21952" w:rsidRPr="004003EA" w:rsidRDefault="00B21952" w:rsidP="00B21952">
            <w:pPr>
              <w:rPr>
                <w:rFonts w:ascii="Arial" w:hAnsi="Arial" w:cs="Arial"/>
                <w:b/>
                <w:color w:val="FFFFFF" w:themeColor="background1"/>
                <w:sz w:val="24"/>
                <w:szCs w:val="24"/>
              </w:rPr>
            </w:pPr>
            <w:r>
              <w:rPr>
                <w:rFonts w:ascii="Arial" w:hAnsi="Arial" w:cs="Arial"/>
                <w:b/>
                <w:color w:val="FFFFFF" w:themeColor="background1"/>
                <w:sz w:val="24"/>
                <w:szCs w:val="24"/>
              </w:rPr>
              <w:t>Syllabus content</w:t>
            </w:r>
          </w:p>
        </w:tc>
      </w:tr>
      <w:tr w:rsidR="00B21952" w14:paraId="44676F40" w14:textId="77777777" w:rsidTr="00345BBB">
        <w:tc>
          <w:tcPr>
            <w:tcW w:w="9669" w:type="dxa"/>
            <w:gridSpan w:val="3"/>
          </w:tcPr>
          <w:p w14:paraId="1F2B9AA7" w14:textId="0CFF77B6" w:rsidR="00B21952" w:rsidRDefault="00B21952" w:rsidP="00B21952">
            <w:pPr>
              <w:rPr>
                <w:rFonts w:ascii="Arial" w:hAnsi="Arial"/>
              </w:rPr>
            </w:pPr>
            <w:r>
              <w:rPr>
                <w:rFonts w:ascii="Arial" w:hAnsi="Arial"/>
              </w:rPr>
              <w:t xml:space="preserve">This is a very flexible course that can fit around what is required in your </w:t>
            </w:r>
            <w:r>
              <w:rPr>
                <w:rFonts w:ascii="Arial" w:hAnsi="Arial"/>
              </w:rPr>
              <w:t xml:space="preserve">other </w:t>
            </w:r>
            <w:r>
              <w:rPr>
                <w:rFonts w:ascii="Arial" w:hAnsi="Arial"/>
              </w:rPr>
              <w:t xml:space="preserve">courses. Contact varies depending on how many take the course; in previous years the “mini-conferences”/presentation days have taken place over </w:t>
            </w:r>
            <w:r>
              <w:rPr>
                <w:rFonts w:ascii="Arial" w:hAnsi="Arial"/>
              </w:rPr>
              <w:t xml:space="preserve">between two and </w:t>
            </w:r>
            <w:r>
              <w:rPr>
                <w:rFonts w:ascii="Arial" w:hAnsi="Arial"/>
              </w:rPr>
              <w:t>four days. There will be two formal lecture-style sessions at the start of the course (they are a mix of lecture, workshop and tutorial); the presentations will take place roughly mid-way through the course and just prior to the AMBS Doctoral Conference.</w:t>
            </w:r>
          </w:p>
          <w:p w14:paraId="72F537B7" w14:textId="77777777" w:rsidR="00B21952" w:rsidRDefault="00B21952" w:rsidP="00B21952">
            <w:pPr>
              <w:rPr>
                <w:rFonts w:ascii="Arial" w:hAnsi="Arial" w:cs="Arial"/>
                <w:b/>
                <w:sz w:val="24"/>
                <w:szCs w:val="24"/>
              </w:rPr>
            </w:pPr>
          </w:p>
        </w:tc>
      </w:tr>
      <w:tr w:rsidR="00B21952" w:rsidRPr="004003EA" w14:paraId="2AE9EF3C" w14:textId="77777777" w:rsidTr="00345BBB">
        <w:tc>
          <w:tcPr>
            <w:tcW w:w="9669" w:type="dxa"/>
            <w:gridSpan w:val="3"/>
            <w:shd w:val="clear" w:color="auto" w:fill="7030A0"/>
          </w:tcPr>
          <w:p w14:paraId="4F23C92F" w14:textId="77777777" w:rsidR="00B21952" w:rsidRPr="004003EA" w:rsidRDefault="00B21952" w:rsidP="00B21952">
            <w:pPr>
              <w:rPr>
                <w:rFonts w:ascii="Arial" w:hAnsi="Arial" w:cs="Arial"/>
                <w:b/>
                <w:color w:val="FFFFFF" w:themeColor="background1"/>
                <w:sz w:val="24"/>
                <w:szCs w:val="24"/>
              </w:rPr>
            </w:pPr>
            <w:r>
              <w:rPr>
                <w:rFonts w:ascii="Arial" w:hAnsi="Arial" w:cs="Arial"/>
                <w:b/>
                <w:color w:val="FFFFFF" w:themeColor="background1"/>
                <w:sz w:val="24"/>
                <w:szCs w:val="24"/>
              </w:rPr>
              <w:t>Methods of delivery</w:t>
            </w:r>
          </w:p>
        </w:tc>
      </w:tr>
      <w:tr w:rsidR="00B21952" w14:paraId="1985DB92" w14:textId="77777777" w:rsidTr="006A15A6">
        <w:tc>
          <w:tcPr>
            <w:tcW w:w="4729" w:type="dxa"/>
            <w:gridSpan w:val="2"/>
            <w:shd w:val="clear" w:color="auto" w:fill="D9D9D9" w:themeFill="background1" w:themeFillShade="D9"/>
          </w:tcPr>
          <w:p w14:paraId="6B8B9E7F" w14:textId="77777777" w:rsidR="00B21952" w:rsidRPr="00D42AA1" w:rsidRDefault="00B21952" w:rsidP="00B21952">
            <w:pPr>
              <w:rPr>
                <w:rFonts w:ascii="Calibri" w:hAnsi="Calibri" w:cs="Calibri"/>
                <w:b/>
                <w:sz w:val="24"/>
                <w:szCs w:val="24"/>
              </w:rPr>
            </w:pPr>
            <w:r w:rsidRPr="00D42AA1">
              <w:rPr>
                <w:rFonts w:ascii="Calibri" w:hAnsi="Calibri" w:cs="Calibri"/>
                <w:b/>
                <w:sz w:val="24"/>
                <w:szCs w:val="24"/>
              </w:rPr>
              <w:t>Lectures</w:t>
            </w:r>
          </w:p>
        </w:tc>
        <w:tc>
          <w:tcPr>
            <w:tcW w:w="4940" w:type="dxa"/>
          </w:tcPr>
          <w:p w14:paraId="664C55D6" w14:textId="516CC0FF" w:rsidR="00B21952" w:rsidRPr="00B274A6" w:rsidRDefault="00B21952" w:rsidP="00B21952">
            <w:pPr>
              <w:rPr>
                <w:color w:val="FF0000"/>
              </w:rPr>
            </w:pPr>
            <w:r>
              <w:rPr>
                <w:rFonts w:ascii="Arial" w:hAnsi="Arial"/>
                <w:color w:val="000000" w:themeColor="text1"/>
              </w:rPr>
              <w:t>2 x 3 hours</w:t>
            </w:r>
          </w:p>
        </w:tc>
      </w:tr>
      <w:tr w:rsidR="00B21952" w14:paraId="4EA88924" w14:textId="77777777" w:rsidTr="006A15A6">
        <w:tc>
          <w:tcPr>
            <w:tcW w:w="4729" w:type="dxa"/>
            <w:gridSpan w:val="2"/>
            <w:shd w:val="clear" w:color="auto" w:fill="D9D9D9" w:themeFill="background1" w:themeFillShade="D9"/>
          </w:tcPr>
          <w:p w14:paraId="3F4527F0" w14:textId="77777777" w:rsidR="00B21952" w:rsidRPr="00D42AA1" w:rsidRDefault="00B21952" w:rsidP="00B21952">
            <w:pPr>
              <w:rPr>
                <w:rFonts w:ascii="Calibri" w:hAnsi="Calibri" w:cs="Calibri"/>
                <w:b/>
                <w:sz w:val="24"/>
                <w:szCs w:val="24"/>
              </w:rPr>
            </w:pPr>
            <w:r w:rsidRPr="00D42AA1">
              <w:rPr>
                <w:rFonts w:ascii="Calibri" w:hAnsi="Calibri" w:cs="Calibri"/>
                <w:b/>
                <w:sz w:val="24"/>
                <w:szCs w:val="24"/>
              </w:rPr>
              <w:t>Seminar/Tutorial/Workshop/Lab Hours</w:t>
            </w:r>
          </w:p>
          <w:p w14:paraId="5B19E8FE" w14:textId="77777777" w:rsidR="00B21952" w:rsidRPr="00D42AA1" w:rsidRDefault="00B21952" w:rsidP="00B21952">
            <w:pPr>
              <w:rPr>
                <w:rFonts w:ascii="Calibri" w:hAnsi="Calibri" w:cs="Calibri"/>
                <w:b/>
                <w:sz w:val="24"/>
                <w:szCs w:val="24"/>
              </w:rPr>
            </w:pPr>
          </w:p>
        </w:tc>
        <w:tc>
          <w:tcPr>
            <w:tcW w:w="4940" w:type="dxa"/>
          </w:tcPr>
          <w:p w14:paraId="099EC4F4" w14:textId="77777777" w:rsidR="00B21952" w:rsidRDefault="00B21952" w:rsidP="00B21952">
            <w:pPr>
              <w:rPr>
                <w:rFonts w:ascii="Arial" w:hAnsi="Arial"/>
              </w:rPr>
            </w:pPr>
            <w:r>
              <w:rPr>
                <w:rFonts w:ascii="Arial" w:hAnsi="Arial"/>
                <w:color w:val="000000" w:themeColor="text1"/>
              </w:rPr>
              <w:t>This is dependent upon the number of students on the course: more detail will be provided once course numbers are available.</w:t>
            </w:r>
          </w:p>
          <w:p w14:paraId="2AF67066" w14:textId="77777777" w:rsidR="00B21952" w:rsidRDefault="00B21952" w:rsidP="00B21952">
            <w:pPr>
              <w:rPr>
                <w:rFonts w:ascii="Arial" w:hAnsi="Arial"/>
              </w:rPr>
            </w:pPr>
          </w:p>
          <w:p w14:paraId="0C0C4B11" w14:textId="4B42D5E4" w:rsidR="00B21952" w:rsidRPr="00B274A6" w:rsidRDefault="00B21952" w:rsidP="00B21952">
            <w:pPr>
              <w:rPr>
                <w:color w:val="FF0000"/>
              </w:rPr>
            </w:pPr>
            <w:r>
              <w:rPr>
                <w:rFonts w:ascii="Arial" w:hAnsi="Arial"/>
                <w:color w:val="000000" w:themeColor="text1"/>
              </w:rPr>
              <w:lastRenderedPageBreak/>
              <w:t xml:space="preserve">To give you an idea of what is involved </w:t>
            </w:r>
            <w:proofErr w:type="gramStart"/>
            <w:r>
              <w:rPr>
                <w:rFonts w:ascii="Arial" w:hAnsi="Arial"/>
                <w:color w:val="000000" w:themeColor="text1"/>
              </w:rPr>
              <w:t>time-wise</w:t>
            </w:r>
            <w:proofErr w:type="gramEnd"/>
            <w:r>
              <w:rPr>
                <w:rFonts w:ascii="Arial" w:hAnsi="Arial"/>
                <w:color w:val="000000" w:themeColor="text1"/>
              </w:rPr>
              <w:t xml:space="preserve">, the presentation sessions are organised as mini conferences which you will all attend and present at. In 2018/19 there were seven students on the </w:t>
            </w:r>
            <w:proofErr w:type="gramStart"/>
            <w:r>
              <w:rPr>
                <w:rFonts w:ascii="Arial" w:hAnsi="Arial"/>
                <w:color w:val="000000" w:themeColor="text1"/>
              </w:rPr>
              <w:t>course</w:t>
            </w:r>
            <w:proofErr w:type="gramEnd"/>
            <w:r>
              <w:rPr>
                <w:rFonts w:ascii="Arial" w:hAnsi="Arial"/>
                <w:color w:val="000000" w:themeColor="text1"/>
              </w:rPr>
              <w:t xml:space="preserve"> so the presentations were organised across four days in total. If there are fewer than seven, students, you can expect the sessions to be organised across two or three days in total; if there are more, you can expect the sessions to be organised across four or more days in total.</w:t>
            </w:r>
          </w:p>
        </w:tc>
      </w:tr>
      <w:tr w:rsidR="00B21952" w14:paraId="132EADB3" w14:textId="77777777" w:rsidTr="006A15A6">
        <w:tc>
          <w:tcPr>
            <w:tcW w:w="4729" w:type="dxa"/>
            <w:gridSpan w:val="2"/>
            <w:shd w:val="clear" w:color="auto" w:fill="D9D9D9" w:themeFill="background1" w:themeFillShade="D9"/>
          </w:tcPr>
          <w:p w14:paraId="32A20C3C" w14:textId="77777777" w:rsidR="00B21952" w:rsidRPr="00D42AA1" w:rsidRDefault="00B21952" w:rsidP="00B21952">
            <w:pPr>
              <w:rPr>
                <w:rFonts w:ascii="Calibri" w:hAnsi="Calibri" w:cs="Calibri"/>
                <w:b/>
                <w:sz w:val="24"/>
                <w:szCs w:val="24"/>
              </w:rPr>
            </w:pPr>
            <w:r>
              <w:rPr>
                <w:rFonts w:ascii="Calibri" w:hAnsi="Calibri" w:cs="Calibri"/>
                <w:b/>
                <w:sz w:val="24"/>
                <w:szCs w:val="24"/>
              </w:rPr>
              <w:lastRenderedPageBreak/>
              <w:t>Independent</w:t>
            </w:r>
            <w:r w:rsidRPr="00D42AA1">
              <w:rPr>
                <w:rFonts w:ascii="Calibri" w:hAnsi="Calibri" w:cs="Calibri"/>
                <w:b/>
                <w:sz w:val="24"/>
                <w:szCs w:val="24"/>
              </w:rPr>
              <w:t xml:space="preserve"> Study</w:t>
            </w:r>
          </w:p>
        </w:tc>
        <w:tc>
          <w:tcPr>
            <w:tcW w:w="4940" w:type="dxa"/>
          </w:tcPr>
          <w:p w14:paraId="07CB0941" w14:textId="77777777" w:rsidR="00B21952" w:rsidRPr="00B274A6" w:rsidRDefault="00B21952" w:rsidP="00B21952">
            <w:pPr>
              <w:rPr>
                <w:color w:val="FF0000"/>
              </w:rPr>
            </w:pPr>
          </w:p>
        </w:tc>
      </w:tr>
      <w:tr w:rsidR="00B21952" w14:paraId="24BC0AB0" w14:textId="77777777" w:rsidTr="006A15A6">
        <w:tc>
          <w:tcPr>
            <w:tcW w:w="4729" w:type="dxa"/>
            <w:gridSpan w:val="2"/>
            <w:shd w:val="clear" w:color="auto" w:fill="D9D9D9" w:themeFill="background1" w:themeFillShade="D9"/>
          </w:tcPr>
          <w:p w14:paraId="00CA7084" w14:textId="77777777" w:rsidR="00B21952" w:rsidRPr="00D42AA1" w:rsidRDefault="00B21952" w:rsidP="00B21952">
            <w:pPr>
              <w:rPr>
                <w:rFonts w:ascii="Calibri" w:hAnsi="Calibri" w:cs="Calibri"/>
                <w:b/>
                <w:sz w:val="24"/>
                <w:szCs w:val="24"/>
              </w:rPr>
            </w:pPr>
            <w:r w:rsidRPr="00D42AA1">
              <w:rPr>
                <w:rFonts w:ascii="Calibri" w:hAnsi="Calibri" w:cs="Calibri"/>
                <w:b/>
                <w:sz w:val="24"/>
                <w:szCs w:val="24"/>
              </w:rPr>
              <w:t>Total Study Hours</w:t>
            </w:r>
          </w:p>
          <w:p w14:paraId="714B2C2D" w14:textId="77777777" w:rsidR="00B21952" w:rsidRPr="00D42AA1" w:rsidRDefault="00B21952" w:rsidP="00B21952">
            <w:pPr>
              <w:rPr>
                <w:rFonts w:ascii="Calibri" w:hAnsi="Calibri" w:cs="Calibri"/>
                <w:b/>
                <w:color w:val="FF0000"/>
                <w:sz w:val="24"/>
                <w:szCs w:val="24"/>
              </w:rPr>
            </w:pPr>
          </w:p>
        </w:tc>
        <w:tc>
          <w:tcPr>
            <w:tcW w:w="4940" w:type="dxa"/>
          </w:tcPr>
          <w:p w14:paraId="6BEAAB57" w14:textId="4FDABF4D" w:rsidR="00B21952" w:rsidRPr="00B274A6" w:rsidRDefault="00B21952" w:rsidP="00B21952">
            <w:pPr>
              <w:rPr>
                <w:color w:val="FF0000"/>
              </w:rPr>
            </w:pPr>
            <w:r>
              <w:rPr>
                <w:rFonts w:ascii="Arial" w:hAnsi="Arial"/>
                <w:color w:val="000000" w:themeColor="text1"/>
              </w:rPr>
              <w:t>150</w:t>
            </w:r>
          </w:p>
        </w:tc>
      </w:tr>
      <w:tr w:rsidR="00B21952" w:rsidRPr="004003EA" w14:paraId="6A930239" w14:textId="77777777" w:rsidTr="00345BBB">
        <w:trPr>
          <w:trHeight w:val="254"/>
        </w:trPr>
        <w:tc>
          <w:tcPr>
            <w:tcW w:w="9669" w:type="dxa"/>
            <w:gridSpan w:val="3"/>
            <w:shd w:val="clear" w:color="auto" w:fill="7030A0"/>
          </w:tcPr>
          <w:p w14:paraId="5CF2D2EF" w14:textId="77777777" w:rsidR="00B21952" w:rsidRPr="004003EA" w:rsidRDefault="00B21952" w:rsidP="00B21952">
            <w:pPr>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r w:rsidR="00B21952" w14:paraId="18EE9C75" w14:textId="77777777" w:rsidTr="00345BBB">
        <w:tc>
          <w:tcPr>
            <w:tcW w:w="9669" w:type="dxa"/>
            <w:gridSpan w:val="3"/>
          </w:tcPr>
          <w:p w14:paraId="69B9D344" w14:textId="77777777" w:rsidR="00B21952" w:rsidRDefault="00B21952" w:rsidP="00B21952">
            <w:pPr>
              <w:rPr>
                <w:rFonts w:ascii="Arial" w:hAnsi="Arial"/>
              </w:rPr>
            </w:pPr>
            <w:r>
              <w:rPr>
                <w:rFonts w:ascii="Arial" w:hAnsi="Arial"/>
              </w:rPr>
              <w:t>As the course is a presentation-based course and the presentations themselves are based on your research topics, there is no pre-reading, core text or core reading for the course. Reading for the course will be based on papers that are central to your research questions. Reading will therefore be advised as the course proceeds.</w:t>
            </w:r>
          </w:p>
          <w:p w14:paraId="4CB6B946" w14:textId="44FE456A" w:rsidR="00B21952" w:rsidRPr="00345BBB" w:rsidRDefault="00B21952" w:rsidP="00B21952">
            <w:pPr>
              <w:rPr>
                <w:rFonts w:cstheme="minorHAnsi"/>
                <w:color w:val="FF0000"/>
              </w:rPr>
            </w:pPr>
          </w:p>
        </w:tc>
      </w:tr>
      <w:tr w:rsidR="00B21952" w:rsidRPr="004003EA" w14:paraId="1293F870" w14:textId="77777777" w:rsidTr="00345BBB">
        <w:trPr>
          <w:trHeight w:val="328"/>
        </w:trPr>
        <w:tc>
          <w:tcPr>
            <w:tcW w:w="9669" w:type="dxa"/>
            <w:gridSpan w:val="3"/>
            <w:shd w:val="clear" w:color="auto" w:fill="7030A0"/>
          </w:tcPr>
          <w:p w14:paraId="14F4E8CF" w14:textId="77777777" w:rsidR="00B21952" w:rsidRPr="004003EA" w:rsidRDefault="00B21952" w:rsidP="00B21952">
            <w:pPr>
              <w:ind w:right="-70"/>
              <w:rPr>
                <w:rFonts w:ascii="Arial" w:hAnsi="Arial" w:cs="Arial"/>
                <w:b/>
                <w:color w:val="FFFFFF" w:themeColor="background1"/>
                <w:sz w:val="24"/>
                <w:szCs w:val="24"/>
              </w:rPr>
            </w:pPr>
            <w:r>
              <w:rPr>
                <w:rFonts w:ascii="Arial" w:hAnsi="Arial" w:cs="Arial"/>
                <w:b/>
                <w:color w:val="FFFFFF" w:themeColor="background1"/>
                <w:sz w:val="24"/>
                <w:szCs w:val="24"/>
              </w:rPr>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2271EC59" w14:textId="77777777" w:rsidTr="006A15A6">
        <w:tc>
          <w:tcPr>
            <w:tcW w:w="5217" w:type="dxa"/>
            <w:shd w:val="clear" w:color="auto" w:fill="D9D9D9" w:themeFill="background1" w:themeFillShade="D9"/>
            <w:vAlign w:val="center"/>
          </w:tcPr>
          <w:p w14:paraId="51AE8CBF"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305A4DBC"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1364F0AE"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B21952" w:rsidRPr="002F7643" w14:paraId="23500F02" w14:textId="77777777" w:rsidTr="00345BBB">
        <w:tc>
          <w:tcPr>
            <w:tcW w:w="5217" w:type="dxa"/>
          </w:tcPr>
          <w:p w14:paraId="30506E54" w14:textId="77777777" w:rsidR="00B21952" w:rsidRDefault="00B21952" w:rsidP="00B21952">
            <w:pPr>
              <w:spacing w:before="120" w:after="120" w:line="240" w:lineRule="auto"/>
              <w:rPr>
                <w:rFonts w:ascii="Arial" w:hAnsi="Arial"/>
                <w:color w:val="000000"/>
              </w:rPr>
            </w:pPr>
            <w:r>
              <w:rPr>
                <w:rFonts w:ascii="Arial" w:hAnsi="Arial"/>
                <w:color w:val="000000"/>
              </w:rPr>
              <w:t>Two individual presentations:</w:t>
            </w:r>
          </w:p>
          <w:p w14:paraId="18A5592C" w14:textId="77777777" w:rsidR="00B21952" w:rsidRDefault="00B21952" w:rsidP="00B21952">
            <w:pPr>
              <w:numPr>
                <w:ilvl w:val="0"/>
                <w:numId w:val="3"/>
              </w:numPr>
              <w:suppressAutoHyphens/>
              <w:spacing w:before="120" w:after="120" w:line="240" w:lineRule="auto"/>
              <w:rPr>
                <w:rFonts w:ascii="Arial" w:hAnsi="Arial"/>
              </w:rPr>
            </w:pPr>
            <w:r>
              <w:rPr>
                <w:rFonts w:ascii="Arial" w:hAnsi="Arial"/>
                <w:color w:val="000000"/>
              </w:rPr>
              <w:t xml:space="preserve">Presentation and discussion of a paper that is key to your research question. </w:t>
            </w:r>
          </w:p>
          <w:p w14:paraId="31A38A1F" w14:textId="1A5A997F" w:rsidR="00B21952" w:rsidRPr="00345BBB" w:rsidRDefault="00B21952" w:rsidP="00B21952">
            <w:pPr>
              <w:autoSpaceDE w:val="0"/>
              <w:autoSpaceDN w:val="0"/>
              <w:spacing w:before="120" w:after="120" w:line="240" w:lineRule="auto"/>
              <w:rPr>
                <w:rFonts w:eastAsia="Batang" w:cs="Palatino Linotype"/>
                <w:color w:val="FF0000"/>
                <w:lang w:eastAsia="ko-KR"/>
              </w:rPr>
            </w:pPr>
            <w:r>
              <w:rPr>
                <w:rFonts w:ascii="Arial" w:hAnsi="Arial"/>
                <w:color w:val="000000"/>
              </w:rPr>
              <w:t>A hybrid of your AMBS Doctoral Conference presentation and your Annual Review presentation.</w:t>
            </w:r>
          </w:p>
        </w:tc>
        <w:tc>
          <w:tcPr>
            <w:tcW w:w="1984" w:type="dxa"/>
          </w:tcPr>
          <w:p w14:paraId="461125E8" w14:textId="77777777" w:rsidR="00B21952" w:rsidRDefault="00B21952" w:rsidP="00B21952">
            <w:pPr>
              <w:spacing w:before="120" w:after="120" w:line="240" w:lineRule="auto"/>
              <w:jc w:val="center"/>
              <w:rPr>
                <w:rFonts w:ascii="Arial" w:eastAsia="Batang" w:hAnsi="Arial" w:cs="Palatino Linotype"/>
                <w:lang w:eastAsia="ko-KR"/>
              </w:rPr>
            </w:pPr>
          </w:p>
          <w:p w14:paraId="1AE81FD5" w14:textId="77777777" w:rsidR="00B21952" w:rsidRDefault="00B21952" w:rsidP="00B21952">
            <w:pPr>
              <w:spacing w:before="120" w:after="120" w:line="240" w:lineRule="auto"/>
              <w:jc w:val="center"/>
              <w:rPr>
                <w:rFonts w:ascii="Arial" w:eastAsia="Batang" w:hAnsi="Arial" w:cs="Palatino Linotype"/>
                <w:lang w:eastAsia="ko-KR"/>
              </w:rPr>
            </w:pPr>
            <w:r>
              <w:rPr>
                <w:rFonts w:ascii="Arial" w:eastAsia="Batang" w:hAnsi="Arial" w:cs="Palatino Linotype"/>
                <w:lang w:eastAsia="ko-KR"/>
              </w:rPr>
              <w:t>Approximately 20 minutes</w:t>
            </w:r>
          </w:p>
          <w:p w14:paraId="69F68274" w14:textId="5619ED18" w:rsidR="00B21952" w:rsidRPr="002F7643" w:rsidRDefault="00B21952" w:rsidP="00B21952">
            <w:pPr>
              <w:autoSpaceDE w:val="0"/>
              <w:autoSpaceDN w:val="0"/>
              <w:spacing w:before="120" w:after="120" w:line="240" w:lineRule="auto"/>
              <w:jc w:val="center"/>
              <w:rPr>
                <w:rFonts w:eastAsia="Batang" w:cs="Palatino Linotype"/>
                <w:lang w:eastAsia="ko-KR"/>
              </w:rPr>
            </w:pPr>
            <w:r>
              <w:rPr>
                <w:rFonts w:ascii="Arial" w:eastAsia="Batang" w:hAnsi="Arial" w:cs="Palatino Linotype"/>
                <w:lang w:eastAsia="ko-KR"/>
              </w:rPr>
              <w:t>Approximately 30 minutes</w:t>
            </w:r>
          </w:p>
        </w:tc>
        <w:tc>
          <w:tcPr>
            <w:tcW w:w="2439" w:type="dxa"/>
          </w:tcPr>
          <w:p w14:paraId="3BA98CD5" w14:textId="77777777" w:rsidR="00B21952" w:rsidRDefault="00B21952" w:rsidP="00B21952">
            <w:pPr>
              <w:spacing w:before="120" w:after="120" w:line="240" w:lineRule="auto"/>
              <w:jc w:val="center"/>
              <w:rPr>
                <w:rFonts w:ascii="Arial" w:eastAsia="Batang" w:hAnsi="Arial" w:cs="Palatino Linotype"/>
                <w:lang w:eastAsia="ko-KR"/>
              </w:rPr>
            </w:pPr>
          </w:p>
          <w:p w14:paraId="728C9C6B" w14:textId="77777777" w:rsidR="00B21952" w:rsidRDefault="00B21952" w:rsidP="00B21952">
            <w:pPr>
              <w:spacing w:before="120" w:after="120" w:line="240" w:lineRule="auto"/>
              <w:jc w:val="center"/>
              <w:rPr>
                <w:rFonts w:ascii="Arial" w:eastAsia="Batang" w:hAnsi="Arial" w:cs="Palatino Linotype"/>
                <w:lang w:eastAsia="ko-KR"/>
              </w:rPr>
            </w:pPr>
            <w:r>
              <w:rPr>
                <w:rFonts w:ascii="Arial" w:eastAsia="Batang" w:hAnsi="Arial" w:cs="Palatino Linotype"/>
                <w:lang w:eastAsia="ko-KR"/>
              </w:rPr>
              <w:t>30%</w:t>
            </w:r>
          </w:p>
          <w:p w14:paraId="1759BB4C" w14:textId="77777777" w:rsidR="00B21952" w:rsidRDefault="00B21952" w:rsidP="00B21952">
            <w:pPr>
              <w:spacing w:before="120" w:after="120" w:line="240" w:lineRule="auto"/>
              <w:jc w:val="center"/>
              <w:rPr>
                <w:rFonts w:ascii="Arial" w:eastAsia="Batang" w:hAnsi="Arial" w:cs="Palatino Linotype"/>
                <w:lang w:eastAsia="ko-KR"/>
              </w:rPr>
            </w:pPr>
          </w:p>
          <w:p w14:paraId="30F78903" w14:textId="687300FD" w:rsidR="00B21952" w:rsidRPr="002F7643" w:rsidRDefault="00B21952" w:rsidP="00B21952">
            <w:pPr>
              <w:autoSpaceDE w:val="0"/>
              <w:autoSpaceDN w:val="0"/>
              <w:spacing w:before="120" w:after="120" w:line="240" w:lineRule="auto"/>
              <w:jc w:val="center"/>
              <w:rPr>
                <w:rFonts w:eastAsia="Batang" w:cs="Palatino Linotype"/>
                <w:lang w:eastAsia="ko-KR"/>
              </w:rPr>
            </w:pPr>
            <w:r>
              <w:rPr>
                <w:rFonts w:ascii="Arial" w:eastAsia="Batang" w:hAnsi="Arial" w:cs="Palatino Linotype"/>
                <w:lang w:eastAsia="ko-KR"/>
              </w:rPr>
              <w:t>70%</w:t>
            </w:r>
          </w:p>
        </w:tc>
      </w:tr>
      <w:tr w:rsidR="00B21952" w:rsidRPr="002F7643" w14:paraId="2E28E49D" w14:textId="77777777" w:rsidTr="00345BBB">
        <w:tc>
          <w:tcPr>
            <w:tcW w:w="5217" w:type="dxa"/>
          </w:tcPr>
          <w:p w14:paraId="515C8E2D" w14:textId="65E92FB0" w:rsidR="00B21952" w:rsidRPr="00D42AA1" w:rsidRDefault="00B21952" w:rsidP="00B21952">
            <w:pPr>
              <w:spacing w:after="0" w:line="240" w:lineRule="auto"/>
              <w:rPr>
                <w:color w:val="FF0000"/>
              </w:rPr>
            </w:pPr>
            <w:r>
              <w:rPr>
                <w:rFonts w:ascii="Arial" w:eastAsia="Batang" w:hAnsi="Arial" w:cs="Palatino Linotype"/>
                <w:b/>
                <w:lang w:eastAsia="ko-KR"/>
              </w:rPr>
              <w:t>Resits</w:t>
            </w:r>
            <w:r>
              <w:rPr>
                <w:rFonts w:ascii="Arial" w:eastAsia="Batang" w:hAnsi="Arial" w:cs="Palatino Linotype"/>
                <w:lang w:eastAsia="ko-KR"/>
              </w:rPr>
              <w:t xml:space="preserve">: </w:t>
            </w:r>
            <w:r>
              <w:rPr>
                <w:rFonts w:ascii="Arial" w:hAnsi="Arial"/>
                <w:color w:val="000000"/>
              </w:rPr>
              <w:t>Repeat presentations.</w:t>
            </w:r>
          </w:p>
        </w:tc>
        <w:tc>
          <w:tcPr>
            <w:tcW w:w="1984" w:type="dxa"/>
          </w:tcPr>
          <w:p w14:paraId="66C73501" w14:textId="77777777" w:rsidR="00B21952" w:rsidRPr="002F7643" w:rsidRDefault="00B21952" w:rsidP="00B21952">
            <w:pPr>
              <w:autoSpaceDE w:val="0"/>
              <w:autoSpaceDN w:val="0"/>
              <w:spacing w:before="120" w:after="120" w:line="240" w:lineRule="auto"/>
              <w:jc w:val="center"/>
              <w:rPr>
                <w:rFonts w:eastAsia="Batang" w:cs="Palatino Linotype"/>
                <w:lang w:eastAsia="ko-KR"/>
              </w:rPr>
            </w:pPr>
          </w:p>
        </w:tc>
        <w:tc>
          <w:tcPr>
            <w:tcW w:w="2439" w:type="dxa"/>
          </w:tcPr>
          <w:p w14:paraId="03494D58" w14:textId="77777777" w:rsidR="00B21952" w:rsidRPr="002F7643" w:rsidRDefault="00B21952" w:rsidP="00B21952">
            <w:pPr>
              <w:autoSpaceDE w:val="0"/>
              <w:autoSpaceDN w:val="0"/>
              <w:spacing w:before="120" w:after="120" w:line="240" w:lineRule="auto"/>
              <w:jc w:val="center"/>
              <w:rPr>
                <w:rFonts w:eastAsia="Batang" w:cs="Palatino Linotype"/>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4003EA" w14:paraId="65B2F977" w14:textId="77777777" w:rsidTr="00345BBB">
        <w:tc>
          <w:tcPr>
            <w:tcW w:w="9640" w:type="dxa"/>
            <w:shd w:val="clear" w:color="auto" w:fill="7030A0"/>
          </w:tcPr>
          <w:p w14:paraId="71D724FD"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B21952" w14:paraId="6ED2D7B4" w14:textId="77777777" w:rsidTr="00345BBB">
        <w:tc>
          <w:tcPr>
            <w:tcW w:w="9640" w:type="dxa"/>
          </w:tcPr>
          <w:p w14:paraId="45A41CB3" w14:textId="77777777" w:rsidR="00B21952" w:rsidRDefault="00B21952" w:rsidP="00B21952">
            <w:pPr>
              <w:rPr>
                <w:rFonts w:cstheme="minorHAnsi"/>
                <w:color w:val="000000"/>
              </w:rPr>
            </w:pPr>
          </w:p>
          <w:p w14:paraId="43EDC7A2" w14:textId="77777777" w:rsidR="00B21952" w:rsidRDefault="00B21952" w:rsidP="00B21952">
            <w:pPr>
              <w:rPr>
                <w:rFonts w:ascii="Arial" w:hAnsi="Arial"/>
              </w:rPr>
            </w:pPr>
            <w:r>
              <w:rPr>
                <w:rFonts w:ascii="Arial" w:hAnsi="Arial" w:cstheme="minorHAnsi"/>
                <w:color w:val="000000"/>
              </w:rPr>
              <w:t xml:space="preserve">Feedback will be given in the presentation sessions themselves. The feedback will focus on slide design, content of the presentation, presentation style and the like. More generally, I </w:t>
            </w:r>
            <w:proofErr w:type="gramStart"/>
            <w:r>
              <w:rPr>
                <w:rFonts w:ascii="Arial" w:hAnsi="Arial" w:cstheme="minorHAnsi"/>
                <w:color w:val="000000"/>
              </w:rPr>
              <w:t>am  happy</w:t>
            </w:r>
            <w:proofErr w:type="gramEnd"/>
            <w:r>
              <w:rPr>
                <w:rFonts w:ascii="Arial" w:hAnsi="Arial" w:cstheme="minorHAnsi"/>
                <w:color w:val="000000"/>
              </w:rPr>
              <w:t xml:space="preserve"> to have individual meetings at any time throughout the course and after the sessions if there are any aspects of the presentations you would like to talk about in more detail that perhaps we did not have time to cover in the sessions.</w:t>
            </w:r>
          </w:p>
          <w:p w14:paraId="14106C11" w14:textId="77777777" w:rsidR="00B21952" w:rsidRDefault="00B21952" w:rsidP="00B21952">
            <w:pPr>
              <w:rPr>
                <w:rFonts w:ascii="Arial" w:hAnsi="Arial"/>
              </w:rPr>
            </w:pPr>
          </w:p>
          <w:p w14:paraId="23362269" w14:textId="77777777" w:rsidR="00B21952" w:rsidRDefault="00B21952" w:rsidP="00B21952">
            <w:pPr>
              <w:rPr>
                <w:rFonts w:ascii="Arial" w:hAnsi="Arial" w:cs="Arial"/>
                <w:b/>
                <w:color w:val="FF0000"/>
                <w:sz w:val="24"/>
                <w:szCs w:val="24"/>
              </w:rPr>
            </w:pPr>
          </w:p>
        </w:tc>
      </w:tr>
    </w:tbl>
    <w:p w14:paraId="29AA121F" w14:textId="77777777" w:rsidR="009526CA" w:rsidRPr="00290A4D" w:rsidRDefault="009526CA" w:rsidP="00D42AA1">
      <w:pPr>
        <w:spacing w:after="0" w:line="240" w:lineRule="auto"/>
        <w:ind w:left="-142" w:right="-188"/>
        <w:rPr>
          <w:rFonts w:ascii="Arial" w:hAnsi="Arial" w:cs="Arial"/>
          <w:b/>
          <w:color w:val="FF0000"/>
          <w:sz w:val="24"/>
          <w:szCs w:val="24"/>
        </w:rPr>
      </w:pPr>
      <w:r w:rsidRPr="00290A4D">
        <w:rPr>
          <w:color w:val="FF0000"/>
        </w:rPr>
        <w:t xml:space="preserve"> </w:t>
      </w:r>
    </w:p>
    <w:sectPr w:rsidR="009526CA" w:rsidRPr="00290A4D" w:rsidSect="00D42AA1">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34D85" w14:textId="77777777" w:rsidR="00F25F49" w:rsidRDefault="00F25F49" w:rsidP="00A678DF">
      <w:pPr>
        <w:spacing w:after="0" w:line="240" w:lineRule="auto"/>
      </w:pPr>
      <w:r>
        <w:separator/>
      </w:r>
    </w:p>
  </w:endnote>
  <w:endnote w:type="continuationSeparator" w:id="0">
    <w:p w14:paraId="5AE6D559" w14:textId="77777777" w:rsidR="00F25F49" w:rsidRDefault="00F25F49"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panose1 w:val="020B0604020202020204"/>
    <w:charset w:val="01"/>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53028B" w14:textId="77777777" w:rsidR="00F25F49" w:rsidRDefault="00F25F49" w:rsidP="00A678DF">
      <w:pPr>
        <w:spacing w:after="0" w:line="240" w:lineRule="auto"/>
      </w:pPr>
      <w:r>
        <w:separator/>
      </w:r>
    </w:p>
  </w:footnote>
  <w:footnote w:type="continuationSeparator" w:id="0">
    <w:p w14:paraId="3BBA007B" w14:textId="77777777" w:rsidR="00F25F49" w:rsidRDefault="00F25F49"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D0B69" w14:textId="77777777" w:rsidR="00A678DF" w:rsidRDefault="00A678DF" w:rsidP="00A678DF">
    <w:pPr>
      <w:pStyle w:val="Header"/>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43A94"/>
    <w:multiLevelType w:val="multilevel"/>
    <w:tmpl w:val="FD182FD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1" w15:restartNumberingAfterBreak="0">
    <w:nsid w:val="1FDF7333"/>
    <w:multiLevelType w:val="multilevel"/>
    <w:tmpl w:val="6F5EFC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42521909"/>
    <w:multiLevelType w:val="multilevel"/>
    <w:tmpl w:val="520624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8DF"/>
    <w:rsid w:val="00003E4A"/>
    <w:rsid w:val="000C56BC"/>
    <w:rsid w:val="00290A4D"/>
    <w:rsid w:val="002F7643"/>
    <w:rsid w:val="00303944"/>
    <w:rsid w:val="00345BBB"/>
    <w:rsid w:val="00347F27"/>
    <w:rsid w:val="00396F3E"/>
    <w:rsid w:val="003E0908"/>
    <w:rsid w:val="004003EA"/>
    <w:rsid w:val="00411312"/>
    <w:rsid w:val="004274AD"/>
    <w:rsid w:val="004B1E88"/>
    <w:rsid w:val="00536D49"/>
    <w:rsid w:val="0056006D"/>
    <w:rsid w:val="00591BAF"/>
    <w:rsid w:val="00622D16"/>
    <w:rsid w:val="0063304D"/>
    <w:rsid w:val="006A15A6"/>
    <w:rsid w:val="006B2ECC"/>
    <w:rsid w:val="007420AC"/>
    <w:rsid w:val="0079253C"/>
    <w:rsid w:val="008B64AE"/>
    <w:rsid w:val="009526CA"/>
    <w:rsid w:val="009A0B09"/>
    <w:rsid w:val="009A2688"/>
    <w:rsid w:val="00A25907"/>
    <w:rsid w:val="00A678DF"/>
    <w:rsid w:val="00AA2E20"/>
    <w:rsid w:val="00B21952"/>
    <w:rsid w:val="00B274A6"/>
    <w:rsid w:val="00B46E87"/>
    <w:rsid w:val="00B76C82"/>
    <w:rsid w:val="00BC4684"/>
    <w:rsid w:val="00C7344D"/>
    <w:rsid w:val="00CF3EFD"/>
    <w:rsid w:val="00D42AA1"/>
    <w:rsid w:val="00D52A0A"/>
    <w:rsid w:val="00D57CBE"/>
    <w:rsid w:val="00EB7A93"/>
    <w:rsid w:val="00F25F49"/>
    <w:rsid w:val="00F4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3EC5"/>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EC83-334D-4BDA-964D-C7F56A65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Ian Garrett</cp:lastModifiedBy>
  <cp:revision>2</cp:revision>
  <dcterms:created xsi:type="dcterms:W3CDTF">2021-06-23T14:03:00Z</dcterms:created>
  <dcterms:modified xsi:type="dcterms:W3CDTF">2021-06-23T14:03:00Z</dcterms:modified>
</cp:coreProperties>
</file>