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02"/>
        <w:gridCol w:w="6440"/>
        <w:gridCol w:w="222"/>
      </w:tblGrid>
      <w:tr w:rsidR="0063304D" w:rsidTr="005F276A">
        <w:tc>
          <w:tcPr>
            <w:tcW w:w="9464" w:type="dxa"/>
            <w:gridSpan w:val="3"/>
            <w:shd w:val="clear" w:color="auto" w:fill="7030A0"/>
          </w:tcPr>
          <w:p w:rsidR="0063304D" w:rsidRPr="000F16F0" w:rsidRDefault="000F16F0" w:rsidP="00A84886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F16F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Doctoral Programme</w:t>
            </w:r>
          </w:p>
          <w:p w:rsidR="0063304D" w:rsidRPr="0063304D" w:rsidRDefault="0063304D" w:rsidP="00A84886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330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Course </w:t>
            </w:r>
            <w:r w:rsidR="005931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U</w:t>
            </w:r>
            <w:r w:rsidRPr="006330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nit </w:t>
            </w:r>
            <w:r w:rsidR="0059312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</w:t>
            </w:r>
            <w:r w:rsidRPr="0063304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utline </w:t>
            </w:r>
            <w:r w:rsidR="003E6E2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20</w:t>
            </w:r>
            <w:r w:rsidR="009B02D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21</w:t>
            </w:r>
            <w:r w:rsidR="003E6E2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/2</w:t>
            </w:r>
            <w:r w:rsidR="009B02D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</w:t>
            </w:r>
          </w:p>
          <w:p w:rsidR="0063304D" w:rsidRDefault="0063304D" w:rsidP="00A84886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3304D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63304D" w:rsidRPr="00B25246" w:rsidRDefault="0063304D" w:rsidP="00A84886">
            <w:pPr>
              <w:spacing w:before="120" w:after="120"/>
              <w:rPr>
                <w:rFonts w:cstheme="minorHAnsi"/>
                <w:b/>
                <w:color w:val="FF0000"/>
              </w:rPr>
            </w:pPr>
            <w:r w:rsidRPr="00B25246">
              <w:rPr>
                <w:rFonts w:cstheme="minorHAnsi"/>
                <w:b/>
              </w:rPr>
              <w:t xml:space="preserve">Unit code: </w:t>
            </w:r>
          </w:p>
        </w:tc>
        <w:tc>
          <w:tcPr>
            <w:tcW w:w="6662" w:type="dxa"/>
            <w:gridSpan w:val="2"/>
          </w:tcPr>
          <w:p w:rsidR="0063304D" w:rsidRPr="00B25246" w:rsidRDefault="00D57CBE" w:rsidP="009361FA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BMAN</w:t>
            </w:r>
            <w:r w:rsidR="00E46C4B" w:rsidRPr="00B25246">
              <w:rPr>
                <w:rFonts w:cstheme="minorHAnsi"/>
                <w:b/>
              </w:rPr>
              <w:t xml:space="preserve"> </w:t>
            </w:r>
            <w:r w:rsidR="009361FA" w:rsidRPr="00B25246">
              <w:rPr>
                <w:rFonts w:cstheme="minorHAnsi"/>
                <w:b/>
              </w:rPr>
              <w:t>80062</w:t>
            </w:r>
          </w:p>
        </w:tc>
      </w:tr>
      <w:tr w:rsidR="00F02164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F02164" w:rsidRPr="00B25246" w:rsidRDefault="00F02164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Title:</w:t>
            </w:r>
          </w:p>
        </w:tc>
        <w:tc>
          <w:tcPr>
            <w:tcW w:w="6662" w:type="dxa"/>
            <w:gridSpan w:val="2"/>
          </w:tcPr>
          <w:p w:rsidR="00F02164" w:rsidRPr="00B25246" w:rsidRDefault="00A81D85" w:rsidP="00A84886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Comparative Case analysis</w:t>
            </w:r>
          </w:p>
        </w:tc>
      </w:tr>
      <w:tr w:rsidR="00F02164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F02164" w:rsidRPr="00B25246" w:rsidRDefault="00F02164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Credit rating:</w:t>
            </w:r>
          </w:p>
        </w:tc>
        <w:tc>
          <w:tcPr>
            <w:tcW w:w="6662" w:type="dxa"/>
            <w:gridSpan w:val="2"/>
          </w:tcPr>
          <w:p w:rsidR="00F02164" w:rsidRPr="00B25246" w:rsidRDefault="00B25246" w:rsidP="00A84886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5</w:t>
            </w:r>
          </w:p>
        </w:tc>
      </w:tr>
      <w:tr w:rsidR="00F02164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F02164" w:rsidRPr="00B25246" w:rsidRDefault="00F02164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Semester:</w:t>
            </w:r>
          </w:p>
        </w:tc>
        <w:tc>
          <w:tcPr>
            <w:tcW w:w="6662" w:type="dxa"/>
            <w:gridSpan w:val="2"/>
          </w:tcPr>
          <w:p w:rsidR="00F02164" w:rsidRPr="00B25246" w:rsidRDefault="00A81D85" w:rsidP="00B25246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2</w:t>
            </w:r>
          </w:p>
        </w:tc>
      </w:tr>
      <w:tr w:rsidR="00F02164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F02164" w:rsidRPr="00B25246" w:rsidRDefault="00F02164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 xml:space="preserve">Course Coordinator </w:t>
            </w:r>
          </w:p>
          <w:p w:rsidR="00F02164" w:rsidRPr="00B25246" w:rsidRDefault="00F02164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contact details:</w:t>
            </w:r>
          </w:p>
        </w:tc>
        <w:tc>
          <w:tcPr>
            <w:tcW w:w="6662" w:type="dxa"/>
            <w:gridSpan w:val="2"/>
          </w:tcPr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</w:rPr>
            </w:pPr>
            <w:r w:rsidRPr="00B25246">
              <w:rPr>
                <w:rFonts w:cstheme="minorHAnsi"/>
              </w:rPr>
              <w:t>Dr Laszlo Czaban</w:t>
            </w:r>
          </w:p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</w:rPr>
            </w:pPr>
            <w:r w:rsidRPr="00B25246">
              <w:rPr>
                <w:rFonts w:cstheme="minorHAnsi"/>
              </w:rPr>
              <w:t xml:space="preserve">AMBS, Room 6.004, </w:t>
            </w:r>
            <w:hyperlink r:id="rId8" w:history="1">
              <w:r w:rsidRPr="00B25246">
                <w:rPr>
                  <w:rStyle w:val="Hyperlink"/>
                  <w:rFonts w:cstheme="minorHAnsi"/>
                </w:rPr>
                <w:t>laszlo.czaban@manchester.ac.uk</w:t>
              </w:r>
            </w:hyperlink>
          </w:p>
          <w:p w:rsidR="00F02164" w:rsidRPr="00B25246" w:rsidRDefault="00A81D85" w:rsidP="00A81D85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Please arrange a meeting if you need one</w:t>
            </w:r>
          </w:p>
        </w:tc>
      </w:tr>
      <w:tr w:rsidR="00A81D85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A81D85" w:rsidRPr="00B25246" w:rsidRDefault="00A81D85" w:rsidP="00A81D85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Other staff involved contact details:</w:t>
            </w:r>
          </w:p>
        </w:tc>
        <w:tc>
          <w:tcPr>
            <w:tcW w:w="6662" w:type="dxa"/>
            <w:gridSpan w:val="2"/>
          </w:tcPr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None</w:t>
            </w:r>
          </w:p>
        </w:tc>
      </w:tr>
      <w:tr w:rsidR="00A81D85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A81D85" w:rsidRPr="00B25246" w:rsidRDefault="00A81D85" w:rsidP="00A81D85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Co-requisites:</w:t>
            </w:r>
          </w:p>
        </w:tc>
        <w:tc>
          <w:tcPr>
            <w:tcW w:w="6662" w:type="dxa"/>
            <w:gridSpan w:val="2"/>
          </w:tcPr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None</w:t>
            </w:r>
          </w:p>
        </w:tc>
      </w:tr>
      <w:tr w:rsidR="00A81D85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A81D85" w:rsidRPr="00B25246" w:rsidRDefault="00A81D85" w:rsidP="00A81D85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Restrictions:</w:t>
            </w:r>
          </w:p>
        </w:tc>
        <w:tc>
          <w:tcPr>
            <w:tcW w:w="6662" w:type="dxa"/>
            <w:gridSpan w:val="2"/>
          </w:tcPr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 xml:space="preserve">None. This course can also be taken for audit purposes only. </w:t>
            </w:r>
          </w:p>
        </w:tc>
      </w:tr>
      <w:tr w:rsidR="00A81D85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A81D85" w:rsidRPr="00B25246" w:rsidRDefault="00A81D85" w:rsidP="00A81D85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 xml:space="preserve">Maximum number of students </w:t>
            </w:r>
          </w:p>
        </w:tc>
        <w:tc>
          <w:tcPr>
            <w:tcW w:w="6662" w:type="dxa"/>
            <w:gridSpan w:val="2"/>
          </w:tcPr>
          <w:p w:rsidR="00A81D85" w:rsidRPr="00B25246" w:rsidRDefault="00A81D85" w:rsidP="00A81D85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None</w:t>
            </w:r>
          </w:p>
        </w:tc>
      </w:tr>
      <w:tr w:rsidR="000F16F0" w:rsidRPr="00B25246" w:rsidTr="00B25246">
        <w:tc>
          <w:tcPr>
            <w:tcW w:w="2802" w:type="dxa"/>
            <w:shd w:val="clear" w:color="auto" w:fill="D9D9D9" w:themeFill="background1" w:themeFillShade="D9"/>
          </w:tcPr>
          <w:p w:rsidR="000F16F0" w:rsidRPr="00B25246" w:rsidRDefault="000F16F0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Special Notes:</w:t>
            </w:r>
          </w:p>
        </w:tc>
        <w:tc>
          <w:tcPr>
            <w:tcW w:w="6662" w:type="dxa"/>
            <w:gridSpan w:val="2"/>
          </w:tcPr>
          <w:p w:rsidR="000F16F0" w:rsidRPr="00B25246" w:rsidRDefault="00A81D85" w:rsidP="00A84886">
            <w:pPr>
              <w:spacing w:before="120" w:after="120"/>
              <w:jc w:val="both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Attendance for students unregistered to the course is possible after discussing it with the course co-ordinator.</w:t>
            </w:r>
          </w:p>
        </w:tc>
      </w:tr>
      <w:tr w:rsidR="004003EA" w:rsidRPr="00B25246" w:rsidTr="00B25246">
        <w:trPr>
          <w:gridAfter w:val="1"/>
          <w:wAfter w:w="222" w:type="dxa"/>
        </w:trPr>
        <w:tc>
          <w:tcPr>
            <w:tcW w:w="9242" w:type="dxa"/>
            <w:gridSpan w:val="2"/>
            <w:shd w:val="clear" w:color="auto" w:fill="7030A0"/>
          </w:tcPr>
          <w:p w:rsidR="004003EA" w:rsidRPr="00B25246" w:rsidRDefault="000F16F0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 xml:space="preserve">Aims &amp; </w:t>
            </w:r>
            <w:r w:rsidR="004003EA" w:rsidRPr="00B25246">
              <w:rPr>
                <w:rFonts w:cstheme="minorHAnsi"/>
                <w:b/>
                <w:color w:val="FFFFFF" w:themeColor="background1"/>
              </w:rPr>
              <w:t>Objectives (Learning outcomes)</w:t>
            </w:r>
          </w:p>
        </w:tc>
      </w:tr>
    </w:tbl>
    <w:p w:rsidR="004003EA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Students will be able to: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ab/>
        <w:t>Understand the use of truth tables in CCA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ab/>
        <w:t>Understand the use of fuzzy sets in CCA</w:t>
      </w:r>
    </w:p>
    <w:p w:rsidR="00111F88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ab/>
        <w:t>Understand the evolution of CCA</w:t>
      </w:r>
    </w:p>
    <w:p w:rsidR="009B02D9" w:rsidRPr="00B25246" w:rsidRDefault="009B02D9" w:rsidP="00A84886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ab/>
        <w:t>Position the methodology the context of qualitative and quantitative methodologies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ab/>
        <w:t>Understand the limitations (theoretical, methodological and epistemological)</w:t>
      </w:r>
      <w:r w:rsidR="009B02D9">
        <w:rPr>
          <w:rFonts w:cstheme="minorHAnsi"/>
        </w:rPr>
        <w:t xml:space="preserve"> of this methodology</w:t>
      </w:r>
    </w:p>
    <w:p w:rsidR="009B02D9" w:rsidRPr="009B02D9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ab/>
        <w:t>Apply the concepts and methodologies for their own research even if CCA is not directly applied.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3EA" w:rsidRPr="00B25246" w:rsidTr="004003EA">
        <w:tc>
          <w:tcPr>
            <w:tcW w:w="9242" w:type="dxa"/>
            <w:shd w:val="clear" w:color="auto" w:fill="7030A0"/>
          </w:tcPr>
          <w:p w:rsidR="004003EA" w:rsidRPr="00B25246" w:rsidRDefault="004003EA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lastRenderedPageBreak/>
              <w:t>Content</w:t>
            </w:r>
          </w:p>
        </w:tc>
      </w:tr>
    </w:tbl>
    <w:p w:rsidR="00D57CBE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The first part of the workshop opens with the problem of inferential reasoning and the consequences of this problem to methodology</w:t>
      </w:r>
      <w:r w:rsidR="009B02D9">
        <w:rPr>
          <w:rFonts w:cstheme="minorHAnsi"/>
        </w:rPr>
        <w:t xml:space="preserve"> (both qualitative and quantitative methodologies)</w:t>
      </w:r>
      <w:r w:rsidRPr="00B25246">
        <w:rPr>
          <w:rFonts w:cstheme="minorHAnsi"/>
        </w:rPr>
        <w:t>. It discusses the attempts to overcome the problem</w:t>
      </w:r>
      <w:r w:rsidR="009B02D9">
        <w:rPr>
          <w:rFonts w:cstheme="minorHAnsi"/>
        </w:rPr>
        <w:t xml:space="preserve"> in different approaches, and how CCA can be positioned in this context</w:t>
      </w:r>
      <w:r w:rsidRPr="00B25246">
        <w:rPr>
          <w:rFonts w:cstheme="minorHAnsi"/>
        </w:rPr>
        <w:t>.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Following from this it</w:t>
      </w:r>
      <w:r w:rsidR="009B02D9">
        <w:rPr>
          <w:rFonts w:cstheme="minorHAnsi"/>
        </w:rPr>
        <w:t>, the workshop will discuss the technical elements of the methodology</w:t>
      </w:r>
      <w:r w:rsidRPr="00B25246">
        <w:rPr>
          <w:rFonts w:cstheme="minorHAnsi"/>
        </w:rPr>
        <w:t xml:space="preserve"> (truth tables and Boolean statistics)</w:t>
      </w:r>
      <w:r w:rsidR="009B02D9">
        <w:rPr>
          <w:rFonts w:cstheme="minorHAnsi"/>
        </w:rPr>
        <w:t xml:space="preserve"> and how it is related to create</w:t>
      </w:r>
      <w:r w:rsidRPr="00B25246">
        <w:rPr>
          <w:rFonts w:cstheme="minorHAnsi"/>
        </w:rPr>
        <w:t xml:space="preserve"> a qualitative version of statistical analysis for phenomena where there are many inter-related variables, and </w:t>
      </w:r>
      <w:r w:rsidR="009B02D9">
        <w:rPr>
          <w:rFonts w:cstheme="minorHAnsi"/>
        </w:rPr>
        <w:t>a limited number of outcomes, and a limited number of cases.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It covers the introduction of the fuzzy sets in CCA as a solution to the problems with binominal approaches, and also highlights the limitations of this approach.</w:t>
      </w:r>
    </w:p>
    <w:p w:rsidR="00111F88" w:rsidRPr="00B25246" w:rsidRDefault="00111F88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The final part utilises a published article</w:t>
      </w:r>
      <w:r w:rsidR="009B02D9">
        <w:rPr>
          <w:rFonts w:cstheme="minorHAnsi"/>
        </w:rPr>
        <w:t xml:space="preserve"> that will be used for a class discussion on</w:t>
      </w:r>
      <w:r w:rsidRPr="00B25246">
        <w:rPr>
          <w:rFonts w:cstheme="minorHAnsi"/>
        </w:rPr>
        <w:t xml:space="preserve"> the implications of utilising the methodology for a complex phenomenon, and draw general conclusions from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2688" w:rsidRPr="00B25246" w:rsidTr="00111F88">
        <w:tc>
          <w:tcPr>
            <w:tcW w:w="9016" w:type="dxa"/>
            <w:shd w:val="clear" w:color="auto" w:fill="7030A0"/>
          </w:tcPr>
          <w:p w:rsidR="009A2688" w:rsidRPr="00B25246" w:rsidRDefault="009A2688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Employability</w:t>
            </w:r>
          </w:p>
        </w:tc>
      </w:tr>
    </w:tbl>
    <w:p w:rsidR="009A2688" w:rsidRPr="00B25246" w:rsidRDefault="00111F88" w:rsidP="00E46C4B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The ability of understanding and utilising truth tables, and comparative case analysis should help the students in:</w:t>
      </w:r>
    </w:p>
    <w:p w:rsidR="00111F88" w:rsidRPr="00B25246" w:rsidRDefault="00111F88" w:rsidP="00E46C4B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ab/>
        <w:t>Engaging with various theoretical frameworks and studies</w:t>
      </w:r>
    </w:p>
    <w:p w:rsidR="00111F88" w:rsidRPr="00B25246" w:rsidRDefault="00111F88" w:rsidP="00E46C4B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ab/>
        <w:t>Combine qualitative and quantitative methodologies while being aware of the epistemological issues</w:t>
      </w:r>
    </w:p>
    <w:p w:rsidR="00111F88" w:rsidRPr="00B25246" w:rsidRDefault="00111F88" w:rsidP="00E46C4B">
      <w:pPr>
        <w:spacing w:before="120" w:after="120" w:line="240" w:lineRule="auto"/>
        <w:jc w:val="both"/>
        <w:rPr>
          <w:rFonts w:cstheme="minorHAnsi"/>
          <w:color w:val="FF0000"/>
        </w:rPr>
      </w:pPr>
      <w:r w:rsidRPr="00B25246">
        <w:rPr>
          <w:rFonts w:cstheme="minorHAnsi"/>
        </w:rPr>
        <w:tab/>
        <w:t>Having a heightened awareness of different approaches to fields related or unrelated to the student’s direct research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0"/>
        <w:gridCol w:w="4436"/>
      </w:tblGrid>
      <w:tr w:rsidR="009A2688" w:rsidRPr="00B25246" w:rsidTr="00197383">
        <w:tc>
          <w:tcPr>
            <w:tcW w:w="9016" w:type="dxa"/>
            <w:gridSpan w:val="2"/>
            <w:shd w:val="clear" w:color="auto" w:fill="7030A0"/>
          </w:tcPr>
          <w:p w:rsidR="009A2688" w:rsidRPr="00B25246" w:rsidRDefault="00AA2E20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Methods of d</w:t>
            </w:r>
            <w:r w:rsidR="009A2688" w:rsidRPr="00B25246">
              <w:rPr>
                <w:rFonts w:cstheme="minorHAnsi"/>
                <w:b/>
                <w:color w:val="FFFFFF" w:themeColor="background1"/>
              </w:rPr>
              <w:t>elivery</w:t>
            </w:r>
          </w:p>
        </w:tc>
      </w:tr>
      <w:tr w:rsidR="00AA2E20" w:rsidRPr="00B25246" w:rsidTr="00197383">
        <w:tc>
          <w:tcPr>
            <w:tcW w:w="4580" w:type="dxa"/>
            <w:shd w:val="clear" w:color="auto" w:fill="auto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Lectures</w:t>
            </w:r>
          </w:p>
        </w:tc>
        <w:tc>
          <w:tcPr>
            <w:tcW w:w="4436" w:type="dxa"/>
          </w:tcPr>
          <w:p w:rsidR="00AA2E20" w:rsidRPr="00B25246" w:rsidRDefault="00111F88" w:rsidP="00A84886">
            <w:pPr>
              <w:spacing w:before="120" w:after="120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One 5-hour workshop</w:t>
            </w:r>
          </w:p>
        </w:tc>
      </w:tr>
      <w:tr w:rsidR="00AA2E20" w:rsidRPr="00B25246" w:rsidTr="00197383">
        <w:tc>
          <w:tcPr>
            <w:tcW w:w="4580" w:type="dxa"/>
            <w:shd w:val="clear" w:color="auto" w:fill="auto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Seminar/Tutorial/Workshop/Lab Hours</w:t>
            </w:r>
          </w:p>
        </w:tc>
        <w:tc>
          <w:tcPr>
            <w:tcW w:w="4436" w:type="dxa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color w:val="FF0000"/>
              </w:rPr>
            </w:pPr>
          </w:p>
        </w:tc>
      </w:tr>
      <w:tr w:rsidR="00AA2E20" w:rsidRPr="00B25246" w:rsidTr="00197383">
        <w:tc>
          <w:tcPr>
            <w:tcW w:w="4580" w:type="dxa"/>
            <w:shd w:val="clear" w:color="auto" w:fill="auto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Private Study</w:t>
            </w:r>
          </w:p>
        </w:tc>
        <w:tc>
          <w:tcPr>
            <w:tcW w:w="4436" w:type="dxa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color w:val="FF0000"/>
              </w:rPr>
            </w:pPr>
          </w:p>
        </w:tc>
      </w:tr>
      <w:tr w:rsidR="00AA2E20" w:rsidRPr="00B25246" w:rsidTr="00197383">
        <w:tc>
          <w:tcPr>
            <w:tcW w:w="4580" w:type="dxa"/>
            <w:shd w:val="clear" w:color="auto" w:fill="auto"/>
          </w:tcPr>
          <w:p w:rsidR="00AA2E20" w:rsidRPr="00B25246" w:rsidRDefault="00AA2E20" w:rsidP="007B5F6C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Directed Reading</w:t>
            </w:r>
          </w:p>
        </w:tc>
        <w:tc>
          <w:tcPr>
            <w:tcW w:w="4436" w:type="dxa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color w:val="FF0000"/>
              </w:rPr>
            </w:pPr>
          </w:p>
        </w:tc>
      </w:tr>
      <w:tr w:rsidR="00AA2E20" w:rsidRPr="00B25246" w:rsidTr="00197383">
        <w:tc>
          <w:tcPr>
            <w:tcW w:w="4580" w:type="dxa"/>
          </w:tcPr>
          <w:p w:rsidR="00AA2E20" w:rsidRPr="00B25246" w:rsidRDefault="00AA2E20" w:rsidP="00A84886">
            <w:pPr>
              <w:spacing w:before="120" w:after="120"/>
              <w:rPr>
                <w:rFonts w:cstheme="minorHAnsi"/>
                <w:b/>
              </w:rPr>
            </w:pPr>
            <w:r w:rsidRPr="00B25246">
              <w:rPr>
                <w:rFonts w:cstheme="minorHAnsi"/>
                <w:b/>
              </w:rPr>
              <w:t>Total Study Hours</w:t>
            </w:r>
          </w:p>
        </w:tc>
        <w:tc>
          <w:tcPr>
            <w:tcW w:w="4436" w:type="dxa"/>
          </w:tcPr>
          <w:p w:rsidR="00AA2E20" w:rsidRPr="00B25246" w:rsidRDefault="00AA2E20" w:rsidP="00111F88">
            <w:pPr>
              <w:spacing w:before="120" w:after="120"/>
              <w:rPr>
                <w:rFonts w:cstheme="minorHAnsi"/>
                <w:b/>
                <w:color w:val="FF0000"/>
              </w:rPr>
            </w:pPr>
          </w:p>
        </w:tc>
      </w:tr>
      <w:tr w:rsidR="00B46E87" w:rsidRPr="00B25246" w:rsidTr="00197383">
        <w:tc>
          <w:tcPr>
            <w:tcW w:w="9016" w:type="dxa"/>
            <w:gridSpan w:val="2"/>
            <w:shd w:val="clear" w:color="auto" w:fill="7030A0"/>
          </w:tcPr>
          <w:p w:rsidR="00B46E87" w:rsidRPr="00B25246" w:rsidRDefault="00B46E87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Attendance</w:t>
            </w:r>
          </w:p>
        </w:tc>
      </w:tr>
    </w:tbl>
    <w:p w:rsidR="00B46E87" w:rsidRPr="00B25246" w:rsidRDefault="00197383" w:rsidP="00A84886">
      <w:pPr>
        <w:spacing w:before="120" w:after="120" w:line="240" w:lineRule="auto"/>
        <w:rPr>
          <w:rFonts w:cstheme="minorHAnsi"/>
          <w:color w:val="FF0000"/>
        </w:rPr>
      </w:pPr>
      <w:r w:rsidRPr="00B25246">
        <w:rPr>
          <w:rFonts w:cstheme="minorHAnsi"/>
        </w:rPr>
        <w:t>Attendance is not monitored, auditing students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6C82" w:rsidRPr="00B25246" w:rsidTr="00197383">
        <w:tc>
          <w:tcPr>
            <w:tcW w:w="9016" w:type="dxa"/>
            <w:shd w:val="clear" w:color="auto" w:fill="7030A0"/>
          </w:tcPr>
          <w:p w:rsidR="00B76C82" w:rsidRPr="00B25246" w:rsidRDefault="00B76C82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Syllabus and Teaching Schedule</w:t>
            </w:r>
          </w:p>
        </w:tc>
      </w:tr>
    </w:tbl>
    <w:p w:rsidR="00B76C82" w:rsidRPr="00B25246" w:rsidRDefault="00197383" w:rsidP="00A84886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The schedule is detailed in the Content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6C82" w:rsidRPr="00B25246" w:rsidTr="00197383">
        <w:tc>
          <w:tcPr>
            <w:tcW w:w="9016" w:type="dxa"/>
            <w:shd w:val="clear" w:color="auto" w:fill="7030A0"/>
          </w:tcPr>
          <w:p w:rsidR="00B76C82" w:rsidRPr="00B25246" w:rsidRDefault="00B76C82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lastRenderedPageBreak/>
              <w:t>Reading List</w:t>
            </w:r>
          </w:p>
        </w:tc>
      </w:tr>
    </w:tbl>
    <w:p w:rsidR="00197383" w:rsidRPr="00B25246" w:rsidRDefault="00197383" w:rsidP="00197383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 xml:space="preserve">Ragin, C. (1987): </w:t>
      </w:r>
      <w:r w:rsidRPr="00B25246">
        <w:rPr>
          <w:rFonts w:cstheme="minorHAnsi"/>
          <w:i/>
          <w:iCs/>
        </w:rPr>
        <w:t>The Comparative Method: Beyond Qualitative and Quantitative Strategies</w:t>
      </w:r>
      <w:r w:rsidRPr="00B25246">
        <w:rPr>
          <w:rFonts w:cstheme="minorHAnsi"/>
        </w:rPr>
        <w:t>, Berkeley: UoC Press</w:t>
      </w:r>
    </w:p>
    <w:p w:rsidR="00197383" w:rsidRPr="00B25246" w:rsidRDefault="00197383" w:rsidP="00197383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 xml:space="preserve">Ragin, C. (2000): </w:t>
      </w:r>
      <w:r w:rsidRPr="00B25246">
        <w:rPr>
          <w:rFonts w:cstheme="minorHAnsi"/>
          <w:i/>
          <w:iCs/>
        </w:rPr>
        <w:t>Fuzzy-Set Social Science</w:t>
      </w:r>
      <w:r w:rsidRPr="00B25246">
        <w:rPr>
          <w:rFonts w:cstheme="minorHAnsi"/>
        </w:rPr>
        <w:t>, Chicago: CU Press</w:t>
      </w:r>
    </w:p>
    <w:p w:rsidR="00B76C82" w:rsidRPr="00B25246" w:rsidRDefault="00197383" w:rsidP="00197383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 xml:space="preserve">Kogut, B. (2010): Qualitative comparative analysis of social science data pp. 139-182 in Morgan et al (eds): </w:t>
      </w:r>
      <w:r w:rsidRPr="00B25246">
        <w:rPr>
          <w:rFonts w:cstheme="minorHAnsi"/>
          <w:i/>
          <w:iCs/>
        </w:rPr>
        <w:t>The Oxford Handbook of Comparative Institutional Analysis</w:t>
      </w:r>
      <w:r w:rsidRPr="00B25246">
        <w:rPr>
          <w:rFonts w:cstheme="minorHAnsi"/>
        </w:rPr>
        <w:t>, OUP</w:t>
      </w:r>
    </w:p>
    <w:p w:rsidR="00197383" w:rsidRPr="00B25246" w:rsidRDefault="00197383" w:rsidP="00197383">
      <w:pPr>
        <w:spacing w:before="120" w:after="120" w:line="240" w:lineRule="auto"/>
        <w:rPr>
          <w:rFonts w:cstheme="minorHAnsi"/>
        </w:rPr>
      </w:pPr>
    </w:p>
    <w:p w:rsidR="00197383" w:rsidRPr="00B25246" w:rsidRDefault="00197383" w:rsidP="00197383">
      <w:pPr>
        <w:spacing w:before="120" w:after="120" w:line="240" w:lineRule="auto"/>
        <w:rPr>
          <w:rFonts w:cstheme="minorHAnsi"/>
        </w:rPr>
      </w:pPr>
      <w:r w:rsidRPr="00B25246">
        <w:rPr>
          <w:rFonts w:cstheme="minorHAnsi"/>
        </w:rPr>
        <w:t>Further reading will be provided during the session (depending on the specialisation and interests of the participants). There will also be a discussion article that utilises CCA and the students are expected to read it before the workshop.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6C82" w:rsidRPr="00B25246" w:rsidTr="00781932">
        <w:tc>
          <w:tcPr>
            <w:tcW w:w="9016" w:type="dxa"/>
            <w:shd w:val="clear" w:color="auto" w:fill="7030A0"/>
          </w:tcPr>
          <w:p w:rsidR="00B76C82" w:rsidRPr="00B25246" w:rsidRDefault="00B76C82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Assessment</w:t>
            </w:r>
          </w:p>
        </w:tc>
      </w:tr>
    </w:tbl>
    <w:p w:rsidR="00781932" w:rsidRPr="00B25246" w:rsidRDefault="00781932" w:rsidP="00781932">
      <w:pPr>
        <w:autoSpaceDE w:val="0"/>
        <w:autoSpaceDN w:val="0"/>
        <w:spacing w:before="120" w:after="120" w:line="240" w:lineRule="auto"/>
        <w:rPr>
          <w:rFonts w:eastAsia="Batang" w:cstheme="minorHAnsi"/>
          <w:b/>
          <w:lang w:eastAsia="ko-KR"/>
        </w:rPr>
      </w:pPr>
      <w:r w:rsidRPr="00B25246">
        <w:rPr>
          <w:rFonts w:cstheme="minorHAnsi"/>
          <w:b/>
        </w:rPr>
        <w:t>Assessment is for those requiring unit credits (please make this clear to the tutor at the start of the elective)</w:t>
      </w:r>
    </w:p>
    <w:p w:rsidR="00781932" w:rsidRPr="00B25246" w:rsidRDefault="00781932" w:rsidP="00A84886">
      <w:pPr>
        <w:spacing w:before="120" w:after="120" w:line="240" w:lineRule="auto"/>
        <w:jc w:val="both"/>
        <w:rPr>
          <w:rFonts w:cstheme="minorHAnsi"/>
        </w:rPr>
      </w:pPr>
    </w:p>
    <w:p w:rsidR="008B64AE" w:rsidRPr="00B25246" w:rsidRDefault="002006DA" w:rsidP="00A84886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If any student requires credit for the workshop, he or she would have to write a 1,500 assignment on evaluating a published article that uses CCA. The assignment should be structured by the following questions:</w:t>
      </w:r>
    </w:p>
    <w:p w:rsidR="002006DA" w:rsidRPr="00B25246" w:rsidRDefault="002006DA" w:rsidP="002006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What is the problem that the article attempts to solve?</w:t>
      </w:r>
    </w:p>
    <w:p w:rsidR="002006DA" w:rsidRPr="00B25246" w:rsidRDefault="002006DA" w:rsidP="002006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What is the logic that the arguments follow?</w:t>
      </w:r>
    </w:p>
    <w:p w:rsidR="002006DA" w:rsidRPr="00B25246" w:rsidRDefault="002006DA" w:rsidP="002006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How it is justified by the methodology?</w:t>
      </w:r>
    </w:p>
    <w:p w:rsidR="002006DA" w:rsidRPr="00B25246" w:rsidRDefault="002006DA" w:rsidP="002006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Does the methodology raise questions that are not addressed in the article?</w:t>
      </w:r>
    </w:p>
    <w:p w:rsidR="002006DA" w:rsidRPr="00B25246" w:rsidRDefault="002006DA" w:rsidP="002006D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If you were the editor, would you publish the article</w:t>
      </w:r>
      <w:r w:rsidR="002701E5" w:rsidRPr="00B25246">
        <w:rPr>
          <w:rFonts w:cstheme="minorHAnsi"/>
        </w:rPr>
        <w:t xml:space="preserve"> (does it contribute to knowledge)</w:t>
      </w:r>
      <w:r w:rsidRPr="00B25246">
        <w:rPr>
          <w:rFonts w:cstheme="minorHAnsi"/>
        </w:rPr>
        <w:t>?</w:t>
      </w:r>
    </w:p>
    <w:p w:rsidR="002006DA" w:rsidRPr="00B25246" w:rsidRDefault="002006DA" w:rsidP="002006DA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 xml:space="preserve">The assignment is due on the </w:t>
      </w:r>
      <w:r w:rsidR="00B25246" w:rsidRPr="00B25246">
        <w:rPr>
          <w:rFonts w:cstheme="minorHAnsi"/>
        </w:rPr>
        <w:t>10</w:t>
      </w:r>
      <w:r w:rsidR="00B25246" w:rsidRPr="00B25246">
        <w:rPr>
          <w:rFonts w:cstheme="minorHAnsi"/>
          <w:vertAlign w:val="superscript"/>
        </w:rPr>
        <w:t>th</w:t>
      </w:r>
      <w:r w:rsidR="00B25246" w:rsidRPr="00B25246">
        <w:rPr>
          <w:rFonts w:cstheme="minorHAnsi"/>
        </w:rPr>
        <w:t xml:space="preserve"> June 2021.</w:t>
      </w:r>
    </w:p>
    <w:p w:rsidR="002F7643" w:rsidRPr="00B25246" w:rsidRDefault="002F7643" w:rsidP="00A84886">
      <w:pPr>
        <w:spacing w:before="120" w:after="120" w:line="240" w:lineRule="auto"/>
        <w:rPr>
          <w:rFonts w:cstheme="minorHAnsi"/>
          <w:b/>
          <w:color w:val="FF000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F7643" w:rsidRPr="00B25246" w:rsidTr="002F7643">
        <w:tc>
          <w:tcPr>
            <w:tcW w:w="9464" w:type="dxa"/>
            <w:shd w:val="clear" w:color="auto" w:fill="7030A0"/>
          </w:tcPr>
          <w:p w:rsidR="002F7643" w:rsidRPr="00B25246" w:rsidRDefault="002F7643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Marking Process</w:t>
            </w:r>
          </w:p>
        </w:tc>
      </w:tr>
    </w:tbl>
    <w:p w:rsidR="00411312" w:rsidRPr="00B25246" w:rsidRDefault="002006DA" w:rsidP="00A84886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The marking of any assignment would follow the reduced step marking process with sufficient formative feedback provided.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526CA" w:rsidRPr="00B25246" w:rsidTr="002F7643">
        <w:tc>
          <w:tcPr>
            <w:tcW w:w="9464" w:type="dxa"/>
            <w:shd w:val="clear" w:color="auto" w:fill="7030A0"/>
          </w:tcPr>
          <w:p w:rsidR="009526CA" w:rsidRPr="00B25246" w:rsidRDefault="009526CA" w:rsidP="00A84886">
            <w:pPr>
              <w:keepNext/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B25246">
              <w:rPr>
                <w:rFonts w:cstheme="minorHAnsi"/>
                <w:b/>
                <w:color w:val="FFFFFF" w:themeColor="background1"/>
              </w:rPr>
              <w:t>Feedback</w:t>
            </w:r>
          </w:p>
        </w:tc>
      </w:tr>
    </w:tbl>
    <w:p w:rsidR="009526CA" w:rsidRPr="00B25246" w:rsidRDefault="002006DA" w:rsidP="00A84886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Feedback to the assignment would be provided within 15 working days.</w:t>
      </w:r>
    </w:p>
    <w:p w:rsidR="002006DA" w:rsidRPr="00B25246" w:rsidRDefault="002006DA" w:rsidP="00A84886">
      <w:pPr>
        <w:spacing w:before="120" w:after="120" w:line="240" w:lineRule="auto"/>
        <w:jc w:val="both"/>
        <w:rPr>
          <w:rFonts w:cstheme="minorHAnsi"/>
        </w:rPr>
      </w:pPr>
      <w:r w:rsidRPr="00B25246">
        <w:rPr>
          <w:rFonts w:cstheme="minorHAnsi"/>
        </w:rPr>
        <w:t>Prior to submission students may set up a meeting with the course co-ordinator to discuss the progression in the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E4A" w:rsidRPr="00B25246" w:rsidTr="00003E4A">
        <w:tc>
          <w:tcPr>
            <w:tcW w:w="9242" w:type="dxa"/>
            <w:shd w:val="clear" w:color="auto" w:fill="D9D9D9" w:themeFill="background1" w:themeFillShade="D9"/>
          </w:tcPr>
          <w:p w:rsidR="00003E4A" w:rsidRPr="00B25246" w:rsidRDefault="00003E4A" w:rsidP="00A84886">
            <w:pPr>
              <w:keepNext/>
              <w:spacing w:before="120" w:after="120"/>
              <w:rPr>
                <w:rFonts w:cstheme="minorHAnsi"/>
              </w:rPr>
            </w:pPr>
            <w:r w:rsidRPr="00B25246">
              <w:rPr>
                <w:rFonts w:cstheme="minorHAnsi"/>
              </w:rPr>
              <w:t>Date coursework feedback will be returned</w:t>
            </w:r>
          </w:p>
        </w:tc>
      </w:tr>
      <w:tr w:rsidR="00003E4A" w:rsidRPr="00B25246" w:rsidTr="00003E4A">
        <w:tc>
          <w:tcPr>
            <w:tcW w:w="9242" w:type="dxa"/>
          </w:tcPr>
          <w:p w:rsidR="00003E4A" w:rsidRPr="00B25246" w:rsidRDefault="002006DA" w:rsidP="00A84886">
            <w:pPr>
              <w:spacing w:before="120" w:after="120"/>
              <w:rPr>
                <w:rFonts w:cstheme="minorHAnsi"/>
                <w:color w:val="FF0000"/>
              </w:rPr>
            </w:pPr>
            <w:r w:rsidRPr="00B25246">
              <w:rPr>
                <w:rFonts w:cstheme="minorHAnsi"/>
              </w:rPr>
              <w:t>10</w:t>
            </w:r>
            <w:r w:rsidRPr="00B25246">
              <w:rPr>
                <w:rFonts w:cstheme="minorHAnsi"/>
                <w:vertAlign w:val="superscript"/>
              </w:rPr>
              <w:t>th</w:t>
            </w:r>
            <w:r w:rsidR="009B02D9">
              <w:rPr>
                <w:rFonts w:cstheme="minorHAnsi"/>
              </w:rPr>
              <w:t xml:space="preserve"> of June, 2022</w:t>
            </w:r>
            <w:bookmarkStart w:id="0" w:name="_GoBack"/>
            <w:bookmarkEnd w:id="0"/>
          </w:p>
        </w:tc>
      </w:tr>
    </w:tbl>
    <w:p w:rsidR="009526CA" w:rsidRPr="00B25246" w:rsidRDefault="009526CA" w:rsidP="00A84886">
      <w:pPr>
        <w:spacing w:before="120" w:after="120" w:line="240" w:lineRule="auto"/>
        <w:rPr>
          <w:rFonts w:cstheme="minorHAnsi"/>
          <w:b/>
        </w:rPr>
      </w:pPr>
      <w:r w:rsidRPr="00B25246">
        <w:rPr>
          <w:rFonts w:cstheme="minorHAnsi"/>
          <w:b/>
        </w:rPr>
        <w:t xml:space="preserve">Methods of Feedback from Students/Course Unit Survey </w:t>
      </w:r>
    </w:p>
    <w:p w:rsidR="009526CA" w:rsidRPr="00B25246" w:rsidRDefault="002006DA" w:rsidP="00A84886">
      <w:pPr>
        <w:spacing w:before="120" w:after="120" w:line="240" w:lineRule="auto"/>
        <w:jc w:val="both"/>
        <w:rPr>
          <w:rFonts w:cstheme="minorHAnsi"/>
          <w:b/>
        </w:rPr>
      </w:pPr>
      <w:r w:rsidRPr="00B25246">
        <w:rPr>
          <w:rFonts w:cstheme="minorHAnsi"/>
        </w:rPr>
        <w:lastRenderedPageBreak/>
        <w:t>Apart from the survey, students are given opportunities to discuss the theoretical or practical issues emerging from the workshop and/or the organisation of the workshop.</w:t>
      </w:r>
      <w:r w:rsidR="009526CA" w:rsidRPr="00B25246">
        <w:rPr>
          <w:rFonts w:cstheme="minorHAnsi"/>
        </w:rPr>
        <w:t xml:space="preserve"> </w:t>
      </w:r>
    </w:p>
    <w:sectPr w:rsidR="009526CA" w:rsidRPr="00B2524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51" w:rsidRDefault="00371651" w:rsidP="00A678DF">
      <w:pPr>
        <w:spacing w:after="0" w:line="240" w:lineRule="auto"/>
      </w:pPr>
      <w:r>
        <w:separator/>
      </w:r>
    </w:p>
  </w:endnote>
  <w:endnote w:type="continuationSeparator" w:id="0">
    <w:p w:rsidR="00371651" w:rsidRDefault="00371651" w:rsidP="00A6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6897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6E21" w:rsidRDefault="003E6E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2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2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6E21" w:rsidRDefault="003E6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51" w:rsidRDefault="00371651" w:rsidP="00A678DF">
      <w:pPr>
        <w:spacing w:after="0" w:line="240" w:lineRule="auto"/>
      </w:pPr>
      <w:r>
        <w:separator/>
      </w:r>
    </w:p>
  </w:footnote>
  <w:footnote w:type="continuationSeparator" w:id="0">
    <w:p w:rsidR="00371651" w:rsidRDefault="00371651" w:rsidP="00A6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735" w:rsidRDefault="00736735" w:rsidP="00736735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4E92EFD4" wp14:editId="76076E2E">
          <wp:extent cx="1581150" cy="657225"/>
          <wp:effectExtent l="0" t="0" r="0" b="9525"/>
          <wp:docPr id="4" name="Picture 3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5F276A" w:rsidRDefault="005F276A" w:rsidP="00736735">
    <w:pPr>
      <w:pStyle w:val="Header"/>
      <w:rPr>
        <w:rFonts w:ascii="Arial" w:hAnsi="Arial" w:cs="Arial"/>
        <w:b/>
      </w:rPr>
    </w:pPr>
  </w:p>
  <w:p w:rsidR="005F276A" w:rsidRDefault="005F276A" w:rsidP="005F276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Alliance Manchester Business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B3960"/>
    <w:multiLevelType w:val="hybridMultilevel"/>
    <w:tmpl w:val="80B06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DF"/>
    <w:rsid w:val="00003E4A"/>
    <w:rsid w:val="000F16F0"/>
    <w:rsid w:val="00111F88"/>
    <w:rsid w:val="00197383"/>
    <w:rsid w:val="002006DA"/>
    <w:rsid w:val="00223046"/>
    <w:rsid w:val="00234299"/>
    <w:rsid w:val="00265252"/>
    <w:rsid w:val="002701E5"/>
    <w:rsid w:val="00271022"/>
    <w:rsid w:val="00290A4D"/>
    <w:rsid w:val="002F7643"/>
    <w:rsid w:val="00303944"/>
    <w:rsid w:val="00347F27"/>
    <w:rsid w:val="00371651"/>
    <w:rsid w:val="003E6E21"/>
    <w:rsid w:val="004003EA"/>
    <w:rsid w:val="00411312"/>
    <w:rsid w:val="004274AD"/>
    <w:rsid w:val="004B1E88"/>
    <w:rsid w:val="00536D49"/>
    <w:rsid w:val="005636EC"/>
    <w:rsid w:val="00591BAF"/>
    <w:rsid w:val="00593129"/>
    <w:rsid w:val="005B6DDB"/>
    <w:rsid w:val="005F276A"/>
    <w:rsid w:val="00622D16"/>
    <w:rsid w:val="0063304D"/>
    <w:rsid w:val="00736735"/>
    <w:rsid w:val="007420AC"/>
    <w:rsid w:val="00781932"/>
    <w:rsid w:val="00792C96"/>
    <w:rsid w:val="007B5F6C"/>
    <w:rsid w:val="008B64AE"/>
    <w:rsid w:val="008F4A6F"/>
    <w:rsid w:val="009225D8"/>
    <w:rsid w:val="009361FA"/>
    <w:rsid w:val="009526CA"/>
    <w:rsid w:val="009A0B09"/>
    <w:rsid w:val="009A2688"/>
    <w:rsid w:val="009B02D9"/>
    <w:rsid w:val="00A55334"/>
    <w:rsid w:val="00A678DF"/>
    <w:rsid w:val="00A81D85"/>
    <w:rsid w:val="00A84886"/>
    <w:rsid w:val="00AA2E20"/>
    <w:rsid w:val="00AE07F4"/>
    <w:rsid w:val="00B25246"/>
    <w:rsid w:val="00B46E87"/>
    <w:rsid w:val="00B76C82"/>
    <w:rsid w:val="00BC4684"/>
    <w:rsid w:val="00CE2CDF"/>
    <w:rsid w:val="00D52A0A"/>
    <w:rsid w:val="00D57CBE"/>
    <w:rsid w:val="00E46C4B"/>
    <w:rsid w:val="00E6645A"/>
    <w:rsid w:val="00F02164"/>
    <w:rsid w:val="00F9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E8A78-4DF6-4FF5-8280-6A52A2B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DF"/>
  </w:style>
  <w:style w:type="paragraph" w:styleId="Footer">
    <w:name w:val="footer"/>
    <w:basedOn w:val="Normal"/>
    <w:link w:val="FooterChar"/>
    <w:uiPriority w:val="99"/>
    <w:unhideWhenUsed/>
    <w:rsid w:val="00A67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DF"/>
  </w:style>
  <w:style w:type="table" w:styleId="TableGrid">
    <w:name w:val="Table Grid"/>
    <w:basedOn w:val="TableNormal"/>
    <w:uiPriority w:val="59"/>
    <w:rsid w:val="0040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F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7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zlo.czaban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3349-5D61-4897-9414-9D210CCD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Ryan</dc:creator>
  <cp:lastModifiedBy>Microsoft account</cp:lastModifiedBy>
  <cp:revision>2</cp:revision>
  <dcterms:created xsi:type="dcterms:W3CDTF">2021-05-16T11:19:00Z</dcterms:created>
  <dcterms:modified xsi:type="dcterms:W3CDTF">2021-05-16T11:19:00Z</dcterms:modified>
</cp:coreProperties>
</file>