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69" w:type="dxa"/>
        <w:tblInd w:w="-176" w:type="dxa"/>
        <w:tblLook w:val="04A0" w:firstRow="1" w:lastRow="0" w:firstColumn="1" w:lastColumn="0" w:noHBand="0" w:noVBand="1"/>
      </w:tblPr>
      <w:tblGrid>
        <w:gridCol w:w="2988"/>
        <w:gridCol w:w="1741"/>
        <w:gridCol w:w="4940"/>
      </w:tblGrid>
      <w:tr w:rsidR="0063304D" w:rsidTr="00345BBB">
        <w:trPr>
          <w:trHeight w:val="1004"/>
        </w:trPr>
        <w:tc>
          <w:tcPr>
            <w:tcW w:w="9669" w:type="dxa"/>
            <w:gridSpan w:val="3"/>
            <w:shd w:val="clear" w:color="auto" w:fill="7030A0"/>
          </w:tcPr>
          <w:p w:rsidR="0063304D" w:rsidRDefault="0063304D" w:rsidP="0063304D">
            <w:pPr>
              <w:jc w:val="center"/>
              <w:rPr>
                <w:rFonts w:ascii="Arial" w:hAnsi="Arial" w:cs="Arial"/>
                <w:b/>
                <w:sz w:val="28"/>
                <w:szCs w:val="28"/>
              </w:rPr>
            </w:pPr>
          </w:p>
          <w:p w:rsidR="009140C6" w:rsidRDefault="009140C6" w:rsidP="0063304D">
            <w:pPr>
              <w:jc w:val="center"/>
              <w:rPr>
                <w:rFonts w:ascii="Arial" w:hAnsi="Arial" w:cs="Arial"/>
                <w:b/>
                <w:color w:val="FFFFFF" w:themeColor="background1"/>
                <w:sz w:val="28"/>
                <w:szCs w:val="28"/>
              </w:rPr>
            </w:pPr>
            <w:r>
              <w:rPr>
                <w:rFonts w:ascii="Arial" w:hAnsi="Arial" w:cs="Arial"/>
                <w:b/>
                <w:color w:val="FFFFFF" w:themeColor="background1"/>
                <w:sz w:val="28"/>
                <w:szCs w:val="28"/>
              </w:rPr>
              <w:t>Doctoral Programme</w:t>
            </w:r>
          </w:p>
          <w:p w:rsidR="0063304D" w:rsidRPr="0063304D" w:rsidRDefault="00345BBB" w:rsidP="0063304D">
            <w:pPr>
              <w:jc w:val="center"/>
              <w:rPr>
                <w:rFonts w:ascii="Arial" w:hAnsi="Arial" w:cs="Arial"/>
                <w:b/>
                <w:color w:val="FFFFFF" w:themeColor="background1"/>
                <w:sz w:val="28"/>
                <w:szCs w:val="28"/>
              </w:rPr>
            </w:pPr>
            <w:r>
              <w:rPr>
                <w:rFonts w:ascii="Arial" w:hAnsi="Arial" w:cs="Arial"/>
                <w:b/>
                <w:color w:val="FFFFFF" w:themeColor="background1"/>
                <w:sz w:val="28"/>
                <w:szCs w:val="28"/>
              </w:rPr>
              <w:t xml:space="preserve"> </w:t>
            </w:r>
            <w:r w:rsidR="00557B04">
              <w:rPr>
                <w:rFonts w:ascii="Arial" w:hAnsi="Arial" w:cs="Arial"/>
                <w:b/>
                <w:color w:val="FFFFFF" w:themeColor="background1"/>
                <w:sz w:val="28"/>
                <w:szCs w:val="28"/>
              </w:rPr>
              <w:t>Course Unit O</w:t>
            </w:r>
            <w:r w:rsidR="0063304D" w:rsidRPr="0063304D">
              <w:rPr>
                <w:rFonts w:ascii="Arial" w:hAnsi="Arial" w:cs="Arial"/>
                <w:b/>
                <w:color w:val="FFFFFF" w:themeColor="background1"/>
                <w:sz w:val="28"/>
                <w:szCs w:val="28"/>
              </w:rPr>
              <w:t xml:space="preserve">utline </w:t>
            </w:r>
            <w:r w:rsidR="00B274A6">
              <w:rPr>
                <w:rFonts w:ascii="Arial" w:hAnsi="Arial" w:cs="Arial"/>
                <w:b/>
                <w:color w:val="FFFFFF" w:themeColor="background1"/>
                <w:sz w:val="28"/>
                <w:szCs w:val="28"/>
              </w:rPr>
              <w:t>2020/21</w:t>
            </w:r>
          </w:p>
          <w:p w:rsidR="0063304D" w:rsidRDefault="0063304D" w:rsidP="00A678DF">
            <w:pPr>
              <w:jc w:val="center"/>
              <w:rPr>
                <w:rFonts w:ascii="Arial" w:hAnsi="Arial" w:cs="Arial"/>
                <w:b/>
                <w:sz w:val="28"/>
                <w:szCs w:val="28"/>
              </w:rPr>
            </w:pPr>
          </w:p>
        </w:tc>
      </w:tr>
      <w:tr w:rsidR="00193E52" w:rsidRPr="006B3447" w:rsidTr="00345BBB">
        <w:tc>
          <w:tcPr>
            <w:tcW w:w="2988" w:type="dxa"/>
            <w:shd w:val="clear" w:color="auto" w:fill="D9D9D9" w:themeFill="background1" w:themeFillShade="D9"/>
          </w:tcPr>
          <w:p w:rsidR="00193E52" w:rsidRPr="006B3447" w:rsidRDefault="00193E52" w:rsidP="00D57CBE">
            <w:pPr>
              <w:rPr>
                <w:rFonts w:cstheme="minorHAnsi"/>
                <w:b/>
                <w:color w:val="FF0000"/>
              </w:rPr>
            </w:pPr>
            <w:r w:rsidRPr="006B3447">
              <w:rPr>
                <w:rFonts w:cstheme="minorHAnsi"/>
                <w:b/>
              </w:rPr>
              <w:t xml:space="preserve">Unit code: </w:t>
            </w:r>
          </w:p>
        </w:tc>
        <w:tc>
          <w:tcPr>
            <w:tcW w:w="6681" w:type="dxa"/>
            <w:gridSpan w:val="2"/>
          </w:tcPr>
          <w:p w:rsidR="00193E52" w:rsidRPr="006B3447" w:rsidRDefault="00193E52" w:rsidP="00083DBB">
            <w:pPr>
              <w:spacing w:before="120" w:after="120"/>
              <w:jc w:val="both"/>
              <w:rPr>
                <w:rFonts w:cstheme="minorHAnsi"/>
                <w:b/>
              </w:rPr>
            </w:pPr>
            <w:r w:rsidRPr="006B3447">
              <w:rPr>
                <w:rFonts w:cstheme="minorHAnsi"/>
                <w:b/>
              </w:rPr>
              <w:t>BMAN80271</w:t>
            </w:r>
          </w:p>
        </w:tc>
      </w:tr>
      <w:tr w:rsidR="00193E52" w:rsidRPr="006B3447" w:rsidTr="00345BBB">
        <w:tc>
          <w:tcPr>
            <w:tcW w:w="2988" w:type="dxa"/>
            <w:shd w:val="clear" w:color="auto" w:fill="D9D9D9" w:themeFill="background1" w:themeFillShade="D9"/>
          </w:tcPr>
          <w:p w:rsidR="00193E52" w:rsidRPr="006B3447" w:rsidRDefault="00193E52" w:rsidP="00290A4D">
            <w:pPr>
              <w:rPr>
                <w:rFonts w:cstheme="minorHAnsi"/>
                <w:b/>
              </w:rPr>
            </w:pPr>
            <w:r w:rsidRPr="006B3447">
              <w:rPr>
                <w:rFonts w:cstheme="minorHAnsi"/>
                <w:b/>
              </w:rPr>
              <w:t>Title:</w:t>
            </w:r>
          </w:p>
        </w:tc>
        <w:tc>
          <w:tcPr>
            <w:tcW w:w="6681" w:type="dxa"/>
            <w:gridSpan w:val="2"/>
          </w:tcPr>
          <w:p w:rsidR="00193E52" w:rsidRPr="006B3447" w:rsidRDefault="00113F13" w:rsidP="00113F13">
            <w:pPr>
              <w:spacing w:before="120" w:after="120"/>
              <w:jc w:val="both"/>
              <w:rPr>
                <w:rFonts w:cstheme="minorHAnsi"/>
                <w:b/>
                <w:color w:val="FF0000"/>
              </w:rPr>
            </w:pPr>
            <w:r>
              <w:rPr>
                <w:rFonts w:cstheme="minorHAnsi"/>
                <w:b/>
              </w:rPr>
              <w:t>Advanced Fi</w:t>
            </w:r>
            <w:r w:rsidR="00193E52" w:rsidRPr="006B3447">
              <w:rPr>
                <w:rFonts w:cstheme="minorHAnsi"/>
                <w:b/>
              </w:rPr>
              <w:t xml:space="preserve">nancial </w:t>
            </w:r>
            <w:r>
              <w:rPr>
                <w:rFonts w:cstheme="minorHAnsi"/>
                <w:b/>
              </w:rPr>
              <w:t>Accounting T</w:t>
            </w:r>
            <w:r w:rsidR="00193E52" w:rsidRPr="006B3447">
              <w:rPr>
                <w:rFonts w:cstheme="minorHAnsi"/>
                <w:b/>
              </w:rPr>
              <w:t>heory</w:t>
            </w:r>
          </w:p>
        </w:tc>
      </w:tr>
      <w:tr w:rsidR="00193E52" w:rsidRPr="006B3447" w:rsidTr="00345BBB">
        <w:tc>
          <w:tcPr>
            <w:tcW w:w="2988" w:type="dxa"/>
            <w:shd w:val="clear" w:color="auto" w:fill="D9D9D9" w:themeFill="background1" w:themeFillShade="D9"/>
          </w:tcPr>
          <w:p w:rsidR="00193E52" w:rsidRPr="006B3447" w:rsidRDefault="00193E52" w:rsidP="00290A4D">
            <w:pPr>
              <w:rPr>
                <w:rFonts w:cstheme="minorHAnsi"/>
                <w:b/>
              </w:rPr>
            </w:pPr>
            <w:r w:rsidRPr="006B3447">
              <w:rPr>
                <w:rFonts w:cstheme="minorHAnsi"/>
                <w:b/>
              </w:rPr>
              <w:t>Credit value:</w:t>
            </w:r>
          </w:p>
        </w:tc>
        <w:tc>
          <w:tcPr>
            <w:tcW w:w="6681" w:type="dxa"/>
            <w:gridSpan w:val="2"/>
          </w:tcPr>
          <w:p w:rsidR="00193E52" w:rsidRPr="006B3447" w:rsidRDefault="00193E52" w:rsidP="00083DBB">
            <w:pPr>
              <w:spacing w:before="120" w:after="120"/>
              <w:jc w:val="both"/>
              <w:rPr>
                <w:rFonts w:cstheme="minorHAnsi"/>
              </w:rPr>
            </w:pPr>
            <w:r w:rsidRPr="006B3447">
              <w:rPr>
                <w:rFonts w:cstheme="minorHAnsi"/>
              </w:rPr>
              <w:t>15</w:t>
            </w:r>
          </w:p>
        </w:tc>
      </w:tr>
      <w:tr w:rsidR="00193E52" w:rsidRPr="006B3447" w:rsidTr="00345BBB">
        <w:tc>
          <w:tcPr>
            <w:tcW w:w="2988" w:type="dxa"/>
            <w:shd w:val="clear" w:color="auto" w:fill="D9D9D9" w:themeFill="background1" w:themeFillShade="D9"/>
          </w:tcPr>
          <w:p w:rsidR="00193E52" w:rsidRPr="006B3447" w:rsidRDefault="00193E52" w:rsidP="00290A4D">
            <w:pPr>
              <w:rPr>
                <w:rFonts w:cstheme="minorHAnsi"/>
                <w:b/>
              </w:rPr>
            </w:pPr>
            <w:r w:rsidRPr="006B3447">
              <w:rPr>
                <w:rFonts w:cstheme="minorHAnsi"/>
                <w:b/>
              </w:rPr>
              <w:t>Semester:</w:t>
            </w:r>
          </w:p>
        </w:tc>
        <w:tc>
          <w:tcPr>
            <w:tcW w:w="6681" w:type="dxa"/>
            <w:gridSpan w:val="2"/>
          </w:tcPr>
          <w:p w:rsidR="00193E52" w:rsidRPr="006B3447" w:rsidRDefault="00193E52" w:rsidP="00083DBB">
            <w:pPr>
              <w:spacing w:before="120" w:after="120"/>
              <w:jc w:val="both"/>
              <w:rPr>
                <w:rFonts w:cstheme="minorHAnsi"/>
                <w:color w:val="FF0000"/>
              </w:rPr>
            </w:pPr>
            <w:r w:rsidRPr="006B3447">
              <w:rPr>
                <w:rFonts w:cstheme="minorHAnsi"/>
              </w:rPr>
              <w:t>1</w:t>
            </w:r>
          </w:p>
        </w:tc>
      </w:tr>
      <w:tr w:rsidR="00193E52" w:rsidRPr="006B3447" w:rsidTr="00345BBB">
        <w:tc>
          <w:tcPr>
            <w:tcW w:w="2988" w:type="dxa"/>
            <w:shd w:val="clear" w:color="auto" w:fill="D9D9D9" w:themeFill="background1" w:themeFillShade="D9"/>
          </w:tcPr>
          <w:p w:rsidR="00193E52" w:rsidRPr="006B3447" w:rsidRDefault="00193E52" w:rsidP="0063304D">
            <w:pPr>
              <w:rPr>
                <w:rFonts w:cstheme="minorHAnsi"/>
                <w:b/>
              </w:rPr>
            </w:pPr>
            <w:r w:rsidRPr="006B3447">
              <w:rPr>
                <w:rFonts w:cstheme="minorHAnsi"/>
                <w:b/>
              </w:rPr>
              <w:t xml:space="preserve">Course Coordinator </w:t>
            </w:r>
          </w:p>
          <w:p w:rsidR="00193E52" w:rsidRPr="006B3447" w:rsidRDefault="00193E52" w:rsidP="00D57CBE">
            <w:pPr>
              <w:rPr>
                <w:rFonts w:cstheme="minorHAnsi"/>
                <w:b/>
              </w:rPr>
            </w:pPr>
            <w:r w:rsidRPr="006B3447">
              <w:rPr>
                <w:rFonts w:cstheme="minorHAnsi"/>
                <w:b/>
              </w:rPr>
              <w:t>contact details:</w:t>
            </w:r>
          </w:p>
        </w:tc>
        <w:tc>
          <w:tcPr>
            <w:tcW w:w="6681" w:type="dxa"/>
            <w:gridSpan w:val="2"/>
          </w:tcPr>
          <w:p w:rsidR="00193E52" w:rsidRDefault="00193E52" w:rsidP="00083DBB">
            <w:pPr>
              <w:spacing w:before="120" w:after="120"/>
              <w:rPr>
                <w:rStyle w:val="Hyperlink"/>
                <w:rFonts w:cstheme="minorHAnsi"/>
              </w:rPr>
            </w:pPr>
            <w:r w:rsidRPr="006B3447">
              <w:rPr>
                <w:rFonts w:cstheme="minorHAnsi"/>
              </w:rPr>
              <w:t xml:space="preserve">Norm Strong, Room 5.010, </w:t>
            </w:r>
            <w:hyperlink r:id="rId8" w:history="1">
              <w:r w:rsidRPr="006B3447">
                <w:rPr>
                  <w:rStyle w:val="Hyperlink"/>
                  <w:rFonts w:cstheme="minorHAnsi"/>
                </w:rPr>
                <w:t>norman.strong@manchester.ac.uk</w:t>
              </w:r>
            </w:hyperlink>
          </w:p>
          <w:p w:rsidR="00113F13" w:rsidRPr="006B3447" w:rsidRDefault="00113F13" w:rsidP="00083DBB">
            <w:pPr>
              <w:spacing w:before="120" w:after="120"/>
              <w:rPr>
                <w:rFonts w:cstheme="minorHAnsi"/>
                <w:color w:val="FF0000"/>
              </w:rPr>
            </w:pPr>
          </w:p>
        </w:tc>
      </w:tr>
      <w:tr w:rsidR="00193E52" w:rsidRPr="006B3447" w:rsidTr="00345BBB">
        <w:tc>
          <w:tcPr>
            <w:tcW w:w="2988" w:type="dxa"/>
            <w:shd w:val="clear" w:color="auto" w:fill="D9D9D9" w:themeFill="background1" w:themeFillShade="D9"/>
          </w:tcPr>
          <w:p w:rsidR="00193E52" w:rsidRPr="006B3447" w:rsidRDefault="00193E52" w:rsidP="00D57CBE">
            <w:pPr>
              <w:rPr>
                <w:rFonts w:cstheme="minorHAnsi"/>
                <w:b/>
              </w:rPr>
            </w:pPr>
            <w:r w:rsidRPr="006B3447">
              <w:rPr>
                <w:rFonts w:cstheme="minorHAnsi"/>
                <w:b/>
              </w:rPr>
              <w:t>Other staff involved contact details:</w:t>
            </w:r>
          </w:p>
        </w:tc>
        <w:tc>
          <w:tcPr>
            <w:tcW w:w="6681" w:type="dxa"/>
            <w:gridSpan w:val="2"/>
          </w:tcPr>
          <w:p w:rsidR="00193E52" w:rsidRPr="006B3447" w:rsidRDefault="00113F13" w:rsidP="00193E52">
            <w:pPr>
              <w:spacing w:before="120" w:after="120"/>
              <w:jc w:val="both"/>
              <w:rPr>
                <w:rFonts w:cstheme="minorHAnsi"/>
              </w:rPr>
            </w:pPr>
            <w:r w:rsidRPr="00214AE5">
              <w:rPr>
                <w:bCs/>
              </w:rPr>
              <w:t xml:space="preserve">George </w:t>
            </w:r>
            <w:proofErr w:type="spellStart"/>
            <w:r w:rsidRPr="00214AE5">
              <w:rPr>
                <w:bCs/>
              </w:rPr>
              <w:t>Voulgaris</w:t>
            </w:r>
            <w:proofErr w:type="spellEnd"/>
            <w:r w:rsidRPr="00214AE5">
              <w:rPr>
                <w:bCs/>
              </w:rPr>
              <w:t xml:space="preserve"> (</w:t>
            </w:r>
            <w:hyperlink r:id="rId9" w:history="1">
              <w:r w:rsidRPr="00214AE5">
                <w:rPr>
                  <w:rStyle w:val="Hyperlink"/>
                  <w:bCs/>
                </w:rPr>
                <w:t>georgios.voulgaris@manchester.ac.uk</w:t>
              </w:r>
            </w:hyperlink>
            <w:r w:rsidRPr="00214AE5">
              <w:rPr>
                <w:bCs/>
              </w:rPr>
              <w:t>)</w:t>
            </w:r>
          </w:p>
        </w:tc>
      </w:tr>
      <w:tr w:rsidR="00345BBB" w:rsidRPr="006B3447" w:rsidTr="00345BBB">
        <w:tc>
          <w:tcPr>
            <w:tcW w:w="2988" w:type="dxa"/>
            <w:shd w:val="clear" w:color="auto" w:fill="D9D9D9" w:themeFill="background1" w:themeFillShade="D9"/>
          </w:tcPr>
          <w:p w:rsidR="00345BBB" w:rsidRPr="006B3447" w:rsidRDefault="00345BBB" w:rsidP="0063304D">
            <w:pPr>
              <w:rPr>
                <w:rFonts w:cstheme="minorHAnsi"/>
                <w:b/>
              </w:rPr>
            </w:pPr>
            <w:r w:rsidRPr="006B3447">
              <w:rPr>
                <w:rFonts w:cstheme="minorHAnsi"/>
                <w:b/>
              </w:rPr>
              <w:t>Pre-requisites</w:t>
            </w:r>
          </w:p>
          <w:p w:rsidR="00345BBB" w:rsidRPr="006B3447" w:rsidRDefault="00345BBB" w:rsidP="0063304D">
            <w:pPr>
              <w:rPr>
                <w:rFonts w:cstheme="minorHAnsi"/>
                <w:b/>
              </w:rPr>
            </w:pPr>
            <w:r w:rsidRPr="006B3447">
              <w:rPr>
                <w:rFonts w:cstheme="minorHAnsi"/>
                <w:b/>
              </w:rPr>
              <w:t>Co-requisites</w:t>
            </w:r>
          </w:p>
          <w:p w:rsidR="00345BBB" w:rsidRPr="006B3447" w:rsidRDefault="00B274A6" w:rsidP="0063304D">
            <w:pPr>
              <w:rPr>
                <w:rFonts w:cstheme="minorHAnsi"/>
                <w:b/>
              </w:rPr>
            </w:pPr>
            <w:r w:rsidRPr="006B3447">
              <w:rPr>
                <w:rFonts w:cstheme="minorHAnsi"/>
                <w:b/>
              </w:rPr>
              <w:t>Dependent course units</w:t>
            </w:r>
          </w:p>
          <w:p w:rsidR="00B274A6" w:rsidRPr="006B3447" w:rsidRDefault="00B274A6" w:rsidP="0063304D">
            <w:pPr>
              <w:rPr>
                <w:rFonts w:cstheme="minorHAnsi"/>
                <w:b/>
              </w:rPr>
            </w:pPr>
            <w:r w:rsidRPr="006B3447">
              <w:rPr>
                <w:rFonts w:cstheme="minorHAnsi"/>
                <w:b/>
              </w:rPr>
              <w:t>Restrictions</w:t>
            </w:r>
          </w:p>
        </w:tc>
        <w:tc>
          <w:tcPr>
            <w:tcW w:w="6681" w:type="dxa"/>
            <w:gridSpan w:val="2"/>
          </w:tcPr>
          <w:p w:rsidR="00345BBB" w:rsidRPr="006B3447" w:rsidRDefault="00193E52" w:rsidP="00D57CBE">
            <w:pPr>
              <w:rPr>
                <w:rFonts w:cstheme="minorHAnsi"/>
                <w:color w:val="FF0000"/>
              </w:rPr>
            </w:pPr>
            <w:r w:rsidRPr="006B3447">
              <w:rPr>
                <w:rFonts w:cstheme="minorHAnsi"/>
              </w:rPr>
              <w:t>Students should normally have a first degree that includes subjects in accounting and training in economics</w:t>
            </w:r>
          </w:p>
        </w:tc>
      </w:tr>
      <w:tr w:rsidR="004003EA" w:rsidRPr="006B3447" w:rsidTr="00345BBB">
        <w:tc>
          <w:tcPr>
            <w:tcW w:w="9669" w:type="dxa"/>
            <w:gridSpan w:val="3"/>
            <w:shd w:val="clear" w:color="auto" w:fill="7030A0"/>
          </w:tcPr>
          <w:p w:rsidR="004003EA" w:rsidRPr="006B3447" w:rsidRDefault="004003EA" w:rsidP="004003EA">
            <w:pPr>
              <w:rPr>
                <w:rFonts w:cstheme="minorHAnsi"/>
                <w:b/>
                <w:color w:val="FFFFFF" w:themeColor="background1"/>
              </w:rPr>
            </w:pPr>
            <w:r w:rsidRPr="006B3447">
              <w:rPr>
                <w:rFonts w:cstheme="minorHAnsi"/>
                <w:b/>
                <w:color w:val="FFFFFF" w:themeColor="background1"/>
              </w:rPr>
              <w:t>Aims</w:t>
            </w:r>
          </w:p>
        </w:tc>
      </w:tr>
      <w:tr w:rsidR="00C7344D" w:rsidRPr="006B3447" w:rsidTr="00345BBB">
        <w:tc>
          <w:tcPr>
            <w:tcW w:w="9669" w:type="dxa"/>
            <w:gridSpan w:val="3"/>
          </w:tcPr>
          <w:p w:rsidR="00113F13" w:rsidRPr="006B3447" w:rsidRDefault="00113F13" w:rsidP="00113F13">
            <w:pPr>
              <w:jc w:val="both"/>
              <w:rPr>
                <w:rFonts w:cstheme="minorHAnsi"/>
                <w:b/>
              </w:rPr>
            </w:pPr>
            <w:r w:rsidRPr="00214AE5">
              <w:t xml:space="preserve">The course covers key theoretical areas of financial accounting research. It provides a crucial link to the literature for students seeking to strengthen the theoretical foundations of their empirical research. The underlying perspective is an economic one and implicitly assumes a stock market setting defines the corporate financial information environment. </w:t>
            </w:r>
          </w:p>
        </w:tc>
      </w:tr>
      <w:tr w:rsidR="004003EA" w:rsidRPr="006B3447" w:rsidTr="00345BBB">
        <w:tc>
          <w:tcPr>
            <w:tcW w:w="9669" w:type="dxa"/>
            <w:gridSpan w:val="3"/>
            <w:shd w:val="clear" w:color="auto" w:fill="7030A0"/>
          </w:tcPr>
          <w:p w:rsidR="004003EA" w:rsidRPr="006B3447" w:rsidRDefault="004003EA" w:rsidP="004003EA">
            <w:pPr>
              <w:rPr>
                <w:rFonts w:cstheme="minorHAnsi"/>
                <w:b/>
                <w:color w:val="FFFFFF" w:themeColor="background1"/>
              </w:rPr>
            </w:pPr>
            <w:r w:rsidRPr="006B3447">
              <w:rPr>
                <w:rFonts w:cstheme="minorHAnsi"/>
                <w:b/>
                <w:color w:val="FFFFFF" w:themeColor="background1"/>
              </w:rPr>
              <w:t>Objectives (Learning outcomes)</w:t>
            </w:r>
          </w:p>
        </w:tc>
      </w:tr>
      <w:tr w:rsidR="00CF3EFD" w:rsidRPr="006B3447" w:rsidTr="00345BBB">
        <w:tc>
          <w:tcPr>
            <w:tcW w:w="9669" w:type="dxa"/>
            <w:gridSpan w:val="3"/>
          </w:tcPr>
          <w:p w:rsidR="00193E52" w:rsidRDefault="00193E52" w:rsidP="00193E52">
            <w:pPr>
              <w:pStyle w:val="Default"/>
              <w:rPr>
                <w:rFonts w:asciiTheme="minorHAnsi" w:hAnsiTheme="minorHAnsi" w:cstheme="minorHAnsi"/>
                <w:i/>
                <w:iCs/>
                <w:sz w:val="22"/>
                <w:szCs w:val="22"/>
              </w:rPr>
            </w:pPr>
            <w:r w:rsidRPr="006B3447">
              <w:rPr>
                <w:rFonts w:asciiTheme="minorHAnsi" w:hAnsiTheme="minorHAnsi" w:cstheme="minorHAnsi"/>
                <w:i/>
                <w:iCs/>
                <w:sz w:val="22"/>
                <w:szCs w:val="22"/>
              </w:rPr>
              <w:t xml:space="preserve">On completion of this unit successful students will be able to: </w:t>
            </w:r>
          </w:p>
          <w:p w:rsidR="00113F13" w:rsidRDefault="00113F13" w:rsidP="00193E52">
            <w:pPr>
              <w:pStyle w:val="Default"/>
              <w:rPr>
                <w:rFonts w:asciiTheme="minorHAnsi" w:hAnsiTheme="minorHAnsi" w:cstheme="minorHAnsi"/>
                <w:i/>
                <w:iCs/>
                <w:sz w:val="22"/>
                <w:szCs w:val="22"/>
              </w:rPr>
            </w:pPr>
          </w:p>
          <w:p w:rsidR="008D6C14" w:rsidRPr="00113F13" w:rsidRDefault="00113F13" w:rsidP="00113F13">
            <w:pPr>
              <w:autoSpaceDE w:val="0"/>
              <w:autoSpaceDN w:val="0"/>
              <w:adjustRightInd w:val="0"/>
              <w:jc w:val="both"/>
            </w:pPr>
            <w:r w:rsidRPr="00214AE5">
              <w:t xml:space="preserve">By the end of the course, students will be able to understand four fundamental theoretical areas that underpin research in financial accounting, namely mandatory financial disclosure, voluntary financial disclosure, the politics of accounting regulation, and agency and contracting theory. </w:t>
            </w:r>
          </w:p>
        </w:tc>
      </w:tr>
      <w:tr w:rsidR="004003EA" w:rsidRPr="006B3447" w:rsidTr="00345BBB">
        <w:tc>
          <w:tcPr>
            <w:tcW w:w="9669" w:type="dxa"/>
            <w:gridSpan w:val="3"/>
            <w:shd w:val="clear" w:color="auto" w:fill="7030A0"/>
          </w:tcPr>
          <w:p w:rsidR="004003EA" w:rsidRPr="006B3447" w:rsidRDefault="0056006D" w:rsidP="004003EA">
            <w:pPr>
              <w:rPr>
                <w:rFonts w:cstheme="minorHAnsi"/>
                <w:b/>
                <w:color w:val="FFFFFF" w:themeColor="background1"/>
              </w:rPr>
            </w:pPr>
            <w:r w:rsidRPr="006B3447">
              <w:rPr>
                <w:rFonts w:cstheme="minorHAnsi"/>
                <w:b/>
                <w:color w:val="FFFFFF" w:themeColor="background1"/>
              </w:rPr>
              <w:t>Syllabus</w:t>
            </w:r>
            <w:r w:rsidR="00B274A6" w:rsidRPr="006B3447">
              <w:rPr>
                <w:rFonts w:cstheme="minorHAnsi"/>
                <w:b/>
                <w:color w:val="FFFFFF" w:themeColor="background1"/>
              </w:rPr>
              <w:t xml:space="preserve"> content</w:t>
            </w:r>
          </w:p>
        </w:tc>
      </w:tr>
      <w:tr w:rsidR="00C7344D" w:rsidRPr="006B3447" w:rsidTr="00345BBB">
        <w:tc>
          <w:tcPr>
            <w:tcW w:w="9669" w:type="dxa"/>
            <w:gridSpan w:val="3"/>
          </w:tcPr>
          <w:p w:rsidR="00414E91" w:rsidRPr="006B3447" w:rsidRDefault="00414E91" w:rsidP="00193E52">
            <w:pPr>
              <w:rPr>
                <w:rFonts w:cstheme="minorHAnsi"/>
              </w:rPr>
            </w:pPr>
            <w:r w:rsidRPr="006B3447">
              <w:rPr>
                <w:rFonts w:cstheme="minorHAnsi"/>
              </w:rPr>
              <w:t>The course covers five topics as follows:</w:t>
            </w:r>
          </w:p>
          <w:p w:rsidR="00414E91" w:rsidRPr="006B3447" w:rsidRDefault="00414E91" w:rsidP="00193E52">
            <w:pPr>
              <w:rPr>
                <w:rFonts w:cstheme="minorHAnsi"/>
              </w:rPr>
            </w:pPr>
          </w:p>
          <w:p w:rsidR="00193E52" w:rsidRPr="006B3447" w:rsidRDefault="00193E52" w:rsidP="00193E52">
            <w:pPr>
              <w:rPr>
                <w:rFonts w:cstheme="minorHAnsi"/>
              </w:rPr>
            </w:pPr>
            <w:r w:rsidRPr="006B3447">
              <w:rPr>
                <w:rFonts w:cstheme="minorHAnsi"/>
              </w:rPr>
              <w:t>The social value of (mandatory) financial disclosure</w:t>
            </w:r>
          </w:p>
          <w:p w:rsidR="00193E52" w:rsidRPr="006B3447" w:rsidRDefault="00193E52" w:rsidP="00193E52">
            <w:pPr>
              <w:rPr>
                <w:rFonts w:cstheme="minorHAnsi"/>
              </w:rPr>
            </w:pPr>
            <w:r w:rsidRPr="006B3447">
              <w:rPr>
                <w:rFonts w:cstheme="minorHAnsi"/>
              </w:rPr>
              <w:t>Voluntary financial disclosure</w:t>
            </w:r>
          </w:p>
          <w:p w:rsidR="00193E52" w:rsidRPr="006B3447" w:rsidRDefault="00193E52" w:rsidP="00193E52">
            <w:pPr>
              <w:rPr>
                <w:rFonts w:cstheme="minorHAnsi"/>
              </w:rPr>
            </w:pPr>
            <w:r w:rsidRPr="006B3447">
              <w:rPr>
                <w:rFonts w:cstheme="minorHAnsi"/>
              </w:rPr>
              <w:t>Corporate valuation models</w:t>
            </w:r>
          </w:p>
          <w:p w:rsidR="00193E52" w:rsidRPr="006B3447" w:rsidRDefault="00193E52" w:rsidP="00193E52">
            <w:pPr>
              <w:rPr>
                <w:rFonts w:cstheme="minorHAnsi"/>
              </w:rPr>
            </w:pPr>
            <w:r w:rsidRPr="006B3447">
              <w:rPr>
                <w:rFonts w:cstheme="minorHAnsi"/>
              </w:rPr>
              <w:t>The politics of accounting regulation</w:t>
            </w:r>
          </w:p>
          <w:p w:rsidR="00C7344D" w:rsidRPr="006B3447" w:rsidRDefault="00193E52" w:rsidP="00193E52">
            <w:pPr>
              <w:rPr>
                <w:rFonts w:cstheme="minorHAnsi"/>
              </w:rPr>
            </w:pPr>
            <w:r w:rsidRPr="006B3447">
              <w:rPr>
                <w:rFonts w:cstheme="minorHAnsi"/>
              </w:rPr>
              <w:t>Agency theory and accounting research</w:t>
            </w:r>
          </w:p>
        </w:tc>
      </w:tr>
      <w:tr w:rsidR="009A2688" w:rsidRPr="006B3447" w:rsidTr="00345BBB">
        <w:tc>
          <w:tcPr>
            <w:tcW w:w="9669" w:type="dxa"/>
            <w:gridSpan w:val="3"/>
            <w:shd w:val="clear" w:color="auto" w:fill="7030A0"/>
          </w:tcPr>
          <w:p w:rsidR="009A2688" w:rsidRPr="006B3447" w:rsidRDefault="00C7344D" w:rsidP="003A0F8F">
            <w:pPr>
              <w:rPr>
                <w:rFonts w:cstheme="minorHAnsi"/>
                <w:b/>
                <w:color w:val="FFFFFF" w:themeColor="background1"/>
              </w:rPr>
            </w:pPr>
            <w:r w:rsidRPr="006B3447">
              <w:rPr>
                <w:rFonts w:cstheme="minorHAnsi"/>
                <w:b/>
                <w:color w:val="FFFFFF" w:themeColor="background1"/>
              </w:rPr>
              <w:t>M</w:t>
            </w:r>
            <w:r w:rsidR="00AA2E20" w:rsidRPr="006B3447">
              <w:rPr>
                <w:rFonts w:cstheme="minorHAnsi"/>
                <w:b/>
                <w:color w:val="FFFFFF" w:themeColor="background1"/>
              </w:rPr>
              <w:t>ethods of d</w:t>
            </w:r>
            <w:r w:rsidR="009A2688" w:rsidRPr="006B3447">
              <w:rPr>
                <w:rFonts w:cstheme="minorHAnsi"/>
                <w:b/>
                <w:color w:val="FFFFFF" w:themeColor="background1"/>
              </w:rPr>
              <w:t>elivery</w:t>
            </w:r>
          </w:p>
        </w:tc>
      </w:tr>
      <w:tr w:rsidR="00AA2E20" w:rsidRPr="006B3447" w:rsidTr="006A15A6">
        <w:tc>
          <w:tcPr>
            <w:tcW w:w="4729" w:type="dxa"/>
            <w:gridSpan w:val="2"/>
            <w:shd w:val="clear" w:color="auto" w:fill="D9D9D9" w:themeFill="background1" w:themeFillShade="D9"/>
          </w:tcPr>
          <w:p w:rsidR="00AA2E20" w:rsidRPr="006B3447" w:rsidRDefault="00AA2E20" w:rsidP="004003EA">
            <w:pPr>
              <w:rPr>
                <w:rFonts w:cstheme="minorHAnsi"/>
                <w:b/>
              </w:rPr>
            </w:pPr>
            <w:r w:rsidRPr="006B3447">
              <w:rPr>
                <w:rFonts w:cstheme="minorHAnsi"/>
                <w:b/>
              </w:rPr>
              <w:t>Lectures</w:t>
            </w:r>
          </w:p>
        </w:tc>
        <w:tc>
          <w:tcPr>
            <w:tcW w:w="4940" w:type="dxa"/>
          </w:tcPr>
          <w:p w:rsidR="00AA2E20" w:rsidRPr="006B3447" w:rsidRDefault="00193E52" w:rsidP="00003E4A">
            <w:pPr>
              <w:rPr>
                <w:rFonts w:cstheme="minorHAnsi"/>
                <w:color w:val="000000" w:themeColor="text1"/>
              </w:rPr>
            </w:pPr>
            <w:r w:rsidRPr="006B3447">
              <w:rPr>
                <w:rFonts w:cstheme="minorHAnsi"/>
                <w:color w:val="000000" w:themeColor="text1"/>
              </w:rPr>
              <w:t>8 weeks of 3-hour sessions</w:t>
            </w:r>
          </w:p>
        </w:tc>
      </w:tr>
      <w:tr w:rsidR="00AA2E20" w:rsidRPr="006B3447" w:rsidTr="006A15A6">
        <w:tc>
          <w:tcPr>
            <w:tcW w:w="4729" w:type="dxa"/>
            <w:gridSpan w:val="2"/>
            <w:shd w:val="clear" w:color="auto" w:fill="D9D9D9" w:themeFill="background1" w:themeFillShade="D9"/>
          </w:tcPr>
          <w:p w:rsidR="00AA2E20" w:rsidRPr="006B3447" w:rsidRDefault="00AA2E20" w:rsidP="00414E91">
            <w:pPr>
              <w:rPr>
                <w:rFonts w:cstheme="minorHAnsi"/>
                <w:b/>
              </w:rPr>
            </w:pPr>
            <w:r w:rsidRPr="006B3447">
              <w:rPr>
                <w:rFonts w:cstheme="minorHAnsi"/>
                <w:b/>
              </w:rPr>
              <w:t>Seminar/Tutorial/Workshop/Lab Hours</w:t>
            </w:r>
          </w:p>
        </w:tc>
        <w:tc>
          <w:tcPr>
            <w:tcW w:w="4940" w:type="dxa"/>
          </w:tcPr>
          <w:p w:rsidR="00AA2E20" w:rsidRPr="006B3447" w:rsidRDefault="00414E91" w:rsidP="004003EA">
            <w:pPr>
              <w:rPr>
                <w:rFonts w:cstheme="minorHAnsi"/>
                <w:color w:val="FF0000"/>
              </w:rPr>
            </w:pPr>
            <w:r w:rsidRPr="006B3447">
              <w:rPr>
                <w:rFonts w:cstheme="minorHAnsi"/>
                <w:color w:val="000000" w:themeColor="text1"/>
              </w:rPr>
              <w:t>None</w:t>
            </w:r>
          </w:p>
        </w:tc>
      </w:tr>
      <w:tr w:rsidR="00AA2E20" w:rsidRPr="006B3447" w:rsidTr="006A15A6">
        <w:tc>
          <w:tcPr>
            <w:tcW w:w="4729" w:type="dxa"/>
            <w:gridSpan w:val="2"/>
            <w:shd w:val="clear" w:color="auto" w:fill="D9D9D9" w:themeFill="background1" w:themeFillShade="D9"/>
          </w:tcPr>
          <w:p w:rsidR="00AA2E20" w:rsidRPr="006B3447" w:rsidRDefault="00CF3EFD" w:rsidP="004003EA">
            <w:pPr>
              <w:rPr>
                <w:rFonts w:cstheme="minorHAnsi"/>
                <w:b/>
              </w:rPr>
            </w:pPr>
            <w:r w:rsidRPr="006B3447">
              <w:rPr>
                <w:rFonts w:cstheme="minorHAnsi"/>
                <w:b/>
              </w:rPr>
              <w:t>Independent</w:t>
            </w:r>
            <w:r w:rsidR="00AA2E20" w:rsidRPr="006B3447">
              <w:rPr>
                <w:rFonts w:cstheme="minorHAnsi"/>
                <w:b/>
              </w:rPr>
              <w:t xml:space="preserve"> Study</w:t>
            </w:r>
          </w:p>
        </w:tc>
        <w:tc>
          <w:tcPr>
            <w:tcW w:w="4940" w:type="dxa"/>
          </w:tcPr>
          <w:p w:rsidR="00B274A6" w:rsidRPr="006B3447" w:rsidRDefault="00193E52" w:rsidP="00193E52">
            <w:pPr>
              <w:rPr>
                <w:rFonts w:cstheme="minorHAnsi"/>
                <w:color w:val="000000" w:themeColor="text1"/>
              </w:rPr>
            </w:pPr>
            <w:r w:rsidRPr="006B3447">
              <w:rPr>
                <w:rFonts w:cstheme="minorHAnsi"/>
                <w:color w:val="000000" w:themeColor="text1"/>
              </w:rPr>
              <w:t>126</w:t>
            </w:r>
          </w:p>
        </w:tc>
      </w:tr>
      <w:tr w:rsidR="00AA2E20" w:rsidRPr="006B3447" w:rsidTr="006A15A6">
        <w:tc>
          <w:tcPr>
            <w:tcW w:w="4729" w:type="dxa"/>
            <w:gridSpan w:val="2"/>
            <w:shd w:val="clear" w:color="auto" w:fill="D9D9D9" w:themeFill="background1" w:themeFillShade="D9"/>
          </w:tcPr>
          <w:p w:rsidR="00AA2E20" w:rsidRPr="006B3447" w:rsidRDefault="00AA2E20" w:rsidP="00414E91">
            <w:pPr>
              <w:rPr>
                <w:rFonts w:cstheme="minorHAnsi"/>
                <w:b/>
                <w:color w:val="FF0000"/>
              </w:rPr>
            </w:pPr>
            <w:r w:rsidRPr="006B3447">
              <w:rPr>
                <w:rFonts w:cstheme="minorHAnsi"/>
                <w:b/>
              </w:rPr>
              <w:lastRenderedPageBreak/>
              <w:t>Total Study Hours</w:t>
            </w:r>
          </w:p>
        </w:tc>
        <w:tc>
          <w:tcPr>
            <w:tcW w:w="4940" w:type="dxa"/>
          </w:tcPr>
          <w:p w:rsidR="00B274A6" w:rsidRPr="006B3447" w:rsidRDefault="00193E52" w:rsidP="004003EA">
            <w:pPr>
              <w:rPr>
                <w:rFonts w:cstheme="minorHAnsi"/>
                <w:color w:val="000000" w:themeColor="text1"/>
              </w:rPr>
            </w:pPr>
            <w:r w:rsidRPr="006B3447">
              <w:rPr>
                <w:rFonts w:cstheme="minorHAnsi"/>
                <w:color w:val="000000" w:themeColor="text1"/>
              </w:rPr>
              <w:t>150</w:t>
            </w:r>
          </w:p>
        </w:tc>
      </w:tr>
      <w:tr w:rsidR="00B76C82" w:rsidRPr="006B3447" w:rsidTr="00345BBB">
        <w:trPr>
          <w:trHeight w:val="254"/>
        </w:trPr>
        <w:tc>
          <w:tcPr>
            <w:tcW w:w="9669" w:type="dxa"/>
            <w:gridSpan w:val="3"/>
            <w:shd w:val="clear" w:color="auto" w:fill="7030A0"/>
          </w:tcPr>
          <w:p w:rsidR="00B76C82" w:rsidRPr="006B3447" w:rsidRDefault="00B76C82" w:rsidP="003A0F8F">
            <w:pPr>
              <w:rPr>
                <w:rFonts w:cstheme="minorHAnsi"/>
                <w:b/>
                <w:color w:val="FFFFFF" w:themeColor="background1"/>
              </w:rPr>
            </w:pPr>
            <w:r w:rsidRPr="006B3447">
              <w:rPr>
                <w:rFonts w:cstheme="minorHAnsi"/>
                <w:b/>
                <w:color w:val="FFFFFF" w:themeColor="background1"/>
              </w:rPr>
              <w:t>Reading List</w:t>
            </w:r>
          </w:p>
        </w:tc>
      </w:tr>
      <w:tr w:rsidR="0056006D" w:rsidRPr="006B3447" w:rsidTr="00345BBB">
        <w:tc>
          <w:tcPr>
            <w:tcW w:w="9669" w:type="dxa"/>
            <w:gridSpan w:val="3"/>
          </w:tcPr>
          <w:p w:rsidR="0056006D" w:rsidRPr="006B3447" w:rsidRDefault="00414E91" w:rsidP="00D42AA1">
            <w:pPr>
              <w:rPr>
                <w:rFonts w:cstheme="minorHAnsi"/>
                <w:color w:val="000000" w:themeColor="text1"/>
              </w:rPr>
            </w:pPr>
            <w:r w:rsidRPr="006B3447">
              <w:rPr>
                <w:rFonts w:cstheme="minorHAnsi"/>
                <w:color w:val="000000" w:themeColor="text1"/>
              </w:rPr>
              <w:t>We provide detailed reading during the course.</w:t>
            </w:r>
          </w:p>
        </w:tc>
      </w:tr>
      <w:tr w:rsidR="00B76C82" w:rsidRPr="006B3447" w:rsidTr="00345BBB">
        <w:trPr>
          <w:trHeight w:val="328"/>
        </w:trPr>
        <w:tc>
          <w:tcPr>
            <w:tcW w:w="9669" w:type="dxa"/>
            <w:gridSpan w:val="3"/>
            <w:shd w:val="clear" w:color="auto" w:fill="7030A0"/>
          </w:tcPr>
          <w:p w:rsidR="00B76C82" w:rsidRPr="006B3447" w:rsidRDefault="00B76C82" w:rsidP="00D42AA1">
            <w:pPr>
              <w:ind w:right="-70"/>
              <w:rPr>
                <w:rFonts w:cstheme="minorHAnsi"/>
                <w:b/>
                <w:color w:val="FFFFFF" w:themeColor="background1"/>
              </w:rPr>
            </w:pPr>
            <w:r w:rsidRPr="006B3447">
              <w:rPr>
                <w:rFonts w:cstheme="minorHAnsi"/>
                <w:b/>
                <w:color w:val="FFFFFF" w:themeColor="background1"/>
              </w:rPr>
              <w:t>Assessment</w:t>
            </w:r>
          </w:p>
        </w:tc>
      </w:tr>
    </w:tbl>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7"/>
        <w:gridCol w:w="1984"/>
        <w:gridCol w:w="2439"/>
      </w:tblGrid>
      <w:tr w:rsidR="002F7643" w:rsidRPr="006B3447" w:rsidTr="006A15A6">
        <w:tc>
          <w:tcPr>
            <w:tcW w:w="5217" w:type="dxa"/>
            <w:shd w:val="clear" w:color="auto" w:fill="D9D9D9" w:themeFill="background1" w:themeFillShade="D9"/>
            <w:vAlign w:val="center"/>
          </w:tcPr>
          <w:p w:rsidR="002F7643" w:rsidRPr="006B3447" w:rsidRDefault="00A25907" w:rsidP="00A25907">
            <w:pPr>
              <w:keepNext/>
              <w:autoSpaceDE w:val="0"/>
              <w:autoSpaceDN w:val="0"/>
              <w:spacing w:before="120" w:after="120" w:line="240" w:lineRule="auto"/>
              <w:ind w:left="284"/>
              <w:jc w:val="center"/>
              <w:outlineLvl w:val="2"/>
              <w:rPr>
                <w:rFonts w:eastAsia="Batang" w:cstheme="minorHAnsi"/>
                <w:b/>
                <w:lang w:eastAsia="ko-KR"/>
              </w:rPr>
            </w:pPr>
            <w:r w:rsidRPr="006B3447">
              <w:rPr>
                <w:rFonts w:eastAsia="Batang" w:cstheme="minorHAnsi"/>
                <w:b/>
                <w:lang w:eastAsia="ko-KR"/>
              </w:rPr>
              <w:t>Mode of Assessment</w:t>
            </w:r>
          </w:p>
        </w:tc>
        <w:tc>
          <w:tcPr>
            <w:tcW w:w="1984" w:type="dxa"/>
            <w:shd w:val="clear" w:color="auto" w:fill="D9D9D9" w:themeFill="background1" w:themeFillShade="D9"/>
          </w:tcPr>
          <w:p w:rsidR="002F7643" w:rsidRPr="006B3447" w:rsidRDefault="002F7643" w:rsidP="002F7643">
            <w:pPr>
              <w:autoSpaceDE w:val="0"/>
              <w:autoSpaceDN w:val="0"/>
              <w:spacing w:before="120" w:after="120" w:line="240" w:lineRule="auto"/>
              <w:jc w:val="center"/>
              <w:rPr>
                <w:rFonts w:eastAsia="Batang" w:cstheme="minorHAnsi"/>
                <w:b/>
                <w:bCs/>
                <w:lang w:eastAsia="ko-KR"/>
              </w:rPr>
            </w:pPr>
            <w:r w:rsidRPr="006B3447">
              <w:rPr>
                <w:rFonts w:eastAsia="Batang" w:cstheme="minorHAnsi"/>
                <w:b/>
                <w:bCs/>
                <w:lang w:eastAsia="ko-KR"/>
              </w:rPr>
              <w:t>Length required</w:t>
            </w:r>
          </w:p>
        </w:tc>
        <w:tc>
          <w:tcPr>
            <w:tcW w:w="2439" w:type="dxa"/>
            <w:shd w:val="clear" w:color="auto" w:fill="D9D9D9" w:themeFill="background1" w:themeFillShade="D9"/>
          </w:tcPr>
          <w:p w:rsidR="002F7643" w:rsidRPr="006B3447" w:rsidRDefault="002F7643" w:rsidP="002F7643">
            <w:pPr>
              <w:autoSpaceDE w:val="0"/>
              <w:autoSpaceDN w:val="0"/>
              <w:spacing w:before="120" w:after="120" w:line="240" w:lineRule="auto"/>
              <w:jc w:val="center"/>
              <w:rPr>
                <w:rFonts w:eastAsia="Batang" w:cstheme="minorHAnsi"/>
                <w:b/>
                <w:bCs/>
                <w:lang w:eastAsia="ko-KR"/>
              </w:rPr>
            </w:pPr>
            <w:r w:rsidRPr="006B3447">
              <w:rPr>
                <w:rFonts w:eastAsia="Batang" w:cstheme="minorHAnsi"/>
                <w:b/>
                <w:bCs/>
                <w:lang w:eastAsia="ko-KR"/>
              </w:rPr>
              <w:t>Weighting within unit</w:t>
            </w:r>
          </w:p>
        </w:tc>
      </w:tr>
      <w:tr w:rsidR="00414E91" w:rsidRPr="006B3447" w:rsidTr="00345BBB">
        <w:tc>
          <w:tcPr>
            <w:tcW w:w="5217" w:type="dxa"/>
          </w:tcPr>
          <w:p w:rsidR="00113F13" w:rsidRPr="00214AE5" w:rsidRDefault="00113F13" w:rsidP="00113F13">
            <w:pPr>
              <w:jc w:val="both"/>
            </w:pPr>
            <w:r>
              <w:t xml:space="preserve">Write </w:t>
            </w:r>
            <w:r w:rsidRPr="00214AE5">
              <w:t>a term paper that</w:t>
            </w:r>
            <w:r>
              <w:t xml:space="preserve"> </w:t>
            </w:r>
            <w:r w:rsidRPr="00214AE5">
              <w:t>summari</w:t>
            </w:r>
            <w:r>
              <w:t>z</w:t>
            </w:r>
            <w:r w:rsidRPr="00214AE5">
              <w:t xml:space="preserve">es and demonstrates your knowledge and understanding of each of the </w:t>
            </w:r>
            <w:r>
              <w:t xml:space="preserve">four </w:t>
            </w:r>
            <w:r w:rsidRPr="00214AE5">
              <w:t>topics from the course</w:t>
            </w:r>
            <w:r>
              <w:t>.</w:t>
            </w:r>
            <w:r w:rsidRPr="00214AE5">
              <w:t xml:space="preserve"> </w:t>
            </w:r>
          </w:p>
          <w:p w:rsidR="00414E91" w:rsidRPr="006B3447" w:rsidRDefault="00414E91" w:rsidP="00083DBB">
            <w:pPr>
              <w:pStyle w:val="Default"/>
              <w:rPr>
                <w:rFonts w:asciiTheme="minorHAnsi" w:hAnsiTheme="minorHAnsi" w:cstheme="minorHAnsi"/>
                <w:sz w:val="22"/>
                <w:szCs w:val="22"/>
              </w:rPr>
            </w:pPr>
          </w:p>
          <w:p w:rsidR="004A5287" w:rsidRPr="006B3447" w:rsidRDefault="004A5287" w:rsidP="00083DBB">
            <w:pPr>
              <w:autoSpaceDE w:val="0"/>
              <w:autoSpaceDN w:val="0"/>
              <w:spacing w:before="120" w:after="120" w:line="240" w:lineRule="auto"/>
              <w:rPr>
                <w:rFonts w:cstheme="minorHAnsi"/>
              </w:rPr>
            </w:pPr>
            <w:r w:rsidRPr="006B3447">
              <w:rPr>
                <w:rFonts w:cstheme="minorHAnsi"/>
              </w:rPr>
              <w:t>Students must submit their coursework via Blackboard/</w:t>
            </w:r>
            <w:proofErr w:type="spellStart"/>
            <w:r w:rsidRPr="006B3447">
              <w:rPr>
                <w:rFonts w:cstheme="minorHAnsi"/>
              </w:rPr>
              <w:t>Turnitin</w:t>
            </w:r>
            <w:proofErr w:type="spellEnd"/>
            <w:r w:rsidRPr="006B3447">
              <w:rPr>
                <w:rFonts w:cstheme="minorHAnsi"/>
              </w:rPr>
              <w:t xml:space="preserve"> by </w:t>
            </w:r>
            <w:r w:rsidRPr="00113F13">
              <w:rPr>
                <w:rFonts w:cstheme="minorHAnsi"/>
                <w:b/>
              </w:rPr>
              <w:t>12pm on Friday, 8 January 2021</w:t>
            </w:r>
          </w:p>
          <w:p w:rsidR="00304646" w:rsidRPr="006B3447" w:rsidRDefault="00304646" w:rsidP="00113F13">
            <w:pPr>
              <w:jc w:val="both"/>
              <w:rPr>
                <w:rFonts w:eastAsia="Batang" w:cstheme="minorHAnsi"/>
                <w:lang w:eastAsia="ko-KR"/>
              </w:rPr>
            </w:pPr>
          </w:p>
        </w:tc>
        <w:tc>
          <w:tcPr>
            <w:tcW w:w="1984" w:type="dxa"/>
          </w:tcPr>
          <w:p w:rsidR="00414E91" w:rsidRPr="006B3447" w:rsidRDefault="00414E91" w:rsidP="002F7643">
            <w:pPr>
              <w:autoSpaceDE w:val="0"/>
              <w:autoSpaceDN w:val="0"/>
              <w:spacing w:before="120" w:after="120" w:line="240" w:lineRule="auto"/>
              <w:jc w:val="center"/>
              <w:rPr>
                <w:rFonts w:eastAsia="Batang" w:cstheme="minorHAnsi"/>
                <w:lang w:eastAsia="ko-KR"/>
              </w:rPr>
            </w:pPr>
          </w:p>
          <w:p w:rsidR="00304646" w:rsidRPr="006B3447" w:rsidRDefault="00113F13" w:rsidP="002F7643">
            <w:pPr>
              <w:autoSpaceDE w:val="0"/>
              <w:autoSpaceDN w:val="0"/>
              <w:spacing w:before="120" w:after="120" w:line="240" w:lineRule="auto"/>
              <w:jc w:val="center"/>
              <w:rPr>
                <w:rFonts w:eastAsia="Batang" w:cstheme="minorHAnsi"/>
                <w:lang w:eastAsia="ko-KR"/>
              </w:rPr>
            </w:pPr>
            <w:r>
              <w:rPr>
                <w:rFonts w:cstheme="minorHAnsi"/>
              </w:rPr>
              <w:t>8</w:t>
            </w:r>
            <w:r w:rsidR="00304646" w:rsidRPr="006B3447">
              <w:rPr>
                <w:rFonts w:cstheme="minorHAnsi"/>
              </w:rPr>
              <w:t xml:space="preserve"> pages maximum</w:t>
            </w:r>
          </w:p>
        </w:tc>
        <w:tc>
          <w:tcPr>
            <w:tcW w:w="2439" w:type="dxa"/>
          </w:tcPr>
          <w:p w:rsidR="00414E91" w:rsidRPr="006B3447" w:rsidRDefault="00414E91" w:rsidP="002F7643">
            <w:pPr>
              <w:autoSpaceDE w:val="0"/>
              <w:autoSpaceDN w:val="0"/>
              <w:spacing w:before="120" w:after="120" w:line="240" w:lineRule="auto"/>
              <w:jc w:val="center"/>
              <w:rPr>
                <w:rFonts w:eastAsia="Batang" w:cstheme="minorHAnsi"/>
                <w:lang w:eastAsia="ko-KR"/>
              </w:rPr>
            </w:pPr>
          </w:p>
          <w:p w:rsidR="00414E91" w:rsidRPr="006B3447" w:rsidRDefault="00304646" w:rsidP="002F7643">
            <w:pPr>
              <w:autoSpaceDE w:val="0"/>
              <w:autoSpaceDN w:val="0"/>
              <w:spacing w:before="120" w:after="120" w:line="240" w:lineRule="auto"/>
              <w:jc w:val="center"/>
              <w:rPr>
                <w:rFonts w:eastAsia="Batang" w:cstheme="minorHAnsi"/>
                <w:lang w:eastAsia="ko-KR"/>
              </w:rPr>
            </w:pPr>
            <w:r w:rsidRPr="006B3447">
              <w:rPr>
                <w:rFonts w:eastAsia="Batang" w:cstheme="minorHAnsi"/>
                <w:lang w:eastAsia="ko-KR"/>
              </w:rPr>
              <w:t>100%</w:t>
            </w:r>
          </w:p>
        </w:tc>
      </w:tr>
      <w:tr w:rsidR="00414E91" w:rsidRPr="006B3447" w:rsidTr="00345BBB">
        <w:tc>
          <w:tcPr>
            <w:tcW w:w="5217" w:type="dxa"/>
          </w:tcPr>
          <w:p w:rsidR="00414E91" w:rsidRPr="006B3447" w:rsidRDefault="00414E91" w:rsidP="00414E91">
            <w:pPr>
              <w:spacing w:after="0" w:line="240" w:lineRule="auto"/>
              <w:rPr>
                <w:rFonts w:cstheme="minorHAnsi"/>
                <w:color w:val="000000" w:themeColor="text1"/>
              </w:rPr>
            </w:pPr>
            <w:r w:rsidRPr="006B3447">
              <w:rPr>
                <w:rFonts w:eastAsia="Batang" w:cstheme="minorHAnsi"/>
                <w:b/>
                <w:lang w:eastAsia="ko-KR"/>
              </w:rPr>
              <w:t>Resits</w:t>
            </w:r>
            <w:r w:rsidRPr="006B3447">
              <w:rPr>
                <w:rFonts w:eastAsia="Batang" w:cstheme="minorHAnsi"/>
                <w:lang w:eastAsia="ko-KR"/>
              </w:rPr>
              <w:t xml:space="preserve">: </w:t>
            </w:r>
            <w:r w:rsidRPr="006B3447">
              <w:rPr>
                <w:rFonts w:eastAsia="Batang" w:cstheme="minorHAnsi"/>
                <w:color w:val="000000" w:themeColor="text1"/>
                <w:lang w:eastAsia="ko-KR"/>
              </w:rPr>
              <w:t>Coursework</w:t>
            </w:r>
          </w:p>
        </w:tc>
        <w:tc>
          <w:tcPr>
            <w:tcW w:w="1984" w:type="dxa"/>
          </w:tcPr>
          <w:p w:rsidR="00414E91" w:rsidRPr="006B3447" w:rsidRDefault="00414E91" w:rsidP="002F7643">
            <w:pPr>
              <w:autoSpaceDE w:val="0"/>
              <w:autoSpaceDN w:val="0"/>
              <w:spacing w:before="120" w:after="120" w:line="240" w:lineRule="auto"/>
              <w:jc w:val="center"/>
              <w:rPr>
                <w:rFonts w:eastAsia="Batang" w:cstheme="minorHAnsi"/>
                <w:lang w:eastAsia="ko-KR"/>
              </w:rPr>
            </w:pPr>
          </w:p>
        </w:tc>
        <w:tc>
          <w:tcPr>
            <w:tcW w:w="2439" w:type="dxa"/>
          </w:tcPr>
          <w:p w:rsidR="00414E91" w:rsidRPr="006B3447" w:rsidRDefault="00414E91" w:rsidP="002F7643">
            <w:pPr>
              <w:autoSpaceDE w:val="0"/>
              <w:autoSpaceDN w:val="0"/>
              <w:spacing w:before="120" w:after="120" w:line="240" w:lineRule="auto"/>
              <w:jc w:val="center"/>
              <w:rPr>
                <w:rFonts w:eastAsia="Batang" w:cstheme="minorHAnsi"/>
                <w:lang w:eastAsia="ko-KR"/>
              </w:rPr>
            </w:pPr>
          </w:p>
        </w:tc>
      </w:tr>
    </w:tbl>
    <w:tbl>
      <w:tblPr>
        <w:tblStyle w:val="TableGrid"/>
        <w:tblW w:w="9640" w:type="dxa"/>
        <w:tblInd w:w="-147" w:type="dxa"/>
        <w:tblLook w:val="04A0" w:firstRow="1" w:lastRow="0" w:firstColumn="1" w:lastColumn="0" w:noHBand="0" w:noVBand="1"/>
      </w:tblPr>
      <w:tblGrid>
        <w:gridCol w:w="9640"/>
      </w:tblGrid>
      <w:tr w:rsidR="009526CA" w:rsidRPr="006B3447" w:rsidTr="00345BBB">
        <w:tc>
          <w:tcPr>
            <w:tcW w:w="9640" w:type="dxa"/>
            <w:shd w:val="clear" w:color="auto" w:fill="7030A0"/>
          </w:tcPr>
          <w:p w:rsidR="009526CA" w:rsidRPr="006B3447" w:rsidRDefault="009526CA" w:rsidP="003A0F8F">
            <w:pPr>
              <w:rPr>
                <w:rFonts w:cstheme="minorHAnsi"/>
                <w:b/>
                <w:color w:val="FFFFFF" w:themeColor="background1"/>
              </w:rPr>
            </w:pPr>
            <w:r w:rsidRPr="006B3447">
              <w:rPr>
                <w:rFonts w:cstheme="minorHAnsi"/>
                <w:b/>
                <w:color w:val="FFFFFF" w:themeColor="background1"/>
              </w:rPr>
              <w:t>Feedback</w:t>
            </w:r>
            <w:r w:rsidR="00A25907" w:rsidRPr="006B3447">
              <w:rPr>
                <w:rFonts w:cstheme="minorHAnsi"/>
                <w:b/>
                <w:color w:val="FFFFFF" w:themeColor="background1"/>
              </w:rPr>
              <w:t xml:space="preserve"> methods</w:t>
            </w:r>
          </w:p>
        </w:tc>
      </w:tr>
      <w:tr w:rsidR="00A25907" w:rsidRPr="006B3447" w:rsidTr="00345BBB">
        <w:tc>
          <w:tcPr>
            <w:tcW w:w="9640" w:type="dxa"/>
          </w:tcPr>
          <w:p w:rsidR="00414E91" w:rsidRPr="006B3447" w:rsidRDefault="00414E91" w:rsidP="00414E91">
            <w:pPr>
              <w:spacing w:before="120" w:after="120"/>
              <w:jc w:val="both"/>
              <w:rPr>
                <w:rFonts w:cstheme="minorHAnsi"/>
                <w:color w:val="FF0000"/>
              </w:rPr>
            </w:pPr>
            <w:r w:rsidRPr="006B3447">
              <w:rPr>
                <w:rFonts w:cstheme="minorHAnsi"/>
                <w:color w:val="000000" w:themeColor="text1"/>
              </w:rPr>
              <w:t>We provide written, formative and summative feedback on the term paper within 15 working days of the submission deadline.</w:t>
            </w:r>
            <w:r w:rsidRPr="006B3447">
              <w:rPr>
                <w:rFonts w:cstheme="minorHAnsi"/>
                <w:color w:val="FF0000"/>
              </w:rPr>
              <w:t xml:space="preserve"> </w:t>
            </w:r>
          </w:p>
          <w:p w:rsidR="00B274A6" w:rsidRPr="006B3447" w:rsidRDefault="00B274A6" w:rsidP="00A25907">
            <w:pPr>
              <w:rPr>
                <w:rFonts w:cstheme="minorHAnsi"/>
                <w:b/>
                <w:color w:val="000000" w:themeColor="text1"/>
              </w:rPr>
            </w:pPr>
            <w:r w:rsidRPr="006B3447">
              <w:rPr>
                <w:rFonts w:cstheme="minorHAnsi"/>
                <w:b/>
                <w:color w:val="000000" w:themeColor="text1"/>
              </w:rPr>
              <w:t>Feedback from students</w:t>
            </w:r>
          </w:p>
          <w:p w:rsidR="00113F13" w:rsidRPr="00214AE5" w:rsidRDefault="00113F13" w:rsidP="00113F13">
            <w:pPr>
              <w:jc w:val="both"/>
              <w:rPr>
                <w:b/>
                <w:color w:val="FF0000"/>
              </w:rPr>
            </w:pPr>
            <w:bookmarkStart w:id="0" w:name="_GoBack"/>
            <w:bookmarkEnd w:id="0"/>
            <w:r w:rsidRPr="00214AE5">
              <w:rPr>
                <w:color w:val="000000" w:themeColor="text1"/>
              </w:rPr>
              <w:t>The main channel is via the course unit survey on Blackboard. We also encourage students to provide feedback, verbally or in writing by email, to the course lecturers.</w:t>
            </w:r>
            <w:r w:rsidRPr="00214AE5">
              <w:rPr>
                <w:color w:val="FF0000"/>
              </w:rPr>
              <w:t xml:space="preserve"> </w:t>
            </w:r>
          </w:p>
          <w:p w:rsidR="00113F13" w:rsidRPr="006B3447" w:rsidRDefault="00113F13" w:rsidP="004003EA">
            <w:pPr>
              <w:rPr>
                <w:rFonts w:cstheme="minorHAnsi"/>
                <w:iCs/>
                <w:color w:val="000000" w:themeColor="text1"/>
              </w:rPr>
            </w:pPr>
          </w:p>
        </w:tc>
      </w:tr>
    </w:tbl>
    <w:p w:rsidR="009526CA" w:rsidRPr="006B3447" w:rsidRDefault="009526CA" w:rsidP="00D42AA1">
      <w:pPr>
        <w:spacing w:after="0" w:line="240" w:lineRule="auto"/>
        <w:ind w:left="-142" w:right="-188"/>
        <w:rPr>
          <w:rFonts w:cstheme="minorHAnsi"/>
          <w:b/>
          <w:color w:val="FF0000"/>
        </w:rPr>
      </w:pPr>
      <w:r w:rsidRPr="006B3447">
        <w:rPr>
          <w:rFonts w:cstheme="minorHAnsi"/>
          <w:color w:val="FF0000"/>
        </w:rPr>
        <w:t xml:space="preserve"> </w:t>
      </w:r>
    </w:p>
    <w:sectPr w:rsidR="009526CA" w:rsidRPr="006B3447" w:rsidSect="00D42AA1">
      <w:head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840" w:rsidRDefault="00643840" w:rsidP="00A678DF">
      <w:pPr>
        <w:spacing w:after="0" w:line="240" w:lineRule="auto"/>
      </w:pPr>
      <w:r>
        <w:separator/>
      </w:r>
    </w:p>
  </w:endnote>
  <w:endnote w:type="continuationSeparator" w:id="0">
    <w:p w:rsidR="00643840" w:rsidRDefault="00643840" w:rsidP="00A67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840" w:rsidRDefault="00643840" w:rsidP="00A678DF">
      <w:pPr>
        <w:spacing w:after="0" w:line="240" w:lineRule="auto"/>
      </w:pPr>
      <w:r>
        <w:separator/>
      </w:r>
    </w:p>
  </w:footnote>
  <w:footnote w:type="continuationSeparator" w:id="0">
    <w:p w:rsidR="00643840" w:rsidRDefault="00643840" w:rsidP="00A67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2C1" w:rsidRDefault="005632C1" w:rsidP="005632C1">
    <w:pPr>
      <w:pStyle w:val="Header"/>
      <w:rPr>
        <w:rFonts w:ascii="Arial" w:hAnsi="Arial" w:cs="Arial"/>
        <w:b/>
      </w:rPr>
    </w:pPr>
    <w:r>
      <w:rPr>
        <w:noProof/>
        <w:lang w:eastAsia="en-GB"/>
      </w:rPr>
      <w:drawing>
        <wp:inline distT="0" distB="0" distL="0" distR="0" wp14:anchorId="26B90254" wp14:editId="229B0FE8">
          <wp:extent cx="1581150" cy="657225"/>
          <wp:effectExtent l="0" t="0" r="0" b="9525"/>
          <wp:docPr id="2" name="Picture 3" descr="The University of Manchester" title="University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he University of Manchester">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115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991062" w:rsidRDefault="00991062" w:rsidP="005632C1">
    <w:pPr>
      <w:pStyle w:val="Header"/>
      <w:rPr>
        <w:rFonts w:ascii="Arial" w:hAnsi="Arial" w:cs="Arial"/>
        <w:b/>
      </w:rPr>
    </w:pPr>
  </w:p>
  <w:p w:rsidR="00A678DF" w:rsidRDefault="00991062" w:rsidP="00991062">
    <w:pPr>
      <w:pStyle w:val="Header"/>
      <w:jc w:val="center"/>
      <w:rPr>
        <w:rFonts w:ascii="Arial" w:hAnsi="Arial" w:cs="Arial"/>
        <w:b/>
      </w:rPr>
    </w:pPr>
    <w:r>
      <w:rPr>
        <w:rFonts w:ascii="Arial" w:hAnsi="Arial" w:cs="Arial"/>
        <w:b/>
      </w:rPr>
      <w:t>Alliance Manchester Business School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266D7F"/>
    <w:multiLevelType w:val="hybridMultilevel"/>
    <w:tmpl w:val="DCF425A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8DF"/>
    <w:rsid w:val="00003E4A"/>
    <w:rsid w:val="000C56BC"/>
    <w:rsid w:val="00113F13"/>
    <w:rsid w:val="00193E52"/>
    <w:rsid w:val="00290A4D"/>
    <w:rsid w:val="002F7643"/>
    <w:rsid w:val="00303944"/>
    <w:rsid w:val="00304646"/>
    <w:rsid w:val="00345BBB"/>
    <w:rsid w:val="00347F27"/>
    <w:rsid w:val="00396F3E"/>
    <w:rsid w:val="003E0908"/>
    <w:rsid w:val="004003EA"/>
    <w:rsid w:val="00411312"/>
    <w:rsid w:val="00414E91"/>
    <w:rsid w:val="004274AD"/>
    <w:rsid w:val="004A5287"/>
    <w:rsid w:val="004B1E88"/>
    <w:rsid w:val="00536D49"/>
    <w:rsid w:val="00557B04"/>
    <w:rsid w:val="0056006D"/>
    <w:rsid w:val="005632C1"/>
    <w:rsid w:val="00591BAF"/>
    <w:rsid w:val="00622D16"/>
    <w:rsid w:val="0063304D"/>
    <w:rsid w:val="00643840"/>
    <w:rsid w:val="006A15A6"/>
    <w:rsid w:val="006B2ECC"/>
    <w:rsid w:val="006B3447"/>
    <w:rsid w:val="007420AC"/>
    <w:rsid w:val="0079253C"/>
    <w:rsid w:val="008B64AE"/>
    <w:rsid w:val="008D6C14"/>
    <w:rsid w:val="009140C6"/>
    <w:rsid w:val="009526CA"/>
    <w:rsid w:val="00991062"/>
    <w:rsid w:val="009A0B09"/>
    <w:rsid w:val="009A2688"/>
    <w:rsid w:val="00A25907"/>
    <w:rsid w:val="00A678DF"/>
    <w:rsid w:val="00AA2E20"/>
    <w:rsid w:val="00B274A6"/>
    <w:rsid w:val="00B46E87"/>
    <w:rsid w:val="00B76C82"/>
    <w:rsid w:val="00BC4684"/>
    <w:rsid w:val="00C7344D"/>
    <w:rsid w:val="00CF3EFD"/>
    <w:rsid w:val="00D42AA1"/>
    <w:rsid w:val="00D52A0A"/>
    <w:rsid w:val="00D57CBE"/>
    <w:rsid w:val="00EB7A93"/>
    <w:rsid w:val="00F429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19CFD4"/>
  <w15:docId w15:val="{6510684D-7DA0-4A49-88C0-819BDA9AB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78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8DF"/>
  </w:style>
  <w:style w:type="paragraph" w:styleId="Footer">
    <w:name w:val="footer"/>
    <w:basedOn w:val="Normal"/>
    <w:link w:val="FooterChar"/>
    <w:uiPriority w:val="99"/>
    <w:unhideWhenUsed/>
    <w:rsid w:val="00A678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8DF"/>
  </w:style>
  <w:style w:type="table" w:styleId="TableGrid">
    <w:name w:val="Table Grid"/>
    <w:basedOn w:val="TableNormal"/>
    <w:uiPriority w:val="59"/>
    <w:rsid w:val="00400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F764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93E52"/>
    <w:rPr>
      <w:color w:val="0000FF" w:themeColor="hyperlink"/>
      <w:u w:val="single"/>
    </w:rPr>
  </w:style>
  <w:style w:type="paragraph" w:customStyle="1" w:styleId="Default">
    <w:name w:val="Default"/>
    <w:rsid w:val="00193E52"/>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ListParagraph">
    <w:name w:val="List Paragraph"/>
    <w:basedOn w:val="Normal"/>
    <w:uiPriority w:val="34"/>
    <w:qFormat/>
    <w:rsid w:val="00414E91"/>
    <w:pPr>
      <w:autoSpaceDE w:val="0"/>
      <w:autoSpaceDN w:val="0"/>
      <w:spacing w:after="0" w:line="240" w:lineRule="auto"/>
      <w:ind w:left="720"/>
      <w:contextualSpacing/>
    </w:pPr>
    <w:rPr>
      <w:rFonts w:ascii="Times New Roman" w:eastAsia="Batang" w:hAnsi="Times New Roman" w:cs="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rman.strong@manchester.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eorgios.voulgaris@manchester.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1D16B-4E1B-4D71-AF2E-8330FAC36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376</Words>
  <Characters>2146</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Madeleine Ryan</dc:creator>
  <cp:lastModifiedBy>Paul Greenham</cp:lastModifiedBy>
  <cp:revision>2</cp:revision>
  <dcterms:created xsi:type="dcterms:W3CDTF">2020-08-26T12:10:00Z</dcterms:created>
  <dcterms:modified xsi:type="dcterms:W3CDTF">2020-08-26T12:10:00Z</dcterms:modified>
</cp:coreProperties>
</file>