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C8848" w14:textId="77777777" w:rsidR="00D600BE" w:rsidRPr="00D600BE" w:rsidRDefault="00D600BE" w:rsidP="00D600BE">
      <w:pPr>
        <w:keepNext/>
        <w:keepLines/>
        <w:overflowPunct/>
        <w:outlineLvl w:val="1"/>
        <w:rPr>
          <w:rFonts w:ascii="Arial" w:eastAsia="Times New Roman" w:hAnsi="Arial"/>
          <w:b/>
          <w:bCs/>
          <w:szCs w:val="26"/>
          <w:lang w:eastAsia="en-US"/>
        </w:rPr>
      </w:pPr>
      <w:bookmarkStart w:id="0" w:name="_GoBack"/>
      <w:bookmarkEnd w:id="0"/>
      <w:r w:rsidRPr="00D600BE">
        <w:rPr>
          <w:rFonts w:ascii="Arial" w:eastAsia="Times New Roman" w:hAnsi="Arial"/>
          <w:b/>
          <w:bCs/>
          <w:szCs w:val="26"/>
          <w:lang w:eastAsia="en-US"/>
        </w:rPr>
        <w:t>The University Language Centre</w:t>
      </w:r>
    </w:p>
    <w:p w14:paraId="75E50938" w14:textId="77777777" w:rsidR="00D600BE" w:rsidRPr="00D600BE" w:rsidRDefault="00D600BE" w:rsidP="00D600BE">
      <w:pPr>
        <w:overflowPunct/>
        <w:rPr>
          <w:rFonts w:ascii="Arial" w:eastAsia="Calibri" w:hAnsi="Arial"/>
          <w:sz w:val="22"/>
          <w:szCs w:val="22"/>
          <w:lang w:eastAsia="en-US"/>
        </w:rPr>
      </w:pPr>
    </w:p>
    <w:p w14:paraId="6E9FAC17" w14:textId="77777777" w:rsidR="00D600BE" w:rsidRPr="006F5302" w:rsidRDefault="00D600BE" w:rsidP="00D600BE">
      <w:pPr>
        <w:overflowPunct/>
        <w:ind w:right="-83"/>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The University Language Centre provides courses and language learning resources for students from a wide variety of disciplines wishing to include a modern languages element within their studies. It also offers a wide range of courses and services for international students for whom English is not a first language.</w:t>
      </w:r>
    </w:p>
    <w:p w14:paraId="7E99ED35" w14:textId="77777777" w:rsidR="00D600BE" w:rsidRPr="006F5302" w:rsidRDefault="00D600BE" w:rsidP="00D600BE">
      <w:pPr>
        <w:overflowPunct/>
        <w:ind w:right="-83"/>
        <w:rPr>
          <w:rFonts w:asciiTheme="minorHAnsi" w:eastAsia="Calibri" w:hAnsiTheme="minorHAnsi" w:cs="Arial"/>
          <w:b/>
          <w:bCs/>
          <w:sz w:val="22"/>
          <w:szCs w:val="22"/>
          <w:lang w:eastAsia="en-US"/>
        </w:rPr>
      </w:pPr>
    </w:p>
    <w:p w14:paraId="722DF805" w14:textId="77777777" w:rsidR="00D600BE" w:rsidRPr="006F5302" w:rsidRDefault="00D600BE" w:rsidP="00D600BE">
      <w:pPr>
        <w:overflowPunct/>
        <w:ind w:right="-83"/>
        <w:rPr>
          <w:rFonts w:asciiTheme="minorHAnsi" w:eastAsia="Calibri" w:hAnsiTheme="minorHAnsi" w:cs="Arial"/>
          <w:sz w:val="22"/>
          <w:szCs w:val="22"/>
          <w:lang w:eastAsia="en-US"/>
        </w:rPr>
      </w:pPr>
      <w:r w:rsidRPr="006F5302">
        <w:rPr>
          <w:rFonts w:asciiTheme="minorHAnsi" w:eastAsia="Calibri" w:hAnsiTheme="minorHAnsi" w:cs="Arial"/>
          <w:b/>
          <w:bCs/>
          <w:sz w:val="22"/>
          <w:szCs w:val="22"/>
          <w:lang w:eastAsia="en-US"/>
        </w:rPr>
        <w:t xml:space="preserve">Language courses </w:t>
      </w:r>
    </w:p>
    <w:p w14:paraId="6890DC10" w14:textId="77777777" w:rsidR="00D600BE" w:rsidRPr="006F5302" w:rsidRDefault="00D600BE" w:rsidP="00D600BE">
      <w:p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Offered as part of the University Language Centre’s institution-wide language programme (LEAP), these courses are available to students from across the University and may be studied on a credit or on a non-credit basis to complement your degree. Currently there are 17 languages offered, ranging from the main international languages to a number of less-widely taught languages:</w:t>
      </w:r>
    </w:p>
    <w:p w14:paraId="18574295" w14:textId="77777777" w:rsidR="00D600BE" w:rsidRPr="006F5302" w:rsidRDefault="00D600BE" w:rsidP="00D600BE">
      <w:pPr>
        <w:overflowPunct/>
        <w:rPr>
          <w:rFonts w:asciiTheme="minorHAnsi" w:eastAsia="Calibri" w:hAnsiTheme="minorHAnsi" w:cs="Arial"/>
          <w:sz w:val="22"/>
          <w:szCs w:val="22"/>
          <w:lang w:eastAsia="en-US"/>
        </w:rPr>
      </w:pPr>
    </w:p>
    <w:p w14:paraId="66A20FC4" w14:textId="77777777" w:rsidR="00D600BE" w:rsidRPr="006F5302" w:rsidRDefault="00D600BE" w:rsidP="00D600BE">
      <w:pPr>
        <w:overflowPunct/>
        <w:rPr>
          <w:rFonts w:asciiTheme="minorHAnsi" w:eastAsia="Calibri" w:hAnsiTheme="minorHAnsi" w:cs="Arial"/>
          <w:sz w:val="22"/>
          <w:szCs w:val="22"/>
          <w:lang w:eastAsia="en-US"/>
        </w:rPr>
      </w:pP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350"/>
      </w:tblGrid>
      <w:tr w:rsidR="00D600BE" w:rsidRPr="006F5302" w14:paraId="5E71BC2E" w14:textId="77777777" w:rsidTr="00F9256C">
        <w:tc>
          <w:tcPr>
            <w:tcW w:w="4077" w:type="dxa"/>
            <w:tcBorders>
              <w:top w:val="single" w:sz="4" w:space="0" w:color="auto"/>
              <w:left w:val="single" w:sz="4" w:space="0" w:color="auto"/>
              <w:bottom w:val="single" w:sz="4" w:space="0" w:color="auto"/>
              <w:right w:val="single" w:sz="4" w:space="0" w:color="auto"/>
            </w:tcBorders>
          </w:tcPr>
          <w:p w14:paraId="7243B089" w14:textId="77777777" w:rsidR="00D600BE" w:rsidRPr="006F5302" w:rsidRDefault="00D600BE" w:rsidP="00D600BE">
            <w:pPr>
              <w:overflowPunct/>
              <w:ind w:left="720"/>
              <w:rPr>
                <w:rFonts w:asciiTheme="minorHAnsi" w:eastAsia="Calibri" w:hAnsiTheme="minorHAnsi" w:cs="Arial"/>
                <w:sz w:val="22"/>
                <w:szCs w:val="22"/>
                <w:lang w:eastAsia="en-US"/>
              </w:rPr>
            </w:pPr>
          </w:p>
          <w:p w14:paraId="29D86BE9"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Arabic </w:t>
            </w:r>
          </w:p>
          <w:p w14:paraId="6EB09219"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British Sign language</w:t>
            </w:r>
          </w:p>
          <w:p w14:paraId="06E1BBBA"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Mandarin Chinese</w:t>
            </w:r>
          </w:p>
          <w:p w14:paraId="1CEB7EC0"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Dutch </w:t>
            </w:r>
          </w:p>
          <w:p w14:paraId="116A5DBA"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French </w:t>
            </w:r>
          </w:p>
          <w:p w14:paraId="389A511B"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German </w:t>
            </w:r>
          </w:p>
          <w:p w14:paraId="13265CEA"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Hebrew </w:t>
            </w:r>
          </w:p>
          <w:p w14:paraId="41C74A42"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Italian  </w:t>
            </w:r>
          </w:p>
          <w:p w14:paraId="1578AA3C"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Japanese</w:t>
            </w:r>
          </w:p>
          <w:p w14:paraId="5127749F" w14:textId="77777777" w:rsidR="00D600BE" w:rsidRPr="006F5302" w:rsidRDefault="00D600BE" w:rsidP="00D600BE">
            <w:pPr>
              <w:overflowPunct/>
              <w:rPr>
                <w:rFonts w:asciiTheme="minorHAnsi" w:eastAsia="Calibri" w:hAnsiTheme="minorHAnsi" w:cs="Arial"/>
                <w:sz w:val="22"/>
                <w:szCs w:val="22"/>
                <w:lang w:eastAsia="en-US"/>
              </w:rPr>
            </w:pPr>
          </w:p>
        </w:tc>
        <w:tc>
          <w:tcPr>
            <w:tcW w:w="3350" w:type="dxa"/>
            <w:tcBorders>
              <w:top w:val="single" w:sz="4" w:space="0" w:color="auto"/>
              <w:left w:val="single" w:sz="4" w:space="0" w:color="auto"/>
              <w:bottom w:val="single" w:sz="4" w:space="0" w:color="auto"/>
              <w:right w:val="single" w:sz="4" w:space="0" w:color="auto"/>
            </w:tcBorders>
          </w:tcPr>
          <w:p w14:paraId="71B1D3C5" w14:textId="77777777" w:rsidR="00D600BE" w:rsidRPr="006F5302" w:rsidRDefault="00D600BE" w:rsidP="00D600BE">
            <w:pPr>
              <w:overflowPunct/>
              <w:ind w:left="720"/>
              <w:rPr>
                <w:rFonts w:asciiTheme="minorHAnsi" w:eastAsia="Calibri" w:hAnsiTheme="minorHAnsi" w:cs="Arial"/>
                <w:sz w:val="22"/>
                <w:szCs w:val="22"/>
                <w:lang w:eastAsia="en-US"/>
              </w:rPr>
            </w:pPr>
          </w:p>
          <w:p w14:paraId="4E162EDE"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Korean </w:t>
            </w:r>
          </w:p>
          <w:p w14:paraId="4410CFB1"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Polish</w:t>
            </w:r>
          </w:p>
          <w:p w14:paraId="53FC995C"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Persian</w:t>
            </w:r>
          </w:p>
          <w:p w14:paraId="1C943305"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Portuguese</w:t>
            </w:r>
          </w:p>
          <w:p w14:paraId="7C75FD10"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Russian</w:t>
            </w:r>
          </w:p>
          <w:p w14:paraId="557A3C22"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Spanish</w:t>
            </w:r>
          </w:p>
          <w:p w14:paraId="4D61BECA"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Turkish </w:t>
            </w:r>
          </w:p>
          <w:p w14:paraId="39E12E70" w14:textId="77777777" w:rsidR="00D600BE" w:rsidRPr="006F5302" w:rsidRDefault="00D600BE" w:rsidP="00D600BE">
            <w:pPr>
              <w:numPr>
                <w:ilvl w:val="0"/>
                <w:numId w:val="9"/>
              </w:num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Urdu</w:t>
            </w:r>
          </w:p>
          <w:p w14:paraId="0EBF5D7A" w14:textId="77777777" w:rsidR="00D600BE" w:rsidRPr="006F5302" w:rsidRDefault="00D600BE" w:rsidP="00D600BE">
            <w:pPr>
              <w:overflowPunct/>
              <w:rPr>
                <w:rFonts w:asciiTheme="minorHAnsi" w:eastAsia="Calibri" w:hAnsiTheme="minorHAnsi" w:cs="Arial"/>
                <w:sz w:val="22"/>
                <w:szCs w:val="22"/>
                <w:lang w:eastAsia="en-US"/>
              </w:rPr>
            </w:pPr>
          </w:p>
        </w:tc>
      </w:tr>
    </w:tbl>
    <w:p w14:paraId="4C4D06A7" w14:textId="77777777" w:rsidR="00D600BE" w:rsidRPr="006F5302" w:rsidRDefault="00D600BE" w:rsidP="00D600BE">
      <w:p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br w:type="textWrapping" w:clear="all"/>
      </w:r>
    </w:p>
    <w:p w14:paraId="42051B9F" w14:textId="77777777" w:rsidR="00D600BE" w:rsidRPr="006F5302" w:rsidRDefault="00D600BE" w:rsidP="00D600BE">
      <w:p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 xml:space="preserve">For more information on the full range of languages and levels that are available, please consult the University Language Centre website via the link given below. </w:t>
      </w:r>
    </w:p>
    <w:p w14:paraId="10A47DF1" w14:textId="0CC3DDF1" w:rsidR="00B5244C" w:rsidRPr="00B5244C" w:rsidRDefault="00B5244C" w:rsidP="00D600BE">
      <w:pPr>
        <w:overflowPunct/>
        <w:rPr>
          <w:rFonts w:asciiTheme="minorHAnsi" w:eastAsia="Calibri" w:hAnsiTheme="minorHAnsi" w:cs="Arial"/>
          <w:sz w:val="22"/>
          <w:szCs w:val="22"/>
          <w:lang w:eastAsia="en-US"/>
        </w:rPr>
      </w:pPr>
      <w:hyperlink r:id="rId5" w:history="1">
        <w:r w:rsidRPr="00B5244C">
          <w:rPr>
            <w:rStyle w:val="Hyperlink"/>
            <w:rFonts w:asciiTheme="minorHAnsi" w:eastAsia="Calibri" w:hAnsiTheme="minorHAnsi" w:cs="Arial"/>
            <w:sz w:val="22"/>
            <w:szCs w:val="22"/>
            <w:lang w:eastAsia="en-US"/>
          </w:rPr>
          <w:t>https://www.languagecentre.manchester.ac.uk</w:t>
        </w:r>
      </w:hyperlink>
      <w:r w:rsidRPr="00B5244C">
        <w:rPr>
          <w:rFonts w:asciiTheme="minorHAnsi" w:eastAsia="Calibri" w:hAnsiTheme="minorHAnsi" w:cs="Arial"/>
          <w:sz w:val="22"/>
          <w:szCs w:val="22"/>
          <w:lang w:eastAsia="en-US"/>
        </w:rPr>
        <w:t xml:space="preserve"> </w:t>
      </w:r>
    </w:p>
    <w:p w14:paraId="3E0EECB9" w14:textId="77777777" w:rsidR="00B5244C" w:rsidRDefault="00B5244C" w:rsidP="00BC12A0">
      <w:pPr>
        <w:overflowPunct/>
        <w:rPr>
          <w:rFonts w:asciiTheme="minorHAnsi" w:eastAsia="Calibri" w:hAnsiTheme="minorHAnsi" w:cs="Arial"/>
          <w:b/>
          <w:bCs/>
          <w:sz w:val="22"/>
          <w:szCs w:val="22"/>
          <w:lang w:eastAsia="en-US"/>
        </w:rPr>
      </w:pPr>
    </w:p>
    <w:p w14:paraId="12E7F455" w14:textId="5D9C526B" w:rsidR="00BC12A0" w:rsidRPr="00B5244C" w:rsidRDefault="00BC12A0" w:rsidP="00BC12A0">
      <w:pPr>
        <w:overflowPunct/>
        <w:rPr>
          <w:rFonts w:asciiTheme="minorHAnsi" w:eastAsia="Calibri" w:hAnsiTheme="minorHAnsi" w:cs="Arial"/>
          <w:b/>
          <w:bCs/>
          <w:sz w:val="22"/>
          <w:szCs w:val="22"/>
          <w:lang w:eastAsia="en-US"/>
        </w:rPr>
      </w:pPr>
      <w:r w:rsidRPr="00BC12A0">
        <w:rPr>
          <w:rFonts w:asciiTheme="minorHAnsi" w:eastAsia="Calibri" w:hAnsiTheme="minorHAnsi" w:cs="Arial"/>
          <w:b/>
          <w:bCs/>
          <w:sz w:val="22"/>
          <w:szCs w:val="22"/>
          <w:lang w:eastAsia="en-US"/>
        </w:rPr>
        <w:t>Academic Success Programme: English Language Support</w:t>
      </w:r>
    </w:p>
    <w:p w14:paraId="587EAE67" w14:textId="0F7414AE" w:rsidR="00E978AC" w:rsidRPr="00BC12A0" w:rsidRDefault="00BC12A0" w:rsidP="00E978AC">
      <w:pPr>
        <w:overflowPunct/>
        <w:rPr>
          <w:rFonts w:asciiTheme="minorHAnsi" w:eastAsia="Calibri" w:hAnsiTheme="minorHAnsi" w:cs="Arial"/>
          <w:sz w:val="22"/>
          <w:szCs w:val="22"/>
          <w:lang w:eastAsia="en-US"/>
        </w:rPr>
      </w:pPr>
      <w:r w:rsidRPr="00BC12A0">
        <w:rPr>
          <w:rFonts w:asciiTheme="minorHAnsi" w:eastAsia="Calibri" w:hAnsiTheme="minorHAnsi" w:cs="Arial"/>
          <w:sz w:val="22"/>
          <w:szCs w:val="22"/>
          <w:lang w:eastAsia="en-US"/>
        </w:rPr>
        <w:t>At the University Language Centre</w:t>
      </w:r>
      <w:r>
        <w:rPr>
          <w:rFonts w:asciiTheme="minorHAnsi" w:eastAsia="Calibri" w:hAnsiTheme="minorHAnsi" w:cs="Arial"/>
          <w:sz w:val="22"/>
          <w:szCs w:val="22"/>
          <w:lang w:eastAsia="en-US"/>
        </w:rPr>
        <w:t>,</w:t>
      </w:r>
      <w:r w:rsidRPr="00BC12A0">
        <w:rPr>
          <w:rFonts w:asciiTheme="minorHAnsi" w:eastAsia="Calibri" w:hAnsiTheme="minorHAnsi" w:cs="Arial"/>
          <w:sz w:val="22"/>
          <w:szCs w:val="22"/>
          <w:lang w:eastAsia="en-US"/>
        </w:rPr>
        <w:t xml:space="preserve"> we believe clear academic English is key to your success – whether or not English is your first language. Our Academic Success Programme enhances your academic writing and speaking to help you to reach your study goals.</w:t>
      </w:r>
      <w:r>
        <w:rPr>
          <w:rFonts w:asciiTheme="minorHAnsi" w:eastAsia="Calibri" w:hAnsiTheme="minorHAnsi" w:cs="Arial"/>
          <w:sz w:val="22"/>
          <w:szCs w:val="22"/>
          <w:lang w:eastAsia="en-US"/>
        </w:rPr>
        <w:t xml:space="preserve"> </w:t>
      </w:r>
      <w:r w:rsidR="00E978AC" w:rsidRPr="00615069">
        <w:rPr>
          <w:rFonts w:asciiTheme="minorHAnsi" w:eastAsia="Calibri" w:hAnsiTheme="minorHAnsi" w:cs="Arial"/>
          <w:sz w:val="22"/>
          <w:szCs w:val="22"/>
          <w:lang w:eastAsia="en-US"/>
        </w:rPr>
        <w:t>In our workshops, experienced tutors</w:t>
      </w:r>
      <w:r w:rsidR="00E978AC" w:rsidRPr="00E978AC">
        <w:rPr>
          <w:rFonts w:asciiTheme="minorHAnsi" w:eastAsia="Calibri" w:hAnsiTheme="minorHAnsi" w:cs="Arial"/>
          <w:bCs/>
          <w:sz w:val="22"/>
          <w:szCs w:val="22"/>
          <w:lang w:eastAsia="en-US"/>
        </w:rPr>
        <w:t xml:space="preserve"> will help you get the most out of your studies by exploring the key features of both written academic and spoken English. A particular emphasis is placed on communicating well with your intended audience. We also aim to boost your c</w:t>
      </w:r>
      <w:r w:rsidR="00E978AC">
        <w:rPr>
          <w:rFonts w:asciiTheme="minorHAnsi" w:eastAsia="Calibri" w:hAnsiTheme="minorHAnsi" w:cs="Arial"/>
          <w:bCs/>
          <w:sz w:val="22"/>
          <w:szCs w:val="22"/>
          <w:lang w:eastAsia="en-US"/>
        </w:rPr>
        <w:t xml:space="preserve">onfidence to work independently </w:t>
      </w:r>
      <w:r w:rsidR="00E978AC" w:rsidRPr="00E978AC">
        <w:rPr>
          <w:rFonts w:asciiTheme="minorHAnsi" w:eastAsia="Calibri" w:hAnsiTheme="minorHAnsi" w:cs="Arial"/>
          <w:bCs/>
          <w:sz w:val="22"/>
          <w:szCs w:val="22"/>
          <w:lang w:eastAsia="en-US"/>
        </w:rPr>
        <w:t xml:space="preserve">in English. </w:t>
      </w:r>
    </w:p>
    <w:p w14:paraId="0EF597FD" w14:textId="77777777" w:rsidR="00E978AC" w:rsidRPr="00E978AC" w:rsidRDefault="00E978AC" w:rsidP="00E978AC">
      <w:pPr>
        <w:overflowPunct/>
        <w:rPr>
          <w:rFonts w:asciiTheme="minorHAnsi" w:eastAsia="Calibri" w:hAnsiTheme="minorHAnsi" w:cs="Arial"/>
          <w:bCs/>
          <w:sz w:val="22"/>
          <w:szCs w:val="22"/>
          <w:lang w:eastAsia="en-US"/>
        </w:rPr>
      </w:pPr>
    </w:p>
    <w:p w14:paraId="48072D50" w14:textId="31A4844C" w:rsidR="00BC12A0" w:rsidRPr="00BC12A0" w:rsidRDefault="00BC12A0" w:rsidP="00BC12A0">
      <w:pPr>
        <w:overflowPunct/>
        <w:rPr>
          <w:rFonts w:asciiTheme="minorHAnsi" w:eastAsia="Calibri" w:hAnsiTheme="minorHAnsi" w:cs="Arial"/>
          <w:b/>
          <w:sz w:val="22"/>
          <w:szCs w:val="22"/>
          <w:lang w:eastAsia="en-US"/>
        </w:rPr>
      </w:pPr>
      <w:r>
        <w:rPr>
          <w:rFonts w:asciiTheme="minorHAnsi" w:eastAsia="Calibri" w:hAnsiTheme="minorHAnsi" w:cs="Arial"/>
          <w:bCs/>
          <w:sz w:val="22"/>
          <w:szCs w:val="22"/>
          <w:lang w:eastAsia="en-US"/>
        </w:rPr>
        <w:t xml:space="preserve">The ambition for 2020-2021 is to run as much as possible online – so please visit our website to find out more and to register for workshops or follow us on </w:t>
      </w:r>
      <w:r w:rsidR="00E978AC" w:rsidRPr="00E978AC">
        <w:rPr>
          <w:rFonts w:asciiTheme="minorHAnsi" w:eastAsia="Calibri" w:hAnsiTheme="minorHAnsi" w:cs="Arial"/>
          <w:bCs/>
          <w:sz w:val="22"/>
          <w:szCs w:val="22"/>
          <w:lang w:eastAsia="en-US"/>
        </w:rPr>
        <w:t>Twitter: @UoMLangCentre</w:t>
      </w:r>
      <w:r w:rsidR="00E978AC">
        <w:rPr>
          <w:rFonts w:asciiTheme="minorHAnsi" w:eastAsia="Calibri" w:hAnsiTheme="minorHAnsi" w:cs="Arial"/>
          <w:bCs/>
          <w:sz w:val="22"/>
          <w:szCs w:val="22"/>
          <w:lang w:eastAsia="en-US"/>
        </w:rPr>
        <w:t xml:space="preserve"> </w:t>
      </w:r>
    </w:p>
    <w:p w14:paraId="12BF753E" w14:textId="5D3CF874" w:rsidR="00615069" w:rsidRPr="00BC12A0" w:rsidRDefault="002428FE" w:rsidP="00BC12A0">
      <w:pPr>
        <w:overflowPunct/>
        <w:rPr>
          <w:rFonts w:asciiTheme="minorHAnsi" w:eastAsia="Calibri" w:hAnsiTheme="minorHAnsi" w:cs="Arial"/>
          <w:bCs/>
          <w:sz w:val="22"/>
          <w:szCs w:val="22"/>
          <w:lang w:eastAsia="en-US"/>
        </w:rPr>
      </w:pPr>
      <w:hyperlink r:id="rId6" w:history="1">
        <w:r w:rsidR="00BC12A0" w:rsidRPr="005F6F66">
          <w:rPr>
            <w:rStyle w:val="Hyperlink"/>
            <w:rFonts w:asciiTheme="minorHAnsi" w:eastAsia="Calibri" w:hAnsiTheme="minorHAnsi" w:cs="Arial"/>
            <w:bCs/>
            <w:sz w:val="22"/>
            <w:szCs w:val="22"/>
            <w:lang w:eastAsia="en-US"/>
          </w:rPr>
          <w:t>www.manchester.ac.uk/academicsuccessprogramme</w:t>
        </w:r>
      </w:hyperlink>
      <w:r w:rsidR="00BC12A0">
        <w:rPr>
          <w:rFonts w:asciiTheme="minorHAnsi" w:eastAsia="Calibri" w:hAnsiTheme="minorHAnsi" w:cs="Arial"/>
          <w:bCs/>
          <w:sz w:val="22"/>
          <w:szCs w:val="22"/>
          <w:lang w:eastAsia="en-US"/>
        </w:rPr>
        <w:t xml:space="preserve"> </w:t>
      </w:r>
    </w:p>
    <w:p w14:paraId="5601884A" w14:textId="77777777" w:rsidR="00615069" w:rsidRDefault="00615069" w:rsidP="00615069">
      <w:pPr>
        <w:overflowPunct/>
        <w:rPr>
          <w:rFonts w:asciiTheme="minorHAnsi" w:eastAsia="Calibri" w:hAnsiTheme="minorHAnsi" w:cs="Arial"/>
          <w:b/>
          <w:sz w:val="22"/>
          <w:szCs w:val="22"/>
          <w:lang w:eastAsia="en-US"/>
        </w:rPr>
      </w:pPr>
    </w:p>
    <w:p w14:paraId="22DF8E51" w14:textId="77777777" w:rsidR="00615069" w:rsidRDefault="00615069" w:rsidP="00615069">
      <w:pPr>
        <w:overflowPunct/>
        <w:rPr>
          <w:rFonts w:asciiTheme="minorHAnsi" w:eastAsia="Calibri" w:hAnsiTheme="minorHAnsi" w:cs="Arial"/>
          <w:sz w:val="22"/>
          <w:szCs w:val="22"/>
          <w:lang w:eastAsia="en-US"/>
        </w:rPr>
      </w:pPr>
      <w:r w:rsidRPr="00615069">
        <w:rPr>
          <w:rFonts w:asciiTheme="minorHAnsi" w:eastAsia="Calibri" w:hAnsiTheme="minorHAnsi" w:cs="Arial"/>
          <w:b/>
          <w:sz w:val="22"/>
          <w:szCs w:val="22"/>
          <w:lang w:eastAsia="en-US"/>
        </w:rPr>
        <w:t>Open Learning Facilities</w:t>
      </w:r>
      <w:r w:rsidRPr="00615069">
        <w:rPr>
          <w:rFonts w:asciiTheme="minorHAnsi" w:eastAsia="Calibri" w:hAnsiTheme="minorHAnsi" w:cs="Arial"/>
          <w:sz w:val="22"/>
          <w:szCs w:val="22"/>
          <w:lang w:eastAsia="en-US"/>
        </w:rPr>
        <w:t xml:space="preserve"> </w:t>
      </w:r>
    </w:p>
    <w:p w14:paraId="75638FBE" w14:textId="77777777" w:rsidR="00615069" w:rsidRPr="00615069" w:rsidRDefault="00615069" w:rsidP="00615069">
      <w:pPr>
        <w:overflowPunct/>
        <w:rPr>
          <w:rFonts w:asciiTheme="minorHAnsi" w:eastAsia="Calibri" w:hAnsiTheme="minorHAnsi" w:cs="Arial"/>
          <w:sz w:val="22"/>
          <w:szCs w:val="22"/>
          <w:lang w:eastAsia="en-US"/>
        </w:rPr>
      </w:pPr>
      <w:r w:rsidRPr="00615069">
        <w:rPr>
          <w:rFonts w:asciiTheme="minorHAnsi" w:eastAsia="Calibri" w:hAnsiTheme="minorHAnsi" w:cs="Arial"/>
          <w:sz w:val="22"/>
          <w:szCs w:val="22"/>
          <w:lang w:eastAsia="en-US"/>
        </w:rPr>
        <w:t xml:space="preserve">The University Language Centre’s open learning facilities, situated in the Samuel Alexander Building, offer: </w:t>
      </w:r>
    </w:p>
    <w:p w14:paraId="078E4F75" w14:textId="77777777" w:rsidR="00615069" w:rsidRPr="00615069" w:rsidRDefault="00615069" w:rsidP="00615069">
      <w:pPr>
        <w:overflowPunct/>
        <w:rPr>
          <w:rFonts w:asciiTheme="minorHAnsi" w:eastAsia="Calibri" w:hAnsiTheme="minorHAnsi" w:cs="Arial"/>
          <w:sz w:val="22"/>
          <w:szCs w:val="22"/>
          <w:lang w:eastAsia="en-US"/>
        </w:rPr>
      </w:pPr>
      <w:r w:rsidRPr="00615069">
        <w:rPr>
          <w:rFonts w:asciiTheme="minorHAnsi" w:eastAsia="Calibri" w:hAnsiTheme="minorHAnsi" w:cs="Arial"/>
          <w:sz w:val="22"/>
          <w:szCs w:val="22"/>
          <w:lang w:eastAsia="en-US"/>
        </w:rPr>
        <w:t> </w:t>
      </w:r>
    </w:p>
    <w:p w14:paraId="798AF07A"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A well stocked library of materials in text, audio, DVD and CD-ROM formats</w:t>
      </w:r>
    </w:p>
    <w:p w14:paraId="62386244"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Materials in more than 80 languages</w:t>
      </w:r>
    </w:p>
    <w:p w14:paraId="281EC4EA"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 xml:space="preserve">Two suites of dedicated multimedia PCs for computer aided language learning, DVD playback and access to TVoverIP (for viewing live satellite channels via the University network) </w:t>
      </w:r>
    </w:p>
    <w:p w14:paraId="3F75024D"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Booths with LCD screens for group viewing of DVDs</w:t>
      </w:r>
    </w:p>
    <w:p w14:paraId="06E60DC8"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A conversation room for group work and voice recordings</w:t>
      </w:r>
    </w:p>
    <w:p w14:paraId="42AB61E9"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Short-term loan of digital recorders, cameras, webcams, etc</w:t>
      </w:r>
    </w:p>
    <w:p w14:paraId="43D80096"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t>Support and advice for learners from expert staff and through on-line resources</w:t>
      </w:r>
    </w:p>
    <w:p w14:paraId="509B4545" w14:textId="77777777" w:rsidR="00615069" w:rsidRPr="00615069" w:rsidRDefault="00615069" w:rsidP="00615069">
      <w:pPr>
        <w:pStyle w:val="ListParagraph"/>
        <w:numPr>
          <w:ilvl w:val="0"/>
          <w:numId w:val="13"/>
        </w:numPr>
        <w:rPr>
          <w:rFonts w:asciiTheme="minorHAnsi" w:eastAsia="Calibri" w:hAnsiTheme="minorHAnsi" w:cs="Arial"/>
        </w:rPr>
      </w:pPr>
      <w:r w:rsidRPr="00615069">
        <w:rPr>
          <w:rFonts w:asciiTheme="minorHAnsi" w:eastAsia="Calibri" w:hAnsiTheme="minorHAnsi" w:cs="Arial"/>
        </w:rPr>
        <w:lastRenderedPageBreak/>
        <w:t xml:space="preserve">Access to the Face-to-Face scheme: This is a reciprocal language learning scheme, in which students can meet with native speakers of the language they are learning. International students find that this is a good way to meet home students and to become more integrated into the University.  Home students can prepare themselves for study abroad by finding out about their partners’ home universities and cultures. </w:t>
      </w:r>
    </w:p>
    <w:p w14:paraId="6FBD4C8B" w14:textId="77777777" w:rsidR="00D600BE" w:rsidRPr="006F5302" w:rsidRDefault="00D600BE" w:rsidP="00D600BE">
      <w:pPr>
        <w:overflowPunct/>
        <w:rPr>
          <w:rFonts w:asciiTheme="minorHAnsi" w:eastAsia="Calibri" w:hAnsiTheme="minorHAnsi" w:cs="Arial"/>
          <w:sz w:val="22"/>
          <w:szCs w:val="22"/>
          <w:lang w:eastAsia="en-US"/>
        </w:rPr>
      </w:pPr>
    </w:p>
    <w:p w14:paraId="4C2E6097" w14:textId="77777777" w:rsidR="00D600BE" w:rsidRPr="006F5302" w:rsidRDefault="00D600BE" w:rsidP="00D600BE">
      <w:pPr>
        <w:overflowPunct/>
        <w:rPr>
          <w:rFonts w:asciiTheme="minorHAnsi" w:eastAsia="Calibri" w:hAnsiTheme="minorHAnsi" w:cs="Arial"/>
          <w:sz w:val="22"/>
          <w:szCs w:val="22"/>
          <w:lang w:eastAsia="en-US"/>
        </w:rPr>
      </w:pPr>
      <w:r w:rsidRPr="006F5302">
        <w:rPr>
          <w:rFonts w:asciiTheme="minorHAnsi" w:eastAsia="Calibri" w:hAnsiTheme="minorHAnsi" w:cs="Arial"/>
          <w:sz w:val="22"/>
          <w:szCs w:val="22"/>
          <w:lang w:eastAsia="en-US"/>
        </w:rPr>
        <w:t>A full guide to the University Language Centre’s courses, services and its language learning resources is available at:</w:t>
      </w:r>
      <w:r w:rsidRPr="006F5302">
        <w:rPr>
          <w:rFonts w:asciiTheme="minorHAnsi" w:eastAsia="Calibri" w:hAnsiTheme="minorHAnsi"/>
          <w:sz w:val="22"/>
          <w:szCs w:val="22"/>
          <w:lang w:eastAsia="en-US"/>
        </w:rPr>
        <w:t xml:space="preserve"> </w:t>
      </w:r>
      <w:r w:rsidRPr="006F5302">
        <w:rPr>
          <w:rFonts w:asciiTheme="minorHAnsi" w:eastAsia="Calibri" w:hAnsiTheme="minorHAnsi" w:cs="Arial"/>
          <w:b/>
          <w:sz w:val="22"/>
          <w:szCs w:val="22"/>
          <w:lang w:eastAsia="en-US"/>
        </w:rPr>
        <w:t>http://www.languagecentre.manchester.ac.uk</w:t>
      </w:r>
    </w:p>
    <w:p w14:paraId="2A3C5082" w14:textId="77777777" w:rsidR="00D600BE" w:rsidRPr="006F5302" w:rsidRDefault="00D600BE" w:rsidP="00D600BE">
      <w:pPr>
        <w:overflowPunct/>
        <w:rPr>
          <w:rFonts w:asciiTheme="minorHAnsi" w:eastAsia="Calibri" w:hAnsiTheme="minorHAnsi"/>
          <w:sz w:val="22"/>
          <w:szCs w:val="22"/>
          <w:lang w:eastAsia="en-US"/>
        </w:rPr>
      </w:pPr>
    </w:p>
    <w:p w14:paraId="66E941EC" w14:textId="77777777" w:rsidR="00301911" w:rsidRPr="006F5302" w:rsidRDefault="00301911" w:rsidP="00D600BE">
      <w:pPr>
        <w:rPr>
          <w:rFonts w:asciiTheme="minorHAnsi" w:hAnsiTheme="minorHAnsi"/>
          <w:sz w:val="22"/>
          <w:szCs w:val="22"/>
        </w:rPr>
      </w:pPr>
    </w:p>
    <w:p w14:paraId="1D92EB81" w14:textId="77777777" w:rsidR="00D600BE" w:rsidRPr="006F5302" w:rsidRDefault="00D600BE" w:rsidP="00D600BE">
      <w:pPr>
        <w:rPr>
          <w:rFonts w:asciiTheme="minorHAnsi" w:hAnsiTheme="minorHAnsi"/>
          <w:sz w:val="22"/>
          <w:szCs w:val="22"/>
        </w:rPr>
      </w:pPr>
    </w:p>
    <w:sectPr w:rsidR="00D600BE" w:rsidRPr="006F5302" w:rsidSect="00E6234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7C6E"/>
    <w:multiLevelType w:val="hybridMultilevel"/>
    <w:tmpl w:val="D71CE5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20F67"/>
    <w:multiLevelType w:val="hybridMultilevel"/>
    <w:tmpl w:val="4104854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BC874B9"/>
    <w:multiLevelType w:val="multilevel"/>
    <w:tmpl w:val="47829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4B7EBA"/>
    <w:multiLevelType w:val="hybridMultilevel"/>
    <w:tmpl w:val="053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2DE2"/>
    <w:multiLevelType w:val="hybridMultilevel"/>
    <w:tmpl w:val="9B708A26"/>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319A158B"/>
    <w:multiLevelType w:val="multilevel"/>
    <w:tmpl w:val="D2384BB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356F2484"/>
    <w:multiLevelType w:val="hybridMultilevel"/>
    <w:tmpl w:val="3A4A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47432"/>
    <w:multiLevelType w:val="hybridMultilevel"/>
    <w:tmpl w:val="F8B8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0031D"/>
    <w:multiLevelType w:val="multilevel"/>
    <w:tmpl w:val="D238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26BEE"/>
    <w:multiLevelType w:val="hybridMultilevel"/>
    <w:tmpl w:val="9C1A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F2BBE"/>
    <w:multiLevelType w:val="hybridMultilevel"/>
    <w:tmpl w:val="3EB04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7"/>
  </w:num>
  <w:num w:numId="9">
    <w:abstractNumId w:val="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40"/>
    <w:rsid w:val="00022B1C"/>
    <w:rsid w:val="000451D8"/>
    <w:rsid w:val="001A5AF0"/>
    <w:rsid w:val="001D5DED"/>
    <w:rsid w:val="00210145"/>
    <w:rsid w:val="002363F2"/>
    <w:rsid w:val="002428FE"/>
    <w:rsid w:val="00267FF1"/>
    <w:rsid w:val="002C4B57"/>
    <w:rsid w:val="00301911"/>
    <w:rsid w:val="00306C48"/>
    <w:rsid w:val="00355B39"/>
    <w:rsid w:val="00381B18"/>
    <w:rsid w:val="003C45E1"/>
    <w:rsid w:val="003F0ADC"/>
    <w:rsid w:val="004813A9"/>
    <w:rsid w:val="00585834"/>
    <w:rsid w:val="00615069"/>
    <w:rsid w:val="006D0EF1"/>
    <w:rsid w:val="006F5302"/>
    <w:rsid w:val="00744E4F"/>
    <w:rsid w:val="00822CAE"/>
    <w:rsid w:val="0089336A"/>
    <w:rsid w:val="009D12EE"/>
    <w:rsid w:val="00A81818"/>
    <w:rsid w:val="00B23740"/>
    <w:rsid w:val="00B347B9"/>
    <w:rsid w:val="00B5244C"/>
    <w:rsid w:val="00B658B3"/>
    <w:rsid w:val="00B6677C"/>
    <w:rsid w:val="00BC12A0"/>
    <w:rsid w:val="00C22F80"/>
    <w:rsid w:val="00CB360F"/>
    <w:rsid w:val="00D40288"/>
    <w:rsid w:val="00D43338"/>
    <w:rsid w:val="00D600BE"/>
    <w:rsid w:val="00E62340"/>
    <w:rsid w:val="00E62FDD"/>
    <w:rsid w:val="00E978AC"/>
    <w:rsid w:val="00FB7A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58DD6"/>
  <w15:docId w15:val="{66190A20-49B4-41DA-BB1E-B3EB0662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340"/>
    <w:pPr>
      <w:overflowPunct w:val="0"/>
      <w:jc w:val="both"/>
    </w:pPr>
    <w:rPr>
      <w:sz w:val="24"/>
      <w:szCs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340"/>
    <w:rPr>
      <w:color w:val="0000FF"/>
      <w:u w:val="single"/>
    </w:rPr>
  </w:style>
  <w:style w:type="character" w:styleId="Emphasis">
    <w:name w:val="Emphasis"/>
    <w:qFormat/>
    <w:rsid w:val="00022B1C"/>
    <w:rPr>
      <w:i/>
      <w:iCs/>
    </w:rPr>
  </w:style>
  <w:style w:type="paragraph" w:styleId="NoSpacing">
    <w:name w:val="No Spacing"/>
    <w:uiPriority w:val="1"/>
    <w:qFormat/>
    <w:rsid w:val="00D600BE"/>
    <w:pPr>
      <w:overflowPunct w:val="0"/>
      <w:jc w:val="both"/>
    </w:pPr>
    <w:rPr>
      <w:sz w:val="24"/>
      <w:szCs w:val="16"/>
      <w:lang w:eastAsia="zh-CN"/>
    </w:rPr>
  </w:style>
  <w:style w:type="paragraph" w:styleId="ListParagraph">
    <w:name w:val="List Paragraph"/>
    <w:basedOn w:val="Normal"/>
    <w:uiPriority w:val="34"/>
    <w:qFormat/>
    <w:rsid w:val="00615069"/>
    <w:pPr>
      <w:overflowPunct/>
      <w:ind w:left="720"/>
      <w:jc w:val="left"/>
    </w:pPr>
    <w:rPr>
      <w:rFonts w:ascii="Calibri" w:eastAsiaTheme="minorHAnsi" w:hAnsi="Calibri"/>
      <w:sz w:val="22"/>
      <w:szCs w:val="22"/>
      <w:lang w:eastAsia="en-US"/>
    </w:rPr>
  </w:style>
  <w:style w:type="character" w:styleId="FollowedHyperlink">
    <w:name w:val="FollowedHyperlink"/>
    <w:basedOn w:val="DefaultParagraphFont"/>
    <w:semiHidden/>
    <w:unhideWhenUsed/>
    <w:rsid w:val="00BC12A0"/>
    <w:rPr>
      <w:color w:val="800080" w:themeColor="followedHyperlink"/>
      <w:u w:val="single"/>
    </w:rPr>
  </w:style>
  <w:style w:type="character" w:customStyle="1" w:styleId="UnresolvedMention">
    <w:name w:val="Unresolved Mention"/>
    <w:basedOn w:val="DefaultParagraphFont"/>
    <w:uiPriority w:val="99"/>
    <w:semiHidden/>
    <w:unhideWhenUsed/>
    <w:rsid w:val="00BC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62150">
      <w:bodyDiv w:val="1"/>
      <w:marLeft w:val="0"/>
      <w:marRight w:val="0"/>
      <w:marTop w:val="0"/>
      <w:marBottom w:val="0"/>
      <w:divBdr>
        <w:top w:val="none" w:sz="0" w:space="0" w:color="auto"/>
        <w:left w:val="none" w:sz="0" w:space="0" w:color="auto"/>
        <w:bottom w:val="none" w:sz="0" w:space="0" w:color="auto"/>
        <w:right w:val="none" w:sz="0" w:space="0" w:color="auto"/>
      </w:divBdr>
    </w:div>
    <w:div w:id="17302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chester.ac.uk/academicsuccessprogramme" TargetMode="External"/><Relationship Id="rId5" Type="http://schemas.openxmlformats.org/officeDocument/2006/relationships/hyperlink" Target="https://www.languagecentre.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University Language Centre</vt:lpstr>
    </vt:vector>
  </TitlesOfParts>
  <Company>Manchester Computing</Company>
  <LinksUpToDate>false</LinksUpToDate>
  <CharactersWithSpaces>3359</CharactersWithSpaces>
  <SharedDoc>false</SharedDoc>
  <HLinks>
    <vt:vector size="6" baseType="variant">
      <vt:variant>
        <vt:i4>983126</vt:i4>
      </vt:variant>
      <vt:variant>
        <vt:i4>0</vt:i4>
      </vt:variant>
      <vt:variant>
        <vt:i4>0</vt:i4>
      </vt:variant>
      <vt:variant>
        <vt:i4>5</vt:i4>
      </vt:variant>
      <vt:variant>
        <vt:lpwstr>http://www.ulc.manchester.ac.uk/english/academicsupport/courses/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Language Centre</dc:title>
  <dc:creator>Lisa McAleese</dc:creator>
  <cp:lastModifiedBy>Susan Rowe</cp:lastModifiedBy>
  <cp:revision>2</cp:revision>
  <cp:lastPrinted>2018-03-14T09:36:00Z</cp:lastPrinted>
  <dcterms:created xsi:type="dcterms:W3CDTF">2020-07-14T09:08:00Z</dcterms:created>
  <dcterms:modified xsi:type="dcterms:W3CDTF">2020-07-14T09:08:00Z</dcterms:modified>
</cp:coreProperties>
</file>