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A676D" w14:textId="1F4D1645" w:rsidR="008B6F40" w:rsidRPr="00F25156" w:rsidRDefault="00285370">
      <w:pPr>
        <w:rPr>
          <w:b/>
        </w:rPr>
      </w:pPr>
      <w:r>
        <w:rPr>
          <w:b/>
        </w:rPr>
        <w:t>Rescoping</w:t>
      </w:r>
      <w:r w:rsidR="00F25156" w:rsidRPr="00F25156">
        <w:rPr>
          <w:b/>
        </w:rPr>
        <w:t xml:space="preserve"> PhD project</w:t>
      </w:r>
      <w:r>
        <w:rPr>
          <w:b/>
        </w:rPr>
        <w:t>s</w:t>
      </w:r>
      <w:r w:rsidR="00F25156" w:rsidRPr="00F25156">
        <w:rPr>
          <w:b/>
        </w:rPr>
        <w:t xml:space="preserve"> in response to COVID-19 impact</w:t>
      </w:r>
      <w:r>
        <w:rPr>
          <w:b/>
        </w:rPr>
        <w:t>: Guidance for Supervisors in the Faculty of Humanities</w:t>
      </w:r>
    </w:p>
    <w:p w14:paraId="7DFEAD2A" w14:textId="77777777" w:rsidR="00F25156" w:rsidRDefault="00F25156"/>
    <w:p w14:paraId="2E462C07" w14:textId="5C4AB1C6" w:rsidR="00F25156" w:rsidRDefault="00481123">
      <w:pPr>
        <w:rPr>
          <w:b/>
        </w:rPr>
      </w:pPr>
      <w:r>
        <w:rPr>
          <w:b/>
        </w:rPr>
        <w:t>Introduction</w:t>
      </w:r>
    </w:p>
    <w:p w14:paraId="60040D50" w14:textId="50AA5F7B" w:rsidR="00481123" w:rsidRDefault="00481123" w:rsidP="00481123">
      <w:r>
        <w:t xml:space="preserve">Supervisory teams should all be alert to the need to review doctoral projects with their PGRs, </w:t>
      </w:r>
      <w:r w:rsidR="00F25156">
        <w:t xml:space="preserve">reflecting on the current impact </w:t>
      </w:r>
      <w:r w:rsidR="00D0375E">
        <w:t>of</w:t>
      </w:r>
      <w:r w:rsidR="00F25156">
        <w:t xml:space="preserve"> COVID-19 on the research and planning for any further impact that may result </w:t>
      </w:r>
      <w:r w:rsidR="00D0375E">
        <w:t xml:space="preserve">from </w:t>
      </w:r>
      <w:r w:rsidR="00F25156">
        <w:t>restricted movements, social distancing and phased opening of the campus.</w:t>
      </w:r>
      <w:r w:rsidR="00DB3005">
        <w:t xml:space="preserve"> Many teams have already worked closely with their PGRs to adapt their plans, whilst others are now moving to do so. </w:t>
      </w:r>
      <w:r>
        <w:t>This document sets out some principles to frame those discussions. This document should be read in conjunction with the MDC</w:t>
      </w:r>
      <w:r w:rsidRPr="00F25156">
        <w:t xml:space="preserve"> </w:t>
      </w:r>
      <w:hyperlink r:id="rId5" w:history="1">
        <w:r w:rsidRPr="00F25156">
          <w:rPr>
            <w:rStyle w:val="Hyperlink"/>
            <w:b/>
            <w:bCs/>
          </w:rPr>
          <w:t>Guidance for PGR Supervisors during the Coronavirus outbreak</w:t>
        </w:r>
      </w:hyperlink>
      <w:r w:rsidRPr="00F25156">
        <w:rPr>
          <w:b/>
          <w:bCs/>
        </w:rPr>
        <w:t xml:space="preserve"> </w:t>
      </w:r>
      <w:r>
        <w:t xml:space="preserve"> published in April 2020, in particular the section on ‘Researching Remotely’.</w:t>
      </w:r>
    </w:p>
    <w:p w14:paraId="65709143" w14:textId="59BF1FD1" w:rsidR="008D3CBC" w:rsidRDefault="008D3CBC" w:rsidP="00481123">
      <w:r>
        <w:t>This applies not just to current PGRs but also to those due to start in 2020-21. Offer-holders may need guidance from their prospective supervisors on the viability of a September 2020 start or the need to redesign projects in the light of current and foreseeable constraints. In some parts of the Faculty there may be opportunities for projects to be redesigned to address specific challenges arising from the impact of COVID-19</w:t>
      </w:r>
      <w:r w:rsidR="00852694">
        <w:t>, and where appropriate this should be encouraged.</w:t>
      </w:r>
    </w:p>
    <w:p w14:paraId="7E781992" w14:textId="6F7F99F2" w:rsidR="00481123" w:rsidRDefault="00481123" w:rsidP="00481123">
      <w:r>
        <w:t xml:space="preserve">The extent to which it will be necessary to adapt research to complete the PhD thesis within the </w:t>
      </w:r>
      <w:r w:rsidR="0001228C">
        <w:t xml:space="preserve">normal </w:t>
      </w:r>
      <w:r>
        <w:t>completion period will vary and be dependent on the stage of the PhD</w:t>
      </w:r>
      <w:r w:rsidR="0001228C">
        <w:t xml:space="preserve"> and</w:t>
      </w:r>
      <w:r w:rsidR="00B833A5">
        <w:t xml:space="preserve"> </w:t>
      </w:r>
      <w:r>
        <w:t>the research methods used as well as the access to data sources. The guidance below therefore sets out a number of principles that should be considered when discussing contingency planning with your PGRs.</w:t>
      </w:r>
    </w:p>
    <w:p w14:paraId="373EDCE6" w14:textId="19215B04" w:rsidR="00481123" w:rsidRDefault="00481123"/>
    <w:p w14:paraId="2FAD76FB" w14:textId="73A20DC3" w:rsidR="00481123" w:rsidRPr="00640CCF" w:rsidRDefault="00481123">
      <w:pPr>
        <w:rPr>
          <w:b/>
          <w:bCs/>
        </w:rPr>
      </w:pPr>
      <w:r w:rsidRPr="00640CCF">
        <w:rPr>
          <w:b/>
          <w:bCs/>
        </w:rPr>
        <w:t>Principles and Assumptions</w:t>
      </w:r>
    </w:p>
    <w:p w14:paraId="438C2764" w14:textId="13ED5ED7" w:rsidR="00481123" w:rsidRDefault="001D3ABB" w:rsidP="00481123">
      <w:pPr>
        <w:pStyle w:val="ListParagraph"/>
        <w:numPr>
          <w:ilvl w:val="0"/>
          <w:numId w:val="5"/>
        </w:numPr>
        <w:ind w:left="0" w:firstLine="0"/>
      </w:pPr>
      <w:r>
        <w:t xml:space="preserve">In the case of PGRs in their first two years (or part-time equivalent) </w:t>
      </w:r>
      <w:r w:rsidR="00EB3EE3" w:rsidRPr="00EB3EE3">
        <w:t xml:space="preserve">it is important to work on the assumption that restrictions on research imposed by restricted travel and social distancing measures are likely to last in some form or other for the foreseeable future and to therefore adjust the project accordingly, rather than to assume that </w:t>
      </w:r>
      <w:r w:rsidR="00EB3EE3">
        <w:t>PGR</w:t>
      </w:r>
      <w:r w:rsidR="00EB3EE3" w:rsidRPr="00EB3EE3">
        <w:t>s can defer key stages of their original research plans and subsequently rely on funded extensions</w:t>
      </w:r>
      <w:r>
        <w:t>.</w:t>
      </w:r>
      <w:r w:rsidR="00BA7EAC">
        <w:t xml:space="preserve"> As far as possible, projects should be adjusted to enable them to be brought to completion in the changed circumstances.</w:t>
      </w:r>
    </w:p>
    <w:p w14:paraId="5852DE81" w14:textId="2A9C442F" w:rsidR="00E53992" w:rsidRDefault="00481123" w:rsidP="00640CCF">
      <w:pPr>
        <w:pStyle w:val="ListParagraph"/>
        <w:numPr>
          <w:ilvl w:val="0"/>
          <w:numId w:val="5"/>
        </w:numPr>
        <w:ind w:left="0" w:firstLine="0"/>
      </w:pPr>
      <w:r>
        <w:t xml:space="preserve">Where significant rescoping is required, the process should be informed by the essential requirements for the award of the degree. </w:t>
      </w:r>
      <w:r w:rsidR="00E53992">
        <w:t>T</w:t>
      </w:r>
      <w:r w:rsidR="00EF7B07">
        <w:t>he</w:t>
      </w:r>
      <w:r w:rsidR="00E53992">
        <w:t xml:space="preserve"> essential</w:t>
      </w:r>
      <w:r w:rsidR="00EF7B07">
        <w:t xml:space="preserve"> requirements of the PhD</w:t>
      </w:r>
      <w:r w:rsidR="00E53992">
        <w:t xml:space="preserve"> are defin</w:t>
      </w:r>
      <w:r w:rsidR="00EF7B07">
        <w:t xml:space="preserve">ed both in the University of Manchester ordinances and in the QAA </w:t>
      </w:r>
      <w:r w:rsidR="006706C6">
        <w:t>statement on the characteristics of the doctoral graduate</w:t>
      </w:r>
      <w:r w:rsidR="00EF7B07">
        <w:t xml:space="preserve"> (see Appendix for more detail). </w:t>
      </w:r>
      <w:r w:rsidR="00E53992">
        <w:t>In particular, the ordinances require ‘</w:t>
      </w:r>
      <w:r w:rsidR="00E53992" w:rsidRPr="00145E5D">
        <w:rPr>
          <w:bCs/>
        </w:rPr>
        <w:t xml:space="preserve">an original contribution and substantial addition to knowledge’ embodied in a thesis that ‘must contain material of a standard appropriate for peer-reviewed publication’. The QAA </w:t>
      </w:r>
      <w:r w:rsidR="006706C6" w:rsidRPr="00145E5D">
        <w:rPr>
          <w:bCs/>
        </w:rPr>
        <w:t>statement</w:t>
      </w:r>
      <w:r w:rsidR="00E53992" w:rsidRPr="00145E5D">
        <w:rPr>
          <w:bCs/>
        </w:rPr>
        <w:t xml:space="preserve"> identifies specific intellectual and practical competencies that doctoral candidates are expected to be able to demonstrate. It is</w:t>
      </w:r>
      <w:r w:rsidR="006706C6" w:rsidRPr="00145E5D">
        <w:rPr>
          <w:bCs/>
        </w:rPr>
        <w:t xml:space="preserve"> important to bear these requirements in mind. They define the </w:t>
      </w:r>
      <w:r w:rsidR="006706C6" w:rsidRPr="00545D2E">
        <w:rPr>
          <w:bCs/>
          <w:i/>
        </w:rPr>
        <w:t>quality</w:t>
      </w:r>
      <w:r w:rsidR="006706C6" w:rsidRPr="00145E5D">
        <w:rPr>
          <w:bCs/>
        </w:rPr>
        <w:t xml:space="preserve"> of doctoral work rather than the </w:t>
      </w:r>
      <w:r w:rsidR="006706C6" w:rsidRPr="00545D2E">
        <w:rPr>
          <w:bCs/>
          <w:i/>
        </w:rPr>
        <w:t>quantity</w:t>
      </w:r>
      <w:r w:rsidR="006706C6" w:rsidRPr="00145E5D">
        <w:rPr>
          <w:bCs/>
        </w:rPr>
        <w:t xml:space="preserve"> of research</w:t>
      </w:r>
      <w:r w:rsidR="0001228C">
        <w:rPr>
          <w:bCs/>
        </w:rPr>
        <w:t xml:space="preserve"> upon which it is based.</w:t>
      </w:r>
      <w:r w:rsidR="008B146D" w:rsidRPr="00145E5D">
        <w:rPr>
          <w:bCs/>
        </w:rPr>
        <w:t xml:space="preserve"> </w:t>
      </w:r>
      <w:r w:rsidR="006706C6" w:rsidRPr="00145E5D">
        <w:rPr>
          <w:bCs/>
        </w:rPr>
        <w:t xml:space="preserve"> It is well understood that examiners should judge quantity and scope in relation to what can reasonably be attained in the course of the programme (in Humanities, usually three years</w:t>
      </w:r>
      <w:r w:rsidR="00145E5D">
        <w:rPr>
          <w:bCs/>
        </w:rPr>
        <w:t xml:space="preserve"> full-time</w:t>
      </w:r>
      <w:r w:rsidR="006706C6" w:rsidRPr="00145E5D">
        <w:rPr>
          <w:bCs/>
        </w:rPr>
        <w:t xml:space="preserve">), and examiners likewise will be expected to take account of the constraints imposed by the current pandemic. </w:t>
      </w:r>
      <w:r w:rsidR="006706C6" w:rsidRPr="00145E5D">
        <w:rPr>
          <w:b/>
        </w:rPr>
        <w:t>Manchester Doctoral College will be drawing up guidance to examiners on this point.</w:t>
      </w:r>
      <w:r w:rsidR="00E53992" w:rsidRPr="00145E5D">
        <w:rPr>
          <w:bCs/>
        </w:rPr>
        <w:t xml:space="preserve"> </w:t>
      </w:r>
      <w:r w:rsidR="00E53992">
        <w:t xml:space="preserve"> </w:t>
      </w:r>
      <w:r w:rsidR="008B146D">
        <w:t xml:space="preserve">In short, there is no need </w:t>
      </w:r>
      <w:r w:rsidR="008B146D">
        <w:lastRenderedPageBreak/>
        <w:t>to dilute our expectation of PhD quality, but we must all frame our research projects in such a way that they can be carried out in the circumstances we find ourselves.</w:t>
      </w:r>
    </w:p>
    <w:p w14:paraId="216061AC" w14:textId="6FEB6B6F" w:rsidR="00EF7B07" w:rsidRDefault="00145E5D" w:rsidP="00640CCF">
      <w:pPr>
        <w:pStyle w:val="ListParagraph"/>
        <w:numPr>
          <w:ilvl w:val="0"/>
          <w:numId w:val="5"/>
        </w:numPr>
        <w:ind w:left="0" w:firstLine="0"/>
      </w:pPr>
      <w:r>
        <w:t xml:space="preserve">Considerations that may require a change to the scope or design of the project </w:t>
      </w:r>
      <w:r w:rsidR="00D5350A">
        <w:t xml:space="preserve">most obviously </w:t>
      </w:r>
      <w:r>
        <w:t xml:space="preserve">include the need for overseas fieldwork; </w:t>
      </w:r>
      <w:r w:rsidR="00C91E29">
        <w:t xml:space="preserve">physical </w:t>
      </w:r>
      <w:r>
        <w:t>access to particular repositories or to collaborating organisations; feasibility of conducting interviews, participant observation</w:t>
      </w:r>
      <w:r w:rsidR="0001228C">
        <w:t>,</w:t>
      </w:r>
      <w:r>
        <w:t xml:space="preserve"> etc</w:t>
      </w:r>
      <w:r w:rsidR="0001228C">
        <w:t>.</w:t>
      </w:r>
      <w:r>
        <w:t xml:space="preserve"> in conditions of social distancing</w:t>
      </w:r>
      <w:r w:rsidR="00D5350A">
        <w:t>; but there may well be other aspects of research design that are now problematic due to unanticipated barriers linked to COVID-19 restrictions</w:t>
      </w:r>
      <w:r>
        <w:t>. All relate in different ways to the collection of data.</w:t>
      </w:r>
    </w:p>
    <w:p w14:paraId="5ABFA84F" w14:textId="669076B7" w:rsidR="008D3CBC" w:rsidRDefault="00145E5D" w:rsidP="008D3CBC">
      <w:pPr>
        <w:pStyle w:val="ListParagraph"/>
        <w:numPr>
          <w:ilvl w:val="0"/>
          <w:numId w:val="5"/>
        </w:numPr>
        <w:ind w:left="0" w:firstLine="0"/>
      </w:pPr>
      <w:r>
        <w:t xml:space="preserve">In these circumstances, options to be considered may include </w:t>
      </w:r>
      <w:r w:rsidR="008D3CBC">
        <w:t>greater use of secondary data</w:t>
      </w:r>
      <w:r w:rsidR="00C91E29">
        <w:t xml:space="preserve"> sources</w:t>
      </w:r>
      <w:r w:rsidR="00D5350A">
        <w:t xml:space="preserve">, </w:t>
      </w:r>
      <w:r w:rsidR="008D3CBC">
        <w:t>and</w:t>
      </w:r>
      <w:r w:rsidR="00640CCF">
        <w:t>/or</w:t>
      </w:r>
      <w:r w:rsidR="008D3CBC">
        <w:t xml:space="preserve"> the methodological reframing of the project</w:t>
      </w:r>
      <w:r w:rsidR="00C91E29">
        <w:t xml:space="preserve">, including use of online/digital </w:t>
      </w:r>
      <w:r w:rsidR="0001228C">
        <w:t xml:space="preserve">sources and </w:t>
      </w:r>
      <w:r w:rsidR="00C91E29">
        <w:t>methods</w:t>
      </w:r>
      <w:r w:rsidR="008D3CBC">
        <w:t xml:space="preserve">. </w:t>
      </w:r>
      <w:r w:rsidR="00545D2E">
        <w:t xml:space="preserve">In some cases the journal format thesis is worth considering, since it potentially offers greater flexibility. </w:t>
      </w:r>
      <w:r w:rsidR="008D3CBC">
        <w:t>T</w:t>
      </w:r>
      <w:r>
        <w:t>he appropriate solution will depend on the extent of the data already collected and the length of time remaining on the project.</w:t>
      </w:r>
    </w:p>
    <w:p w14:paraId="536383B8" w14:textId="59AD7CD5" w:rsidR="008D3CBC" w:rsidRDefault="008D3CBC" w:rsidP="008D3CBC">
      <w:pPr>
        <w:pStyle w:val="ListParagraph"/>
        <w:numPr>
          <w:ilvl w:val="0"/>
          <w:numId w:val="5"/>
        </w:numPr>
        <w:ind w:left="0" w:firstLine="0"/>
      </w:pPr>
      <w:r>
        <w:t>There may be some cases where PGR projects could potentially be reframed</w:t>
      </w:r>
      <w:r w:rsidR="00852694">
        <w:t xml:space="preserve"> to address COVID-19 challenges</w:t>
      </w:r>
      <w:r w:rsidR="00D5350A">
        <w:t xml:space="preserve"> linked to the PGR’s area</w:t>
      </w:r>
      <w:r w:rsidR="00B93491">
        <w:t xml:space="preserve"> of research</w:t>
      </w:r>
      <w:r w:rsidR="00852694">
        <w:t>. Where this is feasible it should be encouraged.</w:t>
      </w:r>
    </w:p>
    <w:p w14:paraId="0EF1BE37" w14:textId="06E84656" w:rsidR="008D3CBC" w:rsidRDefault="008D3CBC" w:rsidP="00640CCF">
      <w:pPr>
        <w:pStyle w:val="ListParagraph"/>
        <w:numPr>
          <w:ilvl w:val="0"/>
          <w:numId w:val="5"/>
        </w:numPr>
        <w:ind w:left="0" w:firstLine="0"/>
      </w:pPr>
      <w:r>
        <w:t xml:space="preserve">The possible need for a new application for ethical approval will </w:t>
      </w:r>
      <w:r w:rsidR="00545D2E">
        <w:t xml:space="preserve">have </w:t>
      </w:r>
      <w:r>
        <w:t xml:space="preserve">to be considered in </w:t>
      </w:r>
      <w:r w:rsidR="00EB3EE3">
        <w:t xml:space="preserve">many </w:t>
      </w:r>
      <w:r>
        <w:t>cases.</w:t>
      </w:r>
    </w:p>
    <w:p w14:paraId="037CDEAC" w14:textId="6F17F1D5" w:rsidR="00EB3EE3" w:rsidRDefault="00EB3EE3" w:rsidP="00640CCF">
      <w:pPr>
        <w:pStyle w:val="ListParagraph"/>
        <w:numPr>
          <w:ilvl w:val="0"/>
          <w:numId w:val="5"/>
        </w:numPr>
        <w:ind w:left="0" w:firstLine="0"/>
      </w:pPr>
      <w:r>
        <w:t xml:space="preserve">Where rescoping of the project has been agreed, </w:t>
      </w:r>
      <w:r w:rsidRPr="00EB3EE3">
        <w:t>supervisory teams</w:t>
      </w:r>
      <w:r>
        <w:t xml:space="preserve"> should </w:t>
      </w:r>
      <w:r w:rsidRPr="00EB3EE3">
        <w:t xml:space="preserve">make these changes very clear in </w:t>
      </w:r>
      <w:r>
        <w:t xml:space="preserve">the </w:t>
      </w:r>
      <w:r w:rsidRPr="00EB3EE3">
        <w:t>annual review notes so that any new scope is agreed upon in writing by everyone involved in the decision. This will help with any future requests for funded extensions for students in years 1 and 2.</w:t>
      </w:r>
    </w:p>
    <w:p w14:paraId="7375E672" w14:textId="77777777" w:rsidR="00EF7B07" w:rsidRDefault="00EF7B07" w:rsidP="00EF7B07"/>
    <w:p w14:paraId="0D16A6EB" w14:textId="77777777" w:rsidR="00EF7B07" w:rsidRPr="00DD29B4" w:rsidRDefault="00EF7B07" w:rsidP="00EF7B07">
      <w:pPr>
        <w:rPr>
          <w:b/>
        </w:rPr>
      </w:pPr>
      <w:r w:rsidRPr="00DD29B4">
        <w:rPr>
          <w:b/>
        </w:rPr>
        <w:t>Further support</w:t>
      </w:r>
    </w:p>
    <w:p w14:paraId="6E8D2A06" w14:textId="1C13213D" w:rsidR="00016B94" w:rsidRPr="00016B94" w:rsidRDefault="00EF7B07" w:rsidP="00016B94">
      <w:r>
        <w:t>The Researcher Development team within the Faculty are working on a ‘Responsive Research’ session</w:t>
      </w:r>
      <w:r w:rsidR="00016B94">
        <w:t xml:space="preserve"> </w:t>
      </w:r>
      <w:r w:rsidR="00F80E67">
        <w:t>entitled</w:t>
      </w:r>
      <w:r w:rsidR="00016B94">
        <w:t xml:space="preserve"> ‘When and how to change your research’</w:t>
      </w:r>
      <w:r>
        <w:t xml:space="preserve"> </w:t>
      </w:r>
    </w:p>
    <w:p w14:paraId="2B4AC5A6" w14:textId="44C5B4A6" w:rsidR="00016B94" w:rsidRPr="00016B94" w:rsidRDefault="00016B94" w:rsidP="00016B94">
      <w:r w:rsidRPr="00016B94">
        <w:t>This will be aimed at both PhD and ECR. It is firstly to cover those who are going to have to change their resear</w:t>
      </w:r>
      <w:r w:rsidR="00F80E67">
        <w:t>ch because of COVID but also it i</w:t>
      </w:r>
      <w:r w:rsidRPr="00016B94">
        <w:t>s an opportunity to a</w:t>
      </w:r>
      <w:bookmarkStart w:id="0" w:name="_GoBack"/>
      <w:bookmarkEnd w:id="0"/>
      <w:r w:rsidRPr="00016B94">
        <w:t>ddress wider issues about</w:t>
      </w:r>
      <w:r>
        <w:t xml:space="preserve"> resilience and topicality. It poses the question</w:t>
      </w:r>
      <w:r w:rsidRPr="00016B94">
        <w:t xml:space="preserve"> why and when you should adapt your research</w:t>
      </w:r>
      <w:r>
        <w:t>?</w:t>
      </w:r>
      <w:r w:rsidRPr="00016B94">
        <w:t xml:space="preserve"> </w:t>
      </w:r>
      <w:r>
        <w:t>The session also looks at rapi</w:t>
      </w:r>
      <w:r w:rsidRPr="00016B94">
        <w:t>d response when your research area s</w:t>
      </w:r>
      <w:r>
        <w:t>uddenly becomes very pertinent.</w:t>
      </w:r>
    </w:p>
    <w:p w14:paraId="2555C935" w14:textId="30A0838B" w:rsidR="00EF7B07" w:rsidRDefault="00EF7B07" w:rsidP="00EF7B07">
      <w:r>
        <w:t>We plan to hold this session</w:t>
      </w:r>
      <w:r w:rsidR="00016B94">
        <w:t xml:space="preserve"> on</w:t>
      </w:r>
      <w:r>
        <w:t xml:space="preserve"> </w:t>
      </w:r>
      <w:r w:rsidR="00016B94">
        <w:t>10</w:t>
      </w:r>
      <w:r w:rsidR="00016B94" w:rsidRPr="00F80E67">
        <w:rPr>
          <w:vertAlign w:val="superscript"/>
        </w:rPr>
        <w:t>th</w:t>
      </w:r>
      <w:r w:rsidR="00016B94">
        <w:t xml:space="preserve"> June </w:t>
      </w:r>
      <w:r>
        <w:t>2020</w:t>
      </w:r>
      <w:r w:rsidR="00016B94">
        <w:t xml:space="preserve"> further details will be available in due course on the </w:t>
      </w:r>
      <w:hyperlink r:id="rId6" w:history="1">
        <w:r w:rsidR="00016B94" w:rsidRPr="00016B94">
          <w:rPr>
            <w:rStyle w:val="Hyperlink"/>
          </w:rPr>
          <w:t>ProGRess</w:t>
        </w:r>
      </w:hyperlink>
      <w:r w:rsidR="00016B94">
        <w:t xml:space="preserve"> training hub.</w:t>
      </w:r>
    </w:p>
    <w:p w14:paraId="18E32D49" w14:textId="77777777" w:rsidR="00F80E67" w:rsidRDefault="00F80E67" w:rsidP="00EF7B07"/>
    <w:p w14:paraId="0FA372E5" w14:textId="78738F38" w:rsidR="00F80E67" w:rsidRPr="00F80E67" w:rsidRDefault="00C91E29" w:rsidP="00EF7B07">
      <w:r w:rsidRPr="00F80E67">
        <w:rPr>
          <w:rStyle w:val="Hyperlink"/>
          <w:color w:val="auto"/>
          <w:u w:val="none"/>
        </w:rPr>
        <w:t xml:space="preserve">Methods North West also plans to hold a series of </w:t>
      </w:r>
      <w:r w:rsidR="00675DE0" w:rsidRPr="00F80E67">
        <w:rPr>
          <w:rStyle w:val="Hyperlink"/>
          <w:color w:val="auto"/>
          <w:u w:val="none"/>
        </w:rPr>
        <w:t xml:space="preserve">informal </w:t>
      </w:r>
      <w:r w:rsidRPr="00F80E67">
        <w:rPr>
          <w:rStyle w:val="Hyperlink"/>
          <w:color w:val="auto"/>
          <w:u w:val="none"/>
        </w:rPr>
        <w:t xml:space="preserve">sessions on Zoom over the summer </w:t>
      </w:r>
      <w:r w:rsidR="00675DE0" w:rsidRPr="00F80E67">
        <w:rPr>
          <w:rStyle w:val="Hyperlink"/>
          <w:color w:val="auto"/>
          <w:u w:val="none"/>
        </w:rPr>
        <w:t xml:space="preserve">months </w:t>
      </w:r>
      <w:r w:rsidRPr="00F80E67">
        <w:rPr>
          <w:rStyle w:val="Hyperlink"/>
          <w:color w:val="auto"/>
          <w:u w:val="none"/>
        </w:rPr>
        <w:t>focusing on different online methods and methods that can be adapted for use online.</w:t>
      </w:r>
    </w:p>
    <w:p w14:paraId="787D072A" w14:textId="3CE83D8A" w:rsidR="00FC5784" w:rsidRDefault="00C91E29" w:rsidP="00EF7B07">
      <w:r>
        <w:t>The following resource may also be useful for PGRs working mainly with qualitative methods:</w:t>
      </w:r>
    </w:p>
    <w:p w14:paraId="2F1A33FA" w14:textId="7C058C68" w:rsidR="00FC5784" w:rsidRDefault="00FC5784" w:rsidP="00545D2E">
      <w:pPr>
        <w:pStyle w:val="ListParagraph"/>
        <w:numPr>
          <w:ilvl w:val="0"/>
          <w:numId w:val="6"/>
        </w:numPr>
      </w:pPr>
      <w:r>
        <w:t>‘Doing fieldwork in a pandemic’ – crowdsourced document started by Deborah Lupton:</w:t>
      </w:r>
    </w:p>
    <w:p w14:paraId="1B48B738" w14:textId="77777777" w:rsidR="00FC5784" w:rsidRDefault="00F80E67" w:rsidP="00FC5784">
      <w:pPr>
        <w:rPr>
          <w:rStyle w:val="Hyperlink"/>
        </w:rPr>
      </w:pPr>
      <w:hyperlink r:id="rId7" w:history="1">
        <w:r w:rsidR="00FC5784" w:rsidRPr="00C50B4B">
          <w:rPr>
            <w:rStyle w:val="Hyperlink"/>
          </w:rPr>
          <w:t>https://docs.google.com/document/d/1clGjGABB2h2qbduTgfqribHmog9B6P0NvMgVuiHZCl8/edit</w:t>
        </w:r>
      </w:hyperlink>
    </w:p>
    <w:p w14:paraId="48458C0A" w14:textId="77777777" w:rsidR="00FC5784" w:rsidRDefault="00FC5784" w:rsidP="00EF7B07"/>
    <w:p w14:paraId="411B5DEB" w14:textId="6B68062C" w:rsidR="00FC5784" w:rsidRDefault="00FC5784" w:rsidP="00EF7B07"/>
    <w:p w14:paraId="05A1A3BF" w14:textId="044A475E" w:rsidR="00DD29B4" w:rsidRDefault="00852694" w:rsidP="00DD29B4">
      <w:pPr>
        <w:rPr>
          <w:b/>
          <w:bCs/>
        </w:rPr>
      </w:pPr>
      <w:r>
        <w:br w:type="column"/>
      </w:r>
      <w:r w:rsidR="00F166E3">
        <w:rPr>
          <w:b/>
          <w:bCs/>
        </w:rPr>
        <w:t xml:space="preserve">Appendix: </w:t>
      </w:r>
      <w:r w:rsidR="00DD29B4" w:rsidRPr="00DD29B4">
        <w:rPr>
          <w:b/>
          <w:bCs/>
        </w:rPr>
        <w:t xml:space="preserve">Key </w:t>
      </w:r>
      <w:r w:rsidR="00F166E3">
        <w:rPr>
          <w:b/>
          <w:bCs/>
        </w:rPr>
        <w:t>guidance on</w:t>
      </w:r>
      <w:r w:rsidR="00DD29B4" w:rsidRPr="00DD29B4">
        <w:rPr>
          <w:b/>
          <w:bCs/>
        </w:rPr>
        <w:t xml:space="preserve"> </w:t>
      </w:r>
      <w:r w:rsidR="00F166E3">
        <w:rPr>
          <w:b/>
          <w:bCs/>
        </w:rPr>
        <w:t>PhD standards</w:t>
      </w:r>
      <w:r w:rsidR="00DD29B4" w:rsidRPr="00DD29B4">
        <w:rPr>
          <w:b/>
          <w:bCs/>
        </w:rPr>
        <w:t xml:space="preserve"> </w:t>
      </w:r>
    </w:p>
    <w:p w14:paraId="25139122" w14:textId="0B485229" w:rsidR="004512F9" w:rsidRPr="00EF7B07" w:rsidRDefault="00F80E67" w:rsidP="00EF7B07">
      <w:pPr>
        <w:pStyle w:val="ListParagraph"/>
        <w:numPr>
          <w:ilvl w:val="0"/>
          <w:numId w:val="4"/>
        </w:numPr>
        <w:rPr>
          <w:bCs/>
        </w:rPr>
      </w:pPr>
      <w:hyperlink r:id="rId8" w:history="1">
        <w:r w:rsidR="00F166E3" w:rsidRPr="00F166E3">
          <w:rPr>
            <w:rStyle w:val="Hyperlink"/>
            <w:bCs/>
          </w:rPr>
          <w:t>Ordinances</w:t>
        </w:r>
      </w:hyperlink>
      <w:r w:rsidR="004512F9" w:rsidRPr="00F166E3">
        <w:rPr>
          <w:bCs/>
        </w:rPr>
        <w:t xml:space="preserve"> of the University of Manchester:</w:t>
      </w:r>
    </w:p>
    <w:p w14:paraId="7AB38869" w14:textId="77777777" w:rsidR="004512F9" w:rsidRDefault="004512F9" w:rsidP="00DD29B4">
      <w:pPr>
        <w:rPr>
          <w:bCs/>
        </w:rPr>
      </w:pPr>
      <w:r w:rsidRPr="004512F9">
        <w:rPr>
          <w:bCs/>
        </w:rPr>
        <w:t>The Degree of Doctor of Philosophy (PhD) is awarded by the University in recognition of the successful completion of a period of supervised research and training, the results of which show convincing evidence of the capacity of the candidate to pursue research and scholarship and make an original contribution and substantial addition to knowledge. The results of this research shall then be embodied in a thesis or other appropriate form and must contain material of a standard appropriate for peer-reviewed publication.</w:t>
      </w:r>
    </w:p>
    <w:p w14:paraId="548513C9" w14:textId="77777777" w:rsidR="004512F9" w:rsidRDefault="004512F9" w:rsidP="00DD29B4">
      <w:pPr>
        <w:rPr>
          <w:bCs/>
        </w:rPr>
      </w:pPr>
    </w:p>
    <w:p w14:paraId="1054F8BD" w14:textId="60CF382E" w:rsidR="00DD29B4" w:rsidRPr="00EF7B07" w:rsidRDefault="00DD29B4" w:rsidP="00EF7B07">
      <w:pPr>
        <w:pStyle w:val="ListParagraph"/>
        <w:numPr>
          <w:ilvl w:val="0"/>
          <w:numId w:val="4"/>
        </w:numPr>
        <w:rPr>
          <w:bCs/>
        </w:rPr>
      </w:pPr>
      <w:r w:rsidRPr="00EF7B07">
        <w:rPr>
          <w:bCs/>
        </w:rPr>
        <w:t>QAA guidance on the minimum expectations of a PhD:</w:t>
      </w:r>
    </w:p>
    <w:p w14:paraId="26D721A9" w14:textId="77777777" w:rsidR="00DD29B4" w:rsidRPr="00DD29B4" w:rsidRDefault="00DD29B4" w:rsidP="00DD29B4">
      <w:r w:rsidRPr="00DD29B4">
        <w:rPr>
          <w:b/>
          <w:bCs/>
        </w:rPr>
        <w:t>QAA doctoral characteristics</w:t>
      </w:r>
    </w:p>
    <w:p w14:paraId="2633104F" w14:textId="77777777" w:rsidR="00DD29B4" w:rsidRDefault="00F80E67" w:rsidP="00DD29B4">
      <w:hyperlink r:id="rId9" w:history="1">
        <w:r w:rsidR="00A33332" w:rsidRPr="00214526">
          <w:rPr>
            <w:rStyle w:val="Hyperlink"/>
          </w:rPr>
          <w:t>https://www.qaa.ac.uk/docs/qaa/quality-code/doctoral-degree-characteristics-statement-2020.pdf?sfvrsn=a3c5ca81_14</w:t>
        </w:r>
      </w:hyperlink>
    </w:p>
    <w:p w14:paraId="10057E38" w14:textId="77777777" w:rsidR="00DD29B4" w:rsidRPr="00DD29B4" w:rsidRDefault="00DD29B4" w:rsidP="00DD29B4">
      <w:pPr>
        <w:numPr>
          <w:ilvl w:val="0"/>
          <w:numId w:val="2"/>
        </w:numPr>
      </w:pPr>
      <w:r w:rsidRPr="00DD29B4">
        <w:t xml:space="preserve">All UK doctorates, regardless of their form, continue to require the main focus of the candidate's work to demonstrate </w:t>
      </w:r>
      <w:r w:rsidRPr="00DD29B4">
        <w:rPr>
          <w:b/>
          <w:bCs/>
        </w:rPr>
        <w:t>an original contribution to knowledge in their subject, field or profession, through original research or the original application of existing knowledge or understanding</w:t>
      </w:r>
    </w:p>
    <w:p w14:paraId="3DC7E3D0" w14:textId="77777777" w:rsidR="00DD29B4" w:rsidRPr="00DD29B4" w:rsidRDefault="00DD29B4" w:rsidP="00DD29B4">
      <w:pPr>
        <w:numPr>
          <w:ilvl w:val="0"/>
          <w:numId w:val="2"/>
        </w:numPr>
      </w:pPr>
      <w:r w:rsidRPr="00DD29B4">
        <w:t xml:space="preserve">Doctoral degrees are the most individually distinct of the academic qualifications available because of their roots in research and the pursuit of knowledge, and the requirement for the candidate to </w:t>
      </w:r>
      <w:r w:rsidRPr="00DD29B4">
        <w:rPr>
          <w:b/>
          <w:bCs/>
        </w:rPr>
        <w:t>produce work demonstrating original thought, based on independent study</w:t>
      </w:r>
      <w:r w:rsidRPr="00DD29B4">
        <w:t>.</w:t>
      </w:r>
    </w:p>
    <w:p w14:paraId="387B889E" w14:textId="77777777" w:rsidR="00DD29B4" w:rsidRPr="00DD29B4" w:rsidRDefault="00DD29B4" w:rsidP="00DD29B4">
      <w:pPr>
        <w:numPr>
          <w:ilvl w:val="0"/>
          <w:numId w:val="2"/>
        </w:numPr>
      </w:pPr>
      <w:r w:rsidRPr="00DD29B4">
        <w:t xml:space="preserve">All doctoral graduates should be able to: </w:t>
      </w:r>
    </w:p>
    <w:p w14:paraId="7634D802" w14:textId="77777777" w:rsidR="00DD29B4" w:rsidRPr="00DD29B4" w:rsidRDefault="00DD29B4" w:rsidP="00DD29B4">
      <w:pPr>
        <w:numPr>
          <w:ilvl w:val="1"/>
          <w:numId w:val="2"/>
        </w:numPr>
        <w:rPr>
          <w:b/>
          <w:bCs/>
        </w:rPr>
      </w:pPr>
      <w:r w:rsidRPr="00DD29B4">
        <w:rPr>
          <w:b/>
          <w:bCs/>
        </w:rPr>
        <w:t>search for, discover, access, retrieve, sift, interpret, analyse, evaluate, manage, conserve and communicate an ever-increasing volume of knowledge from a range of sources</w:t>
      </w:r>
    </w:p>
    <w:p w14:paraId="644FB0EC" w14:textId="77777777" w:rsidR="00DD29B4" w:rsidRPr="00DD29B4" w:rsidRDefault="00DD29B4" w:rsidP="00DD29B4">
      <w:pPr>
        <w:numPr>
          <w:ilvl w:val="1"/>
          <w:numId w:val="2"/>
        </w:numPr>
        <w:rPr>
          <w:b/>
          <w:bCs/>
        </w:rPr>
      </w:pPr>
      <w:r w:rsidRPr="00DD29B4">
        <w:rPr>
          <w:b/>
          <w:bCs/>
        </w:rPr>
        <w:t>think critically about problems to produce innovative solutions and create new knowledge; plan, manage and deliver projects, selecting and justifying appropriate methodological processes while recognising, evaluating and minimising the risks involved and impact on the environment</w:t>
      </w:r>
    </w:p>
    <w:p w14:paraId="604332A9" w14:textId="77777777" w:rsidR="00DD29B4" w:rsidRPr="00DD29B4" w:rsidRDefault="00DD29B4" w:rsidP="00DD29B4">
      <w:pPr>
        <w:numPr>
          <w:ilvl w:val="1"/>
          <w:numId w:val="2"/>
        </w:numPr>
      </w:pPr>
      <w:r w:rsidRPr="00DD29B4">
        <w:t>exercise professional standards in research and research integrity, and engage in professional practice, including ethical, legal, and health and safety aspects, bringing enthusiasm, perseverance and integrity to bear on their work activities</w:t>
      </w:r>
    </w:p>
    <w:p w14:paraId="0CFB70F0" w14:textId="77777777" w:rsidR="00DD29B4" w:rsidRPr="00DD29B4" w:rsidRDefault="00DD29B4" w:rsidP="00DD29B4">
      <w:pPr>
        <w:numPr>
          <w:ilvl w:val="1"/>
          <w:numId w:val="2"/>
        </w:numPr>
      </w:pPr>
      <w:r w:rsidRPr="00DD29B4">
        <w:t xml:space="preserve">support, collaborate with and lead colleagues, </w:t>
      </w:r>
      <w:r w:rsidRPr="00DD29B4">
        <w:rPr>
          <w:b/>
          <w:bCs/>
        </w:rPr>
        <w:t>using a range of teaching, communication and networking skills to influence practice and policy in diverse environments</w:t>
      </w:r>
    </w:p>
    <w:p w14:paraId="25285E1D" w14:textId="77777777" w:rsidR="00DD29B4" w:rsidRPr="00DD29B4" w:rsidRDefault="00DD29B4" w:rsidP="00DD29B4">
      <w:pPr>
        <w:numPr>
          <w:ilvl w:val="1"/>
          <w:numId w:val="2"/>
        </w:numPr>
        <w:rPr>
          <w:b/>
          <w:bCs/>
        </w:rPr>
      </w:pPr>
      <w:r w:rsidRPr="00DD29B4">
        <w:rPr>
          <w:b/>
          <w:bCs/>
        </w:rPr>
        <w:t>appreciate the need to engage in research with impact and to be able to communicate it to diverse audiences, including the public</w:t>
      </w:r>
    </w:p>
    <w:p w14:paraId="18AF377C" w14:textId="77777777" w:rsidR="00DD29B4" w:rsidRPr="00DD29B4" w:rsidRDefault="00DD29B4" w:rsidP="00DD29B4">
      <w:pPr>
        <w:numPr>
          <w:ilvl w:val="1"/>
          <w:numId w:val="2"/>
        </w:numPr>
      </w:pPr>
      <w:r w:rsidRPr="00DD29B4">
        <w:t>build relationships with peers, senior colleagues, students and stakeholders with sensitivity to equality, diversity and cultural issues</w:t>
      </w:r>
    </w:p>
    <w:p w14:paraId="14F04553" w14:textId="77777777" w:rsidR="00DD29B4" w:rsidRPr="00DD29B4" w:rsidRDefault="00DD29B4" w:rsidP="00DD29B4">
      <w:pPr>
        <w:numPr>
          <w:ilvl w:val="0"/>
          <w:numId w:val="2"/>
        </w:numPr>
      </w:pPr>
      <w:r w:rsidRPr="00DD29B4">
        <w:t xml:space="preserve">All doctoral graduates will have developed during the course of their research </w:t>
      </w:r>
      <w:r w:rsidRPr="00DD29B4">
        <w:rPr>
          <w:b/>
          <w:bCs/>
        </w:rPr>
        <w:t>additional specialist knowledge within their discipline,</w:t>
      </w:r>
      <w:r w:rsidRPr="00DD29B4">
        <w:t xml:space="preserve"> while those who have studied a professional doctorate are likely to have been required to have </w:t>
      </w:r>
      <w:r w:rsidRPr="00DD29B4">
        <w:rPr>
          <w:b/>
          <w:bCs/>
        </w:rPr>
        <w:t>particular professional experience that informs the topic of their research studies</w:t>
      </w:r>
    </w:p>
    <w:p w14:paraId="60A03A3F" w14:textId="77777777" w:rsidR="00DD29B4" w:rsidRPr="00DD29B4" w:rsidRDefault="00DD29B4" w:rsidP="00DD29B4">
      <w:pPr>
        <w:numPr>
          <w:ilvl w:val="0"/>
          <w:numId w:val="2"/>
        </w:numPr>
        <w:rPr>
          <w:b/>
          <w:bCs/>
        </w:rPr>
      </w:pPr>
      <w:r w:rsidRPr="00DD29B4">
        <w:t xml:space="preserve">In the final part of the assessment, it is the intention that the candidate defends his or her research in the oral examination, and is expected to </w:t>
      </w:r>
      <w:r w:rsidRPr="00DD29B4">
        <w:rPr>
          <w:b/>
          <w:bCs/>
        </w:rPr>
        <w:t>demonstrate deep knowledge and understanding of the field of study and originality of thought, either in the creation of new knowledge or in the novel application of existing knowledge</w:t>
      </w:r>
    </w:p>
    <w:p w14:paraId="6596941F" w14:textId="5B95276D" w:rsidR="00DD29B4" w:rsidRDefault="00DD29B4" w:rsidP="00DD29B4"/>
    <w:sectPr w:rsidR="00DD29B4">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71869E" w16cid:durableId="2270A5C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52A"/>
    <w:multiLevelType w:val="hybridMultilevel"/>
    <w:tmpl w:val="6EE47B3C"/>
    <w:lvl w:ilvl="0" w:tplc="42148C4E">
      <w:start w:val="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A4010ED"/>
    <w:multiLevelType w:val="hybridMultilevel"/>
    <w:tmpl w:val="433E0A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F47499"/>
    <w:multiLevelType w:val="hybridMultilevel"/>
    <w:tmpl w:val="059EB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5B76AF"/>
    <w:multiLevelType w:val="hybridMultilevel"/>
    <w:tmpl w:val="D764B80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5CA7494D"/>
    <w:multiLevelType w:val="hybridMultilevel"/>
    <w:tmpl w:val="C6729DD6"/>
    <w:lvl w:ilvl="0" w:tplc="CC18346C">
      <w:start w:val="1"/>
      <w:numFmt w:val="bullet"/>
      <w:lvlText w:val="•"/>
      <w:lvlJc w:val="left"/>
      <w:pPr>
        <w:tabs>
          <w:tab w:val="num" w:pos="720"/>
        </w:tabs>
        <w:ind w:left="720" w:hanging="360"/>
      </w:pPr>
      <w:rPr>
        <w:rFonts w:ascii="Arial" w:hAnsi="Arial" w:hint="default"/>
      </w:rPr>
    </w:lvl>
    <w:lvl w:ilvl="1" w:tplc="6868C894" w:tentative="1">
      <w:start w:val="1"/>
      <w:numFmt w:val="bullet"/>
      <w:lvlText w:val="•"/>
      <w:lvlJc w:val="left"/>
      <w:pPr>
        <w:tabs>
          <w:tab w:val="num" w:pos="1440"/>
        </w:tabs>
        <w:ind w:left="1440" w:hanging="360"/>
      </w:pPr>
      <w:rPr>
        <w:rFonts w:ascii="Arial" w:hAnsi="Arial" w:hint="default"/>
      </w:rPr>
    </w:lvl>
    <w:lvl w:ilvl="2" w:tplc="89FC1026" w:tentative="1">
      <w:start w:val="1"/>
      <w:numFmt w:val="bullet"/>
      <w:lvlText w:val="•"/>
      <w:lvlJc w:val="left"/>
      <w:pPr>
        <w:tabs>
          <w:tab w:val="num" w:pos="2160"/>
        </w:tabs>
        <w:ind w:left="2160" w:hanging="360"/>
      </w:pPr>
      <w:rPr>
        <w:rFonts w:ascii="Arial" w:hAnsi="Arial" w:hint="default"/>
      </w:rPr>
    </w:lvl>
    <w:lvl w:ilvl="3" w:tplc="CDEC78F4" w:tentative="1">
      <w:start w:val="1"/>
      <w:numFmt w:val="bullet"/>
      <w:lvlText w:val="•"/>
      <w:lvlJc w:val="left"/>
      <w:pPr>
        <w:tabs>
          <w:tab w:val="num" w:pos="2880"/>
        </w:tabs>
        <w:ind w:left="2880" w:hanging="360"/>
      </w:pPr>
      <w:rPr>
        <w:rFonts w:ascii="Arial" w:hAnsi="Arial" w:hint="default"/>
      </w:rPr>
    </w:lvl>
    <w:lvl w:ilvl="4" w:tplc="C4741156" w:tentative="1">
      <w:start w:val="1"/>
      <w:numFmt w:val="bullet"/>
      <w:lvlText w:val="•"/>
      <w:lvlJc w:val="left"/>
      <w:pPr>
        <w:tabs>
          <w:tab w:val="num" w:pos="3600"/>
        </w:tabs>
        <w:ind w:left="3600" w:hanging="360"/>
      </w:pPr>
      <w:rPr>
        <w:rFonts w:ascii="Arial" w:hAnsi="Arial" w:hint="default"/>
      </w:rPr>
    </w:lvl>
    <w:lvl w:ilvl="5" w:tplc="4C22430E" w:tentative="1">
      <w:start w:val="1"/>
      <w:numFmt w:val="bullet"/>
      <w:lvlText w:val="•"/>
      <w:lvlJc w:val="left"/>
      <w:pPr>
        <w:tabs>
          <w:tab w:val="num" w:pos="4320"/>
        </w:tabs>
        <w:ind w:left="4320" w:hanging="360"/>
      </w:pPr>
      <w:rPr>
        <w:rFonts w:ascii="Arial" w:hAnsi="Arial" w:hint="default"/>
      </w:rPr>
    </w:lvl>
    <w:lvl w:ilvl="6" w:tplc="FEF46AF4" w:tentative="1">
      <w:start w:val="1"/>
      <w:numFmt w:val="bullet"/>
      <w:lvlText w:val="•"/>
      <w:lvlJc w:val="left"/>
      <w:pPr>
        <w:tabs>
          <w:tab w:val="num" w:pos="5040"/>
        </w:tabs>
        <w:ind w:left="5040" w:hanging="360"/>
      </w:pPr>
      <w:rPr>
        <w:rFonts w:ascii="Arial" w:hAnsi="Arial" w:hint="default"/>
      </w:rPr>
    </w:lvl>
    <w:lvl w:ilvl="7" w:tplc="944811D2" w:tentative="1">
      <w:start w:val="1"/>
      <w:numFmt w:val="bullet"/>
      <w:lvlText w:val="•"/>
      <w:lvlJc w:val="left"/>
      <w:pPr>
        <w:tabs>
          <w:tab w:val="num" w:pos="5760"/>
        </w:tabs>
        <w:ind w:left="5760" w:hanging="360"/>
      </w:pPr>
      <w:rPr>
        <w:rFonts w:ascii="Arial" w:hAnsi="Arial" w:hint="default"/>
      </w:rPr>
    </w:lvl>
    <w:lvl w:ilvl="8" w:tplc="EC3664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E3225CE"/>
    <w:multiLevelType w:val="hybridMultilevel"/>
    <w:tmpl w:val="8FAC563E"/>
    <w:lvl w:ilvl="0" w:tplc="13A278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56"/>
    <w:rsid w:val="0001228C"/>
    <w:rsid w:val="00016B94"/>
    <w:rsid w:val="000E7B45"/>
    <w:rsid w:val="00145E5D"/>
    <w:rsid w:val="001D3ABB"/>
    <w:rsid w:val="00230B4B"/>
    <w:rsid w:val="002368EA"/>
    <w:rsid w:val="002822C2"/>
    <w:rsid w:val="00285370"/>
    <w:rsid w:val="003513CA"/>
    <w:rsid w:val="004512F9"/>
    <w:rsid w:val="00481123"/>
    <w:rsid w:val="00534FC9"/>
    <w:rsid w:val="00545D2E"/>
    <w:rsid w:val="00575DE2"/>
    <w:rsid w:val="00640CCF"/>
    <w:rsid w:val="00641F93"/>
    <w:rsid w:val="006706C6"/>
    <w:rsid w:val="00675DE0"/>
    <w:rsid w:val="007621EB"/>
    <w:rsid w:val="00852694"/>
    <w:rsid w:val="008B146D"/>
    <w:rsid w:val="008B6F40"/>
    <w:rsid w:val="008D14DE"/>
    <w:rsid w:val="008D3CBC"/>
    <w:rsid w:val="00917E7B"/>
    <w:rsid w:val="00A33332"/>
    <w:rsid w:val="00AA11A2"/>
    <w:rsid w:val="00B833A5"/>
    <w:rsid w:val="00B8544F"/>
    <w:rsid w:val="00B93491"/>
    <w:rsid w:val="00BA7EAC"/>
    <w:rsid w:val="00BD3A9B"/>
    <w:rsid w:val="00C6324E"/>
    <w:rsid w:val="00C91E29"/>
    <w:rsid w:val="00CC45C0"/>
    <w:rsid w:val="00D0375E"/>
    <w:rsid w:val="00D5350A"/>
    <w:rsid w:val="00DB3005"/>
    <w:rsid w:val="00DD29B4"/>
    <w:rsid w:val="00E53992"/>
    <w:rsid w:val="00EB3EE3"/>
    <w:rsid w:val="00EF7B07"/>
    <w:rsid w:val="00F166E3"/>
    <w:rsid w:val="00F25156"/>
    <w:rsid w:val="00F80E67"/>
    <w:rsid w:val="00FC57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06540"/>
  <w15:docId w15:val="{35364EAE-6EA3-4005-B3B0-55ED18B9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156"/>
    <w:pPr>
      <w:ind w:left="720"/>
      <w:contextualSpacing/>
    </w:pPr>
  </w:style>
  <w:style w:type="character" w:styleId="Hyperlink">
    <w:name w:val="Hyperlink"/>
    <w:basedOn w:val="DefaultParagraphFont"/>
    <w:uiPriority w:val="99"/>
    <w:unhideWhenUsed/>
    <w:rsid w:val="00F25156"/>
    <w:rPr>
      <w:color w:val="0563C1" w:themeColor="hyperlink"/>
      <w:u w:val="single"/>
    </w:rPr>
  </w:style>
  <w:style w:type="character" w:styleId="FollowedHyperlink">
    <w:name w:val="FollowedHyperlink"/>
    <w:basedOn w:val="DefaultParagraphFont"/>
    <w:uiPriority w:val="99"/>
    <w:semiHidden/>
    <w:unhideWhenUsed/>
    <w:rsid w:val="00F25156"/>
    <w:rPr>
      <w:color w:val="954F72" w:themeColor="followedHyperlink"/>
      <w:u w:val="single"/>
    </w:rPr>
  </w:style>
  <w:style w:type="paragraph" w:styleId="BalloonText">
    <w:name w:val="Balloon Text"/>
    <w:basedOn w:val="Normal"/>
    <w:link w:val="BalloonTextChar"/>
    <w:uiPriority w:val="99"/>
    <w:semiHidden/>
    <w:unhideWhenUsed/>
    <w:rsid w:val="00BA7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EAC"/>
    <w:rPr>
      <w:rFonts w:ascii="Segoe UI" w:hAnsi="Segoe UI" w:cs="Segoe UI"/>
      <w:sz w:val="18"/>
      <w:szCs w:val="18"/>
    </w:rPr>
  </w:style>
  <w:style w:type="character" w:styleId="CommentReference">
    <w:name w:val="annotation reference"/>
    <w:basedOn w:val="DefaultParagraphFont"/>
    <w:uiPriority w:val="99"/>
    <w:semiHidden/>
    <w:unhideWhenUsed/>
    <w:rsid w:val="00BA7EAC"/>
    <w:rPr>
      <w:sz w:val="16"/>
      <w:szCs w:val="16"/>
    </w:rPr>
  </w:style>
  <w:style w:type="paragraph" w:styleId="CommentText">
    <w:name w:val="annotation text"/>
    <w:basedOn w:val="Normal"/>
    <w:link w:val="CommentTextChar"/>
    <w:uiPriority w:val="99"/>
    <w:semiHidden/>
    <w:unhideWhenUsed/>
    <w:rsid w:val="00BA7EAC"/>
    <w:pPr>
      <w:spacing w:line="240" w:lineRule="auto"/>
    </w:pPr>
    <w:rPr>
      <w:sz w:val="20"/>
      <w:szCs w:val="20"/>
    </w:rPr>
  </w:style>
  <w:style w:type="character" w:customStyle="1" w:styleId="CommentTextChar">
    <w:name w:val="Comment Text Char"/>
    <w:basedOn w:val="DefaultParagraphFont"/>
    <w:link w:val="CommentText"/>
    <w:uiPriority w:val="99"/>
    <w:semiHidden/>
    <w:rsid w:val="00BA7EAC"/>
    <w:rPr>
      <w:sz w:val="20"/>
      <w:szCs w:val="20"/>
    </w:rPr>
  </w:style>
  <w:style w:type="paragraph" w:styleId="CommentSubject">
    <w:name w:val="annotation subject"/>
    <w:basedOn w:val="CommentText"/>
    <w:next w:val="CommentText"/>
    <w:link w:val="CommentSubjectChar"/>
    <w:uiPriority w:val="99"/>
    <w:semiHidden/>
    <w:unhideWhenUsed/>
    <w:rsid w:val="00BA7EAC"/>
    <w:rPr>
      <w:b/>
      <w:bCs/>
    </w:rPr>
  </w:style>
  <w:style w:type="character" w:customStyle="1" w:styleId="CommentSubjectChar">
    <w:name w:val="Comment Subject Char"/>
    <w:basedOn w:val="CommentTextChar"/>
    <w:link w:val="CommentSubject"/>
    <w:uiPriority w:val="99"/>
    <w:semiHidden/>
    <w:rsid w:val="00BA7EAC"/>
    <w:rPr>
      <w:b/>
      <w:bCs/>
      <w:sz w:val="20"/>
      <w:szCs w:val="20"/>
    </w:rPr>
  </w:style>
  <w:style w:type="character" w:customStyle="1" w:styleId="UnresolvedMention1">
    <w:name w:val="Unresolved Mention1"/>
    <w:basedOn w:val="DefaultParagraphFont"/>
    <w:uiPriority w:val="99"/>
    <w:semiHidden/>
    <w:unhideWhenUsed/>
    <w:rsid w:val="00F166E3"/>
    <w:rPr>
      <w:color w:val="605E5C"/>
      <w:shd w:val="clear" w:color="auto" w:fill="E1DFDD"/>
    </w:rPr>
  </w:style>
  <w:style w:type="paragraph" w:styleId="Revision">
    <w:name w:val="Revision"/>
    <w:hidden/>
    <w:uiPriority w:val="99"/>
    <w:semiHidden/>
    <w:rsid w:val="004811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9809">
      <w:bodyDiv w:val="1"/>
      <w:marLeft w:val="0"/>
      <w:marRight w:val="0"/>
      <w:marTop w:val="0"/>
      <w:marBottom w:val="0"/>
      <w:divBdr>
        <w:top w:val="none" w:sz="0" w:space="0" w:color="auto"/>
        <w:left w:val="none" w:sz="0" w:space="0" w:color="auto"/>
        <w:bottom w:val="none" w:sz="0" w:space="0" w:color="auto"/>
        <w:right w:val="none" w:sz="0" w:space="0" w:color="auto"/>
      </w:divBdr>
    </w:div>
    <w:div w:id="707068768">
      <w:bodyDiv w:val="1"/>
      <w:marLeft w:val="0"/>
      <w:marRight w:val="0"/>
      <w:marTop w:val="0"/>
      <w:marBottom w:val="0"/>
      <w:divBdr>
        <w:top w:val="none" w:sz="0" w:space="0" w:color="auto"/>
        <w:left w:val="none" w:sz="0" w:space="0" w:color="auto"/>
        <w:bottom w:val="none" w:sz="0" w:space="0" w:color="auto"/>
        <w:right w:val="none" w:sz="0" w:space="0" w:color="auto"/>
      </w:divBdr>
      <w:divsChild>
        <w:div w:id="694356152">
          <w:marLeft w:val="547"/>
          <w:marRight w:val="0"/>
          <w:marTop w:val="144"/>
          <w:marBottom w:val="0"/>
          <w:divBdr>
            <w:top w:val="none" w:sz="0" w:space="0" w:color="auto"/>
            <w:left w:val="none" w:sz="0" w:space="0" w:color="auto"/>
            <w:bottom w:val="none" w:sz="0" w:space="0" w:color="auto"/>
            <w:right w:val="none" w:sz="0" w:space="0" w:color="auto"/>
          </w:divBdr>
        </w:div>
        <w:div w:id="51099507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20673" TargetMode="External"/><Relationship Id="rId3" Type="http://schemas.openxmlformats.org/officeDocument/2006/relationships/settings" Target="settings.xml"/><Relationship Id="rId7" Type="http://schemas.openxmlformats.org/officeDocument/2006/relationships/hyperlink" Target="https://docs.google.com/document/d/1clGjGABB2h2qbduTgfqribHmog9B6P0NvMgVuiHZCl8/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gresstraininghub.humanities.manchester.ac.uk/category" TargetMode="External"/><Relationship Id="rId11" Type="http://schemas.openxmlformats.org/officeDocument/2006/relationships/theme" Target="theme/theme1.xml"/><Relationship Id="rId5" Type="http://schemas.openxmlformats.org/officeDocument/2006/relationships/hyperlink" Target="http://documents.manchester.ac.uk/DocuInfo.aspx?DocID=4890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qaa.ac.uk/docs/qaa/quality-code/doctoral-degree-characteristics-statement-2020.pdf?sfvrsn=a3c5ca81_14"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Ellis</dc:creator>
  <cp:lastModifiedBy>Nichola Ellis</cp:lastModifiedBy>
  <cp:revision>3</cp:revision>
  <dcterms:created xsi:type="dcterms:W3CDTF">2020-05-22T14:05:00Z</dcterms:created>
  <dcterms:modified xsi:type="dcterms:W3CDTF">2020-05-22T14:09:00Z</dcterms:modified>
</cp:coreProperties>
</file>