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B49" w:rsidRDefault="00BB0B49">
      <w:r>
        <w:rPr>
          <w:noProof/>
          <w:lang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-4022</wp:posOffset>
            </wp:positionV>
            <wp:extent cx="1193800" cy="505661"/>
            <wp:effectExtent l="0" t="0" r="635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_col_white_background.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93800" cy="505661"/>
                    </a:xfrm>
                    <a:prstGeom prst="rect">
                      <a:avLst/>
                    </a:prstGeom>
                  </pic:spPr>
                </pic:pic>
              </a:graphicData>
            </a:graphic>
            <wp14:sizeRelH relativeFrom="page">
              <wp14:pctWidth>0</wp14:pctWidth>
            </wp14:sizeRelH>
            <wp14:sizeRelV relativeFrom="page">
              <wp14:pctHeight>0</wp14:pctHeight>
            </wp14:sizeRelV>
          </wp:anchor>
        </w:drawing>
      </w:r>
    </w:p>
    <w:p w:rsidR="006526DB" w:rsidRDefault="00BB0B49" w:rsidP="00BB0B49">
      <w:pPr>
        <w:tabs>
          <w:tab w:val="left" w:pos="3307"/>
        </w:tabs>
      </w:pPr>
      <w:r>
        <w:tab/>
      </w:r>
    </w:p>
    <w:p w:rsidR="00DB6147" w:rsidRDefault="00BB0B49" w:rsidP="00BB0B49">
      <w:pPr>
        <w:tabs>
          <w:tab w:val="left" w:pos="3307"/>
        </w:tabs>
        <w:rPr>
          <w:rFonts w:ascii="Open Sans" w:hAnsi="Open Sans" w:cs="Open Sans"/>
          <w:sz w:val="40"/>
        </w:rPr>
      </w:pPr>
      <w:r w:rsidRPr="00BB0B49">
        <w:rPr>
          <w:rFonts w:ascii="Open Sans" w:hAnsi="Open Sans" w:cs="Open Sans"/>
          <w:sz w:val="40"/>
        </w:rPr>
        <w:t xml:space="preserve">A navigation guide for the PGR Supervisor Toolkit </w:t>
      </w:r>
    </w:p>
    <w:p w:rsidR="00872F40" w:rsidRDefault="00872F40" w:rsidP="00BB0B49">
      <w:pPr>
        <w:tabs>
          <w:tab w:val="left" w:pos="3307"/>
        </w:tabs>
        <w:rPr>
          <w:rFonts w:ascii="Open Sans" w:hAnsi="Open Sans" w:cs="Open Sans"/>
          <w:sz w:val="10"/>
        </w:rPr>
      </w:pPr>
    </w:p>
    <w:p w:rsidR="00872F40" w:rsidRDefault="00872F40" w:rsidP="00BB0B49">
      <w:pPr>
        <w:tabs>
          <w:tab w:val="left" w:pos="3307"/>
        </w:tabs>
        <w:rPr>
          <w:rFonts w:ascii="Open Sans" w:hAnsi="Open Sans" w:cs="Open Sans"/>
          <w:sz w:val="24"/>
        </w:rPr>
      </w:pPr>
      <w:r>
        <w:rPr>
          <w:rFonts w:ascii="Open Sans" w:hAnsi="Open Sans" w:cs="Open Sans"/>
          <w:sz w:val="24"/>
        </w:rPr>
        <w:t>The toolkit is compatible with all major browsers on PC and Mac</w:t>
      </w:r>
      <w:r w:rsidR="0095462E">
        <w:rPr>
          <w:rFonts w:ascii="Open Sans" w:hAnsi="Open Sans" w:cs="Open Sans"/>
          <w:sz w:val="24"/>
        </w:rPr>
        <w:t>.</w:t>
      </w:r>
      <w:r>
        <w:rPr>
          <w:rFonts w:ascii="Open Sans" w:hAnsi="Open Sans" w:cs="Open Sans"/>
          <w:sz w:val="24"/>
        </w:rPr>
        <w:t xml:space="preserve"> </w:t>
      </w:r>
      <w:r w:rsidR="0095462E">
        <w:rPr>
          <w:rFonts w:ascii="Open Sans" w:hAnsi="Open Sans" w:cs="Open Sans"/>
          <w:sz w:val="24"/>
        </w:rPr>
        <w:t>I</w:t>
      </w:r>
      <w:r>
        <w:rPr>
          <w:rFonts w:ascii="Open Sans" w:hAnsi="Open Sans" w:cs="Open Sans"/>
          <w:sz w:val="24"/>
        </w:rPr>
        <w:t>t will also display on tablets and smart phones on Android and iOS.</w:t>
      </w:r>
    </w:p>
    <w:p w:rsidR="00872F40" w:rsidRDefault="00872F40" w:rsidP="00BB0B49">
      <w:pPr>
        <w:tabs>
          <w:tab w:val="left" w:pos="3307"/>
        </w:tabs>
        <w:rPr>
          <w:rFonts w:ascii="Open Sans" w:hAnsi="Open Sans" w:cs="Open Sans"/>
          <w:sz w:val="24"/>
        </w:rPr>
      </w:pPr>
    </w:p>
    <w:p w:rsidR="00872F40" w:rsidRDefault="00872F40" w:rsidP="00BB0B49">
      <w:pPr>
        <w:tabs>
          <w:tab w:val="left" w:pos="3307"/>
        </w:tabs>
        <w:rPr>
          <w:rFonts w:ascii="Open Sans" w:hAnsi="Open Sans" w:cs="Open Sans"/>
          <w:sz w:val="24"/>
        </w:rPr>
      </w:pPr>
      <w:r>
        <w:rPr>
          <w:rFonts w:ascii="Open Sans" w:hAnsi="Open Sans" w:cs="Open Sans"/>
          <w:sz w:val="24"/>
        </w:rPr>
        <w:t>The toolkit is also available as a PDF for use with screen readers.</w:t>
      </w:r>
    </w:p>
    <w:p w:rsidR="00872F40" w:rsidRDefault="00872F40" w:rsidP="00BB0B49">
      <w:pPr>
        <w:tabs>
          <w:tab w:val="left" w:pos="3307"/>
        </w:tabs>
        <w:rPr>
          <w:rFonts w:ascii="Open Sans" w:hAnsi="Open Sans" w:cs="Open Sans"/>
          <w:sz w:val="24"/>
        </w:rPr>
      </w:pPr>
    </w:p>
    <w:p w:rsidR="00DB6147" w:rsidRDefault="0095462E" w:rsidP="00BB0B49">
      <w:pPr>
        <w:tabs>
          <w:tab w:val="left" w:pos="3307"/>
        </w:tabs>
        <w:rPr>
          <w:rFonts w:ascii="Open Sans" w:hAnsi="Open Sans" w:cs="Open Sans"/>
          <w:sz w:val="24"/>
        </w:rPr>
      </w:pPr>
      <w:r>
        <w:rPr>
          <w:rFonts w:ascii="Open Sans" w:hAnsi="Open Sans" w:cs="Open Sans"/>
          <w:sz w:val="24"/>
        </w:rPr>
        <w:t>We have produced the</w:t>
      </w:r>
      <w:r w:rsidR="00DB6147">
        <w:rPr>
          <w:rFonts w:ascii="Open Sans" w:hAnsi="Open Sans" w:cs="Open Sans"/>
          <w:sz w:val="24"/>
        </w:rPr>
        <w:t xml:space="preserve"> toolkit </w:t>
      </w:r>
      <w:r w:rsidR="00872F40">
        <w:rPr>
          <w:rFonts w:ascii="Open Sans" w:hAnsi="Open Sans" w:cs="Open Sans"/>
          <w:sz w:val="24"/>
        </w:rPr>
        <w:t>to be</w:t>
      </w:r>
      <w:r w:rsidR="00DB6147">
        <w:rPr>
          <w:rFonts w:ascii="Open Sans" w:hAnsi="Open Sans" w:cs="Open Sans"/>
          <w:sz w:val="24"/>
        </w:rPr>
        <w:t xml:space="preserve"> intuitive and easy to use. Below is a brief guide on navigating the toolkit.</w:t>
      </w:r>
    </w:p>
    <w:p w:rsidR="00DB6147" w:rsidRDefault="00DB6147" w:rsidP="00BB0B49">
      <w:pPr>
        <w:tabs>
          <w:tab w:val="left" w:pos="3307"/>
        </w:tabs>
        <w:rPr>
          <w:rFonts w:ascii="Open Sans" w:hAnsi="Open Sans" w:cs="Open Sans"/>
          <w:sz w:val="24"/>
        </w:rPr>
      </w:pPr>
    </w:p>
    <w:p w:rsidR="00692014" w:rsidRDefault="00692014" w:rsidP="00BB0B49">
      <w:pPr>
        <w:tabs>
          <w:tab w:val="left" w:pos="3307"/>
        </w:tabs>
        <w:rPr>
          <w:rFonts w:ascii="Open Sans" w:hAnsi="Open Sans" w:cs="Open Sans"/>
          <w:sz w:val="24"/>
        </w:rPr>
      </w:pPr>
      <w:r>
        <w:rPr>
          <w:rFonts w:ascii="Open Sans" w:hAnsi="Open Sans" w:cs="Open Sans"/>
          <w:sz w:val="24"/>
        </w:rPr>
        <w:t>From the front page</w:t>
      </w:r>
      <w:r w:rsidR="003C2A6A">
        <w:rPr>
          <w:rFonts w:ascii="Open Sans" w:hAnsi="Open Sans" w:cs="Open Sans"/>
          <w:sz w:val="24"/>
        </w:rPr>
        <w:t xml:space="preserve"> of the toolkit</w:t>
      </w:r>
      <w:r>
        <w:rPr>
          <w:rFonts w:ascii="Open Sans" w:hAnsi="Open Sans" w:cs="Open Sans"/>
          <w:sz w:val="24"/>
        </w:rPr>
        <w:t>, click Launch Toolkit to open the resource.</w:t>
      </w:r>
    </w:p>
    <w:p w:rsidR="003C2A6A" w:rsidRDefault="00692014" w:rsidP="00BB0B49">
      <w:pPr>
        <w:tabs>
          <w:tab w:val="left" w:pos="3307"/>
        </w:tabs>
        <w:rPr>
          <w:rFonts w:ascii="Open Sans" w:hAnsi="Open Sans" w:cs="Open Sans"/>
          <w:sz w:val="24"/>
        </w:rPr>
      </w:pPr>
      <w:r>
        <w:rPr>
          <w:rFonts w:ascii="Open Sans" w:hAnsi="Open Sans" w:cs="Open Sans"/>
          <w:sz w:val="24"/>
        </w:rPr>
        <w:t>If you wish, you can browse the available sections from the front page too.</w:t>
      </w:r>
    </w:p>
    <w:p w:rsidR="00692014" w:rsidRDefault="00692014" w:rsidP="00692014">
      <w:pPr>
        <w:tabs>
          <w:tab w:val="left" w:pos="3307"/>
        </w:tabs>
        <w:jc w:val="center"/>
        <w:rPr>
          <w:rFonts w:ascii="Open Sans" w:hAnsi="Open Sans" w:cs="Open Sans"/>
          <w:sz w:val="24"/>
        </w:rPr>
      </w:pPr>
      <w:r w:rsidRPr="00692014">
        <w:rPr>
          <w:rFonts w:ascii="Open Sans" w:hAnsi="Open Sans" w:cs="Open Sans"/>
          <w:noProof/>
          <w:sz w:val="24"/>
          <w:lang w:eastAsia="en-GB"/>
        </w:rPr>
        <w:drawing>
          <wp:inline distT="0" distB="0" distL="0" distR="0" wp14:anchorId="5869AEB7" wp14:editId="19120968">
            <wp:extent cx="5731510" cy="4144010"/>
            <wp:effectExtent l="152400" t="114300" r="135890" b="1803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4144010"/>
                    </a:xfrm>
                    <a:prstGeom prst="rect">
                      <a:avLst/>
                    </a:prstGeom>
                    <a:effectLst>
                      <a:outerShdw blurRad="152400" dist="38100" dir="8100000" algn="tr" rotWithShape="0">
                        <a:prstClr val="black">
                          <a:alpha val="40000"/>
                        </a:prstClr>
                      </a:outerShdw>
                    </a:effectLst>
                  </pic:spPr>
                </pic:pic>
              </a:graphicData>
            </a:graphic>
          </wp:inline>
        </w:drawing>
      </w:r>
    </w:p>
    <w:p w:rsidR="00692014" w:rsidRDefault="003C2A6A" w:rsidP="00872F40">
      <w:pPr>
        <w:rPr>
          <w:rFonts w:ascii="Open Sans" w:hAnsi="Open Sans" w:cs="Open Sans"/>
          <w:sz w:val="24"/>
        </w:rPr>
      </w:pPr>
      <w:r>
        <w:rPr>
          <w:rFonts w:ascii="Open Sans" w:hAnsi="Open Sans" w:cs="Open Sans"/>
          <w:sz w:val="24"/>
        </w:rPr>
        <w:br w:type="page"/>
      </w:r>
      <w:r w:rsidR="00692014">
        <w:rPr>
          <w:rFonts w:ascii="Open Sans" w:hAnsi="Open Sans" w:cs="Open Sans"/>
          <w:sz w:val="24"/>
        </w:rPr>
        <w:lastRenderedPageBreak/>
        <w:t>Once you click Launch Toolkit, you will see the first page of the toolkit</w:t>
      </w:r>
      <w:r>
        <w:rPr>
          <w:rFonts w:ascii="Open Sans" w:hAnsi="Open Sans" w:cs="Open Sans"/>
          <w:sz w:val="24"/>
        </w:rPr>
        <w:t>.</w:t>
      </w:r>
    </w:p>
    <w:p w:rsidR="003C2A6A" w:rsidRDefault="003C2A6A" w:rsidP="00692014">
      <w:pPr>
        <w:tabs>
          <w:tab w:val="left" w:pos="3307"/>
        </w:tabs>
        <w:rPr>
          <w:rFonts w:ascii="Open Sans" w:hAnsi="Open Sans" w:cs="Open Sans"/>
          <w:sz w:val="24"/>
        </w:rPr>
      </w:pPr>
    </w:p>
    <w:p w:rsidR="00692014" w:rsidRDefault="00692014" w:rsidP="003C2A6A">
      <w:pPr>
        <w:tabs>
          <w:tab w:val="left" w:pos="3307"/>
        </w:tabs>
        <w:jc w:val="center"/>
        <w:rPr>
          <w:rFonts w:ascii="Open Sans" w:hAnsi="Open Sans" w:cs="Open Sans"/>
          <w:sz w:val="24"/>
        </w:rPr>
      </w:pPr>
      <w:r w:rsidRPr="00692014">
        <w:rPr>
          <w:rFonts w:ascii="Open Sans" w:hAnsi="Open Sans" w:cs="Open Sans"/>
          <w:noProof/>
          <w:sz w:val="24"/>
          <w:lang w:eastAsia="en-GB"/>
        </w:rPr>
        <w:drawing>
          <wp:inline distT="0" distB="0" distL="0" distR="0" wp14:anchorId="5B475B0E" wp14:editId="55C35285">
            <wp:extent cx="5731510" cy="3198495"/>
            <wp:effectExtent l="152400" t="114300" r="135890" b="1733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198495"/>
                    </a:xfrm>
                    <a:prstGeom prst="rect">
                      <a:avLst/>
                    </a:prstGeom>
                    <a:effectLst>
                      <a:outerShdw blurRad="152400" dist="38100" dir="8100000" algn="tr" rotWithShape="0">
                        <a:prstClr val="black">
                          <a:alpha val="40000"/>
                        </a:prstClr>
                      </a:outerShdw>
                    </a:effectLst>
                  </pic:spPr>
                </pic:pic>
              </a:graphicData>
            </a:graphic>
          </wp:inline>
        </w:drawing>
      </w:r>
    </w:p>
    <w:p w:rsidR="003C2A6A" w:rsidRDefault="003C2A6A" w:rsidP="003C2A6A">
      <w:pPr>
        <w:tabs>
          <w:tab w:val="left" w:pos="3307"/>
        </w:tabs>
        <w:rPr>
          <w:rFonts w:ascii="Open Sans" w:hAnsi="Open Sans" w:cs="Open Sans"/>
          <w:sz w:val="24"/>
        </w:rPr>
      </w:pPr>
    </w:p>
    <w:p w:rsidR="003C2A6A" w:rsidRDefault="003C2A6A" w:rsidP="003C2A6A">
      <w:pPr>
        <w:tabs>
          <w:tab w:val="left" w:pos="3307"/>
        </w:tabs>
        <w:rPr>
          <w:rFonts w:ascii="Open Sans" w:hAnsi="Open Sans" w:cs="Open Sans"/>
          <w:sz w:val="24"/>
        </w:rPr>
      </w:pPr>
      <w:r>
        <w:rPr>
          <w:rFonts w:ascii="Open Sans" w:hAnsi="Open Sans" w:cs="Open Sans"/>
          <w:sz w:val="24"/>
        </w:rPr>
        <w:t>Again, you can navigate to sections by using the menu down the left side. This menu may be collapsed by default. If so, click the three horizontal lines in the top left to expand the menu.</w:t>
      </w:r>
    </w:p>
    <w:p w:rsidR="003C2A6A" w:rsidRDefault="003C2A6A" w:rsidP="003C2A6A">
      <w:pPr>
        <w:tabs>
          <w:tab w:val="left" w:pos="3307"/>
        </w:tabs>
        <w:rPr>
          <w:rFonts w:ascii="Open Sans" w:hAnsi="Open Sans" w:cs="Open Sans"/>
          <w:sz w:val="24"/>
        </w:rPr>
      </w:pPr>
      <w:r>
        <w:rPr>
          <w:rFonts w:ascii="Open Sans" w:hAnsi="Open Sans" w:cs="Open Sans"/>
          <w:sz w:val="24"/>
        </w:rPr>
        <w:t>You can also search the toolkit for key words you wish to find. Click the magnifying glass in the top left corner and type in your search terms. The toolkit will return a list of sections where your key word has been found as you can see in the screen shots below.</w:t>
      </w:r>
    </w:p>
    <w:p w:rsidR="003C2A6A" w:rsidRDefault="003C2A6A" w:rsidP="003C2A6A">
      <w:pPr>
        <w:tabs>
          <w:tab w:val="left" w:pos="3307"/>
        </w:tabs>
        <w:rPr>
          <w:rFonts w:ascii="Open Sans" w:hAnsi="Open Sans" w:cs="Open Sans"/>
          <w:sz w:val="24"/>
        </w:rPr>
      </w:pPr>
    </w:p>
    <w:p w:rsidR="003C2A6A" w:rsidRDefault="003C2A6A" w:rsidP="003C2A6A">
      <w:pPr>
        <w:tabs>
          <w:tab w:val="left" w:pos="3307"/>
        </w:tabs>
        <w:jc w:val="center"/>
        <w:rPr>
          <w:rFonts w:ascii="Open Sans" w:hAnsi="Open Sans" w:cs="Open Sans"/>
          <w:sz w:val="24"/>
        </w:rPr>
      </w:pPr>
      <w:r w:rsidRPr="003C2A6A">
        <w:rPr>
          <w:rFonts w:ascii="Open Sans" w:hAnsi="Open Sans" w:cs="Open Sans"/>
          <w:noProof/>
          <w:sz w:val="24"/>
          <w:lang w:eastAsia="en-GB"/>
        </w:rPr>
        <w:drawing>
          <wp:inline distT="0" distB="0" distL="0" distR="0" wp14:anchorId="339A3DD2" wp14:editId="7854F9EA">
            <wp:extent cx="5731510" cy="1613535"/>
            <wp:effectExtent l="152400" t="114300" r="135890" b="1771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1613535"/>
                    </a:xfrm>
                    <a:prstGeom prst="rect">
                      <a:avLst/>
                    </a:prstGeom>
                    <a:effectLst>
                      <a:outerShdw blurRad="152400" dist="38100" dir="8100000" algn="tr" rotWithShape="0">
                        <a:prstClr val="black">
                          <a:alpha val="40000"/>
                        </a:prstClr>
                      </a:outerShdw>
                    </a:effectLst>
                  </pic:spPr>
                </pic:pic>
              </a:graphicData>
            </a:graphic>
          </wp:inline>
        </w:drawing>
      </w:r>
    </w:p>
    <w:p w:rsidR="003C2A6A" w:rsidRDefault="003C2A6A" w:rsidP="003C2A6A">
      <w:pPr>
        <w:tabs>
          <w:tab w:val="left" w:pos="3307"/>
        </w:tabs>
        <w:jc w:val="center"/>
        <w:rPr>
          <w:rFonts w:ascii="Open Sans" w:hAnsi="Open Sans" w:cs="Open Sans"/>
          <w:sz w:val="24"/>
        </w:rPr>
      </w:pPr>
      <w:r w:rsidRPr="003C2A6A">
        <w:rPr>
          <w:rFonts w:ascii="Open Sans" w:hAnsi="Open Sans" w:cs="Open Sans"/>
          <w:noProof/>
          <w:sz w:val="24"/>
          <w:lang w:eastAsia="en-GB"/>
        </w:rPr>
        <w:lastRenderedPageBreak/>
        <w:drawing>
          <wp:inline distT="0" distB="0" distL="0" distR="0" wp14:anchorId="0AEFCFD2" wp14:editId="2D8E09AB">
            <wp:extent cx="5731510" cy="3770630"/>
            <wp:effectExtent l="152400" t="114300" r="135890" b="1727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770630"/>
                    </a:xfrm>
                    <a:prstGeom prst="rect">
                      <a:avLst/>
                    </a:prstGeom>
                    <a:effectLst>
                      <a:outerShdw blurRad="152400" dist="38100" dir="8100000" algn="tr" rotWithShape="0">
                        <a:prstClr val="black">
                          <a:alpha val="40000"/>
                        </a:prstClr>
                      </a:outerShdw>
                    </a:effectLst>
                  </pic:spPr>
                </pic:pic>
              </a:graphicData>
            </a:graphic>
          </wp:inline>
        </w:drawing>
      </w:r>
    </w:p>
    <w:p w:rsidR="003C2A6A" w:rsidRDefault="003C2A6A" w:rsidP="003C2A6A">
      <w:pPr>
        <w:tabs>
          <w:tab w:val="left" w:pos="3307"/>
        </w:tabs>
        <w:rPr>
          <w:rFonts w:ascii="Open Sans" w:hAnsi="Open Sans" w:cs="Open Sans"/>
          <w:sz w:val="24"/>
        </w:rPr>
      </w:pPr>
      <w:r>
        <w:rPr>
          <w:rFonts w:ascii="Open Sans" w:hAnsi="Open Sans" w:cs="Open Sans"/>
          <w:sz w:val="24"/>
        </w:rPr>
        <w:t>As you progress through the toolkit, the completion tracking circle icon will fill.</w:t>
      </w:r>
    </w:p>
    <w:p w:rsidR="003C2A6A" w:rsidRDefault="003C2A6A" w:rsidP="003C2A6A">
      <w:pPr>
        <w:tabs>
          <w:tab w:val="left" w:pos="3307"/>
        </w:tabs>
        <w:rPr>
          <w:rFonts w:ascii="Open Sans" w:hAnsi="Open Sans" w:cs="Open Sans"/>
          <w:sz w:val="24"/>
        </w:rPr>
      </w:pPr>
    </w:p>
    <w:p w:rsidR="003C2A6A" w:rsidRDefault="003C2A6A" w:rsidP="003C2A6A">
      <w:pPr>
        <w:tabs>
          <w:tab w:val="left" w:pos="3307"/>
        </w:tabs>
        <w:jc w:val="center"/>
        <w:rPr>
          <w:rFonts w:ascii="Open Sans" w:hAnsi="Open Sans" w:cs="Open Sans"/>
          <w:sz w:val="24"/>
        </w:rPr>
      </w:pPr>
      <w:r w:rsidRPr="003C2A6A">
        <w:rPr>
          <w:rFonts w:ascii="Open Sans" w:hAnsi="Open Sans" w:cs="Open Sans"/>
          <w:noProof/>
          <w:sz w:val="24"/>
          <w:lang w:eastAsia="en-GB"/>
        </w:rPr>
        <w:drawing>
          <wp:inline distT="0" distB="0" distL="0" distR="0" wp14:anchorId="2F95E25A" wp14:editId="6E498B2D">
            <wp:extent cx="1836382" cy="3903133"/>
            <wp:effectExtent l="152400" t="114300" r="126365" b="1739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68153" cy="3970661"/>
                    </a:xfrm>
                    <a:prstGeom prst="rect">
                      <a:avLst/>
                    </a:prstGeom>
                    <a:effectLst>
                      <a:outerShdw blurRad="152400" dist="38100" dir="8100000" algn="tr" rotWithShape="0">
                        <a:prstClr val="black">
                          <a:alpha val="40000"/>
                        </a:prstClr>
                      </a:outerShdw>
                    </a:effectLst>
                  </pic:spPr>
                </pic:pic>
              </a:graphicData>
            </a:graphic>
          </wp:inline>
        </w:drawing>
      </w:r>
    </w:p>
    <w:p w:rsidR="004D2C71" w:rsidRDefault="004D2C71" w:rsidP="004D2C71">
      <w:pPr>
        <w:tabs>
          <w:tab w:val="left" w:pos="3307"/>
        </w:tabs>
        <w:rPr>
          <w:rFonts w:ascii="Open Sans" w:hAnsi="Open Sans" w:cs="Open Sans"/>
          <w:sz w:val="24"/>
        </w:rPr>
      </w:pPr>
      <w:r>
        <w:rPr>
          <w:rFonts w:ascii="Open Sans" w:hAnsi="Open Sans" w:cs="Open Sans"/>
          <w:sz w:val="24"/>
        </w:rPr>
        <w:lastRenderedPageBreak/>
        <w:t>When you reach the end of a topic, if it is part of a section with multiple topics, you will need to click the button with the downward or upward facing arrow depending on if you are navigating forwards or backwards in the toolkit.</w:t>
      </w:r>
    </w:p>
    <w:p w:rsidR="004D2C71" w:rsidRDefault="004D2C71" w:rsidP="004D2C71">
      <w:pPr>
        <w:tabs>
          <w:tab w:val="left" w:pos="3307"/>
        </w:tabs>
        <w:rPr>
          <w:rFonts w:ascii="Open Sans" w:hAnsi="Open Sans" w:cs="Open Sans"/>
          <w:sz w:val="24"/>
        </w:rPr>
      </w:pPr>
    </w:p>
    <w:p w:rsidR="004D2C71" w:rsidRDefault="004D2C71" w:rsidP="004D2C71">
      <w:pPr>
        <w:tabs>
          <w:tab w:val="left" w:pos="3307"/>
        </w:tabs>
        <w:jc w:val="center"/>
        <w:rPr>
          <w:rFonts w:ascii="Open Sans" w:hAnsi="Open Sans" w:cs="Open Sans"/>
          <w:sz w:val="24"/>
        </w:rPr>
      </w:pPr>
      <w:r w:rsidRPr="004D2C71">
        <w:rPr>
          <w:rFonts w:ascii="Open Sans" w:hAnsi="Open Sans" w:cs="Open Sans"/>
          <w:noProof/>
          <w:sz w:val="24"/>
          <w:lang w:eastAsia="en-GB"/>
        </w:rPr>
        <w:drawing>
          <wp:inline distT="0" distB="0" distL="0" distR="0" wp14:anchorId="180714F6" wp14:editId="06E46B1F">
            <wp:extent cx="5731510" cy="2326005"/>
            <wp:effectExtent l="152400" t="114300" r="135890" b="1695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326005"/>
                    </a:xfrm>
                    <a:prstGeom prst="rect">
                      <a:avLst/>
                    </a:prstGeom>
                    <a:effectLst>
                      <a:outerShdw blurRad="152400" dist="38100" dir="8100000" algn="tr" rotWithShape="0">
                        <a:prstClr val="black">
                          <a:alpha val="40000"/>
                        </a:prstClr>
                      </a:outerShdw>
                    </a:effectLst>
                  </pic:spPr>
                </pic:pic>
              </a:graphicData>
            </a:graphic>
          </wp:inline>
        </w:drawing>
      </w:r>
    </w:p>
    <w:p w:rsidR="004D2C71" w:rsidRDefault="00DB6147" w:rsidP="004D2C71">
      <w:pPr>
        <w:tabs>
          <w:tab w:val="left" w:pos="3307"/>
        </w:tabs>
        <w:jc w:val="center"/>
        <w:rPr>
          <w:rFonts w:ascii="Open Sans" w:hAnsi="Open Sans" w:cs="Open Sans"/>
          <w:sz w:val="24"/>
        </w:rPr>
      </w:pPr>
      <w:r w:rsidRPr="00DB6147">
        <w:rPr>
          <w:rFonts w:ascii="Open Sans" w:hAnsi="Open Sans" w:cs="Open Sans"/>
          <w:noProof/>
          <w:sz w:val="24"/>
          <w:lang w:eastAsia="en-GB"/>
        </w:rPr>
        <w:drawing>
          <wp:inline distT="0" distB="0" distL="0" distR="0" wp14:anchorId="0F9C4908" wp14:editId="6429127C">
            <wp:extent cx="5731510" cy="1670050"/>
            <wp:effectExtent l="152400" t="114300" r="135890" b="1778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670050"/>
                    </a:xfrm>
                    <a:prstGeom prst="rect">
                      <a:avLst/>
                    </a:prstGeom>
                    <a:effectLst>
                      <a:outerShdw blurRad="152400" dist="38100" dir="8100000" algn="tr" rotWithShape="0">
                        <a:prstClr val="black">
                          <a:alpha val="40000"/>
                        </a:prstClr>
                      </a:outerShdw>
                    </a:effectLst>
                  </pic:spPr>
                </pic:pic>
              </a:graphicData>
            </a:graphic>
          </wp:inline>
        </w:drawing>
      </w:r>
    </w:p>
    <w:p w:rsidR="00DB6147" w:rsidRDefault="00DB6147" w:rsidP="004156C7">
      <w:pPr>
        <w:tabs>
          <w:tab w:val="left" w:pos="3307"/>
        </w:tabs>
        <w:rPr>
          <w:rFonts w:ascii="Open Sans" w:hAnsi="Open Sans" w:cs="Open Sans"/>
          <w:sz w:val="24"/>
        </w:rPr>
      </w:pPr>
      <w:r>
        <w:rPr>
          <w:rFonts w:ascii="Open Sans" w:hAnsi="Open Sans" w:cs="Open Sans"/>
          <w:sz w:val="24"/>
        </w:rPr>
        <w:t>If you have reached the end of a section, you will need to click the purple button with the name of the next section on it.</w:t>
      </w:r>
    </w:p>
    <w:p w:rsidR="00DB6147" w:rsidRDefault="00DB6147" w:rsidP="004D2C71">
      <w:pPr>
        <w:tabs>
          <w:tab w:val="left" w:pos="3307"/>
        </w:tabs>
        <w:jc w:val="center"/>
        <w:rPr>
          <w:rFonts w:ascii="Open Sans" w:hAnsi="Open Sans" w:cs="Open Sans"/>
          <w:sz w:val="24"/>
        </w:rPr>
      </w:pPr>
      <w:r w:rsidRPr="00DB6147">
        <w:rPr>
          <w:rFonts w:ascii="Open Sans" w:hAnsi="Open Sans" w:cs="Open Sans"/>
          <w:noProof/>
          <w:sz w:val="24"/>
          <w:lang w:eastAsia="en-GB"/>
        </w:rPr>
        <w:drawing>
          <wp:inline distT="0" distB="0" distL="0" distR="0" wp14:anchorId="40696322" wp14:editId="5DAEDDA6">
            <wp:extent cx="5731510" cy="1536065"/>
            <wp:effectExtent l="152400" t="114300" r="135890" b="1784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536065"/>
                    </a:xfrm>
                    <a:prstGeom prst="rect">
                      <a:avLst/>
                    </a:prstGeom>
                    <a:effectLst>
                      <a:outerShdw blurRad="152400" dist="38100" dir="8100000" algn="tr" rotWithShape="0">
                        <a:prstClr val="black">
                          <a:alpha val="40000"/>
                        </a:prstClr>
                      </a:outerShdw>
                    </a:effectLst>
                  </pic:spPr>
                </pic:pic>
              </a:graphicData>
            </a:graphic>
          </wp:inline>
        </w:drawing>
      </w:r>
    </w:p>
    <w:p w:rsidR="004156C7" w:rsidRDefault="004156C7" w:rsidP="004156C7">
      <w:pPr>
        <w:tabs>
          <w:tab w:val="left" w:pos="3307"/>
        </w:tabs>
        <w:rPr>
          <w:rFonts w:ascii="Open Sans" w:hAnsi="Open Sans" w:cs="Open Sans"/>
          <w:sz w:val="24"/>
        </w:rPr>
      </w:pPr>
      <w:r>
        <w:rPr>
          <w:rFonts w:ascii="Open Sans" w:hAnsi="Open Sans" w:cs="Open Sans"/>
          <w:sz w:val="24"/>
        </w:rPr>
        <w:t xml:space="preserve">You will see links out to external content frequently throughout the toolkit. These will open a new window for you to view the website, document or content </w:t>
      </w:r>
      <w:r>
        <w:rPr>
          <w:rFonts w:ascii="Open Sans" w:hAnsi="Open Sans" w:cs="Open Sans"/>
          <w:sz w:val="24"/>
        </w:rPr>
        <w:lastRenderedPageBreak/>
        <w:t>separately. You will need to switch windows back to the toolkit to continue using it.</w:t>
      </w:r>
    </w:p>
    <w:p w:rsidR="004156C7" w:rsidRDefault="004156C7" w:rsidP="004156C7">
      <w:pPr>
        <w:tabs>
          <w:tab w:val="left" w:pos="3307"/>
        </w:tabs>
        <w:rPr>
          <w:rFonts w:ascii="Open Sans" w:hAnsi="Open Sans" w:cs="Open Sans"/>
          <w:sz w:val="24"/>
        </w:rPr>
      </w:pPr>
      <w:r w:rsidRPr="004156C7">
        <w:rPr>
          <w:rFonts w:ascii="Open Sans" w:hAnsi="Open Sans" w:cs="Open Sans"/>
          <w:noProof/>
          <w:sz w:val="24"/>
          <w:lang w:eastAsia="en-GB"/>
        </w:rPr>
        <w:drawing>
          <wp:inline distT="0" distB="0" distL="0" distR="0" wp14:anchorId="7294C936" wp14:editId="4E2C4CB5">
            <wp:extent cx="5731510" cy="5073015"/>
            <wp:effectExtent l="152400" t="114300" r="135890" b="1657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5073015"/>
                    </a:xfrm>
                    <a:prstGeom prst="rect">
                      <a:avLst/>
                    </a:prstGeom>
                    <a:effectLst>
                      <a:outerShdw blurRad="152400" dist="38100" dir="8100000" algn="tr" rotWithShape="0">
                        <a:prstClr val="black">
                          <a:alpha val="40000"/>
                        </a:prstClr>
                      </a:outerShdw>
                    </a:effectLst>
                  </pic:spPr>
                </pic:pic>
              </a:graphicData>
            </a:graphic>
          </wp:inline>
        </w:drawing>
      </w:r>
    </w:p>
    <w:p w:rsidR="004156C7" w:rsidRDefault="004156C7" w:rsidP="004156C7">
      <w:pPr>
        <w:tabs>
          <w:tab w:val="left" w:pos="3307"/>
        </w:tabs>
        <w:rPr>
          <w:rFonts w:ascii="Open Sans" w:hAnsi="Open Sans" w:cs="Open Sans"/>
          <w:sz w:val="24"/>
        </w:rPr>
      </w:pPr>
    </w:p>
    <w:p w:rsidR="004156C7" w:rsidRDefault="004156C7" w:rsidP="004156C7">
      <w:pPr>
        <w:tabs>
          <w:tab w:val="left" w:pos="3307"/>
        </w:tabs>
        <w:rPr>
          <w:rFonts w:ascii="Open Sans" w:hAnsi="Open Sans" w:cs="Open Sans"/>
          <w:sz w:val="24"/>
        </w:rPr>
      </w:pPr>
      <w:r>
        <w:rPr>
          <w:rFonts w:ascii="Open Sans" w:hAnsi="Open Sans" w:cs="Open Sans"/>
          <w:sz w:val="24"/>
        </w:rPr>
        <w:t>There are also internal links in the toolkit. These will take you to a different section of the toolkit to see related content and will not open a new window.</w:t>
      </w:r>
    </w:p>
    <w:p w:rsidR="004156C7" w:rsidRDefault="004156C7" w:rsidP="004156C7">
      <w:pPr>
        <w:tabs>
          <w:tab w:val="left" w:pos="3307"/>
        </w:tabs>
        <w:rPr>
          <w:rFonts w:ascii="Open Sans" w:hAnsi="Open Sans" w:cs="Open Sans"/>
          <w:sz w:val="24"/>
        </w:rPr>
      </w:pPr>
    </w:p>
    <w:p w:rsidR="004156C7" w:rsidRDefault="00872F40" w:rsidP="004156C7">
      <w:pPr>
        <w:tabs>
          <w:tab w:val="left" w:pos="3307"/>
        </w:tabs>
        <w:rPr>
          <w:rFonts w:ascii="Open Sans" w:hAnsi="Open Sans" w:cs="Open Sans"/>
          <w:sz w:val="24"/>
        </w:rPr>
      </w:pPr>
      <w:r>
        <w:rPr>
          <w:rFonts w:ascii="Open Sans" w:hAnsi="Open Sans" w:cs="Open Sans"/>
          <w:sz w:val="24"/>
        </w:rPr>
        <w:t>There are a variety of assets and different methods of displaying information used in the toolkit. They are all designed to be intuitive to use.</w:t>
      </w:r>
    </w:p>
    <w:p w:rsidR="00872F40" w:rsidRDefault="00872F40" w:rsidP="004156C7">
      <w:pPr>
        <w:tabs>
          <w:tab w:val="left" w:pos="3307"/>
        </w:tabs>
        <w:rPr>
          <w:rFonts w:ascii="Open Sans" w:hAnsi="Open Sans" w:cs="Open Sans"/>
          <w:sz w:val="24"/>
        </w:rPr>
      </w:pPr>
      <w:r>
        <w:rPr>
          <w:rFonts w:ascii="Open Sans" w:hAnsi="Open Sans" w:cs="Open Sans"/>
          <w:sz w:val="24"/>
        </w:rPr>
        <w:t>Once you have finished using the toolkit, simply close the window using the x button.</w:t>
      </w:r>
      <w:bookmarkStart w:id="0" w:name="_GoBack"/>
      <w:bookmarkEnd w:id="0"/>
    </w:p>
    <w:p w:rsidR="00D6094F" w:rsidRDefault="00D6094F" w:rsidP="004156C7">
      <w:pPr>
        <w:tabs>
          <w:tab w:val="left" w:pos="3307"/>
        </w:tabs>
        <w:rPr>
          <w:rFonts w:ascii="Open Sans" w:hAnsi="Open Sans" w:cs="Open Sans"/>
          <w:sz w:val="24"/>
        </w:rPr>
      </w:pPr>
    </w:p>
    <w:p w:rsidR="00D6094F" w:rsidRPr="00D6094F" w:rsidRDefault="00D6094F" w:rsidP="00D6094F">
      <w:pPr>
        <w:tabs>
          <w:tab w:val="left" w:pos="3307"/>
        </w:tabs>
        <w:jc w:val="center"/>
        <w:rPr>
          <w:rFonts w:ascii="Open Sans" w:hAnsi="Open Sans" w:cs="Open Sans"/>
          <w:b/>
          <w:i/>
          <w:sz w:val="24"/>
        </w:rPr>
      </w:pPr>
      <w:r w:rsidRPr="00D6094F">
        <w:rPr>
          <w:rFonts w:ascii="Open Sans" w:hAnsi="Open Sans" w:cs="Open Sans"/>
          <w:b/>
          <w:i/>
          <w:sz w:val="24"/>
        </w:rPr>
        <w:t xml:space="preserve">For any help and support with the toolkit please contact </w:t>
      </w:r>
      <w:hyperlink r:id="rId14" w:history="1">
        <w:r w:rsidRPr="00D6094F">
          <w:rPr>
            <w:rStyle w:val="Hyperlink"/>
            <w:rFonts w:ascii="Open Sans" w:hAnsi="Open Sans" w:cs="Open Sans"/>
            <w:b/>
            <w:i/>
            <w:sz w:val="24"/>
          </w:rPr>
          <w:t>staffLD@manchester.ac.uk</w:t>
        </w:r>
      </w:hyperlink>
    </w:p>
    <w:sectPr w:rsidR="00D6094F" w:rsidRPr="00D6094F" w:rsidSect="003C2A6A">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49"/>
    <w:rsid w:val="003C2A6A"/>
    <w:rsid w:val="004156C7"/>
    <w:rsid w:val="004D2C71"/>
    <w:rsid w:val="005A3A54"/>
    <w:rsid w:val="006526DB"/>
    <w:rsid w:val="00692014"/>
    <w:rsid w:val="00872F40"/>
    <w:rsid w:val="0095462E"/>
    <w:rsid w:val="00BB0B49"/>
    <w:rsid w:val="00D6094F"/>
    <w:rsid w:val="00DB6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EFE5"/>
  <w15:chartTrackingRefBased/>
  <w15:docId w15:val="{271F396E-7253-43AC-8E10-642AFA3E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09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mailto:staffLD@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Slater</dc:creator>
  <cp:keywords/>
  <dc:description/>
  <cp:lastModifiedBy>Tim Slater</cp:lastModifiedBy>
  <cp:revision>5</cp:revision>
  <dcterms:created xsi:type="dcterms:W3CDTF">2019-12-20T09:38:00Z</dcterms:created>
  <dcterms:modified xsi:type="dcterms:W3CDTF">2020-01-07T08:59:00Z</dcterms:modified>
</cp:coreProperties>
</file>