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768" w:rsidRDefault="00D3544F" w:rsidP="00730768">
      <w:pPr>
        <w:pStyle w:val="Title"/>
      </w:pPr>
      <w:bookmarkStart w:id="0" w:name="_GoBack"/>
      <w:bookmarkEnd w:id="0"/>
      <w:r>
        <w:t>“</w:t>
      </w:r>
      <w:r w:rsidR="00730768">
        <w:t xml:space="preserve">FT </w:t>
      </w:r>
      <w:r w:rsidR="007C1A95">
        <w:t>50</w:t>
      </w:r>
      <w:r>
        <w:t>”</w:t>
      </w:r>
      <w:r w:rsidR="00730768">
        <w:t xml:space="preserve"> list at AMBS</w:t>
      </w:r>
      <w:r w:rsidR="001707CF">
        <w:t xml:space="preserve"> – Recognition award</w:t>
      </w:r>
    </w:p>
    <w:p w:rsidR="007C1A95" w:rsidRDefault="007C1A95" w:rsidP="00D3544F"/>
    <w:p w:rsidR="00D3544F" w:rsidRDefault="009F31C6" w:rsidP="00D3544F">
      <w:r>
        <w:t>The AMBS School Policy and Resources Committee (</w:t>
      </w:r>
      <w:r w:rsidR="00D3544F">
        <w:t>SPRC</w:t>
      </w:r>
      <w:r>
        <w:t xml:space="preserve">), in its </w:t>
      </w:r>
      <w:r w:rsidR="00D3544F">
        <w:t>December 2015 meeting</w:t>
      </w:r>
      <w:r>
        <w:t xml:space="preserve">, </w:t>
      </w:r>
      <w:r w:rsidR="00D3544F">
        <w:t xml:space="preserve">agreed that £1000 will be paid into the Reserve Account of staff who publish in FT45 journals. This is </w:t>
      </w:r>
      <w:r>
        <w:t xml:space="preserve">in </w:t>
      </w:r>
      <w:r w:rsidRPr="0001513D">
        <w:rPr>
          <w:i/>
        </w:rPr>
        <w:t>recognition</w:t>
      </w:r>
      <w:r>
        <w:t xml:space="preserve"> of the extraordinary achievement in targeting and succeeding in publishing work in </w:t>
      </w:r>
      <w:r w:rsidR="00BB5146">
        <w:t xml:space="preserve">those </w:t>
      </w:r>
      <w:r>
        <w:t>journals which are recognised in the FT business school ranking. T</w:t>
      </w:r>
      <w:r w:rsidR="00BB5146">
        <w:t xml:space="preserve">he </w:t>
      </w:r>
      <w:r w:rsidR="00BB5146" w:rsidRPr="0001513D">
        <w:rPr>
          <w:i/>
        </w:rPr>
        <w:t>recognition award</w:t>
      </w:r>
      <w:r w:rsidR="00BB5146">
        <w:t xml:space="preserve"> is</w:t>
      </w:r>
      <w:r>
        <w:t xml:space="preserve"> </w:t>
      </w:r>
      <w:r w:rsidR="00D3544F">
        <w:t xml:space="preserve">going to be on a trial basis for 3 years from January 2016, </w:t>
      </w:r>
      <w:r w:rsidR="00BB5146">
        <w:t>and then</w:t>
      </w:r>
      <w:r w:rsidR="00D3544F">
        <w:t xml:space="preserve"> </w:t>
      </w:r>
      <w:r w:rsidR="00BB5146">
        <w:t xml:space="preserve">SPRC will re-evaluate this policy. Funds are available when the paper appears in print and for AMBS co-authored work, the £1000 will be paid for up to three co-authors each. </w:t>
      </w:r>
    </w:p>
    <w:p w:rsidR="00D3544F" w:rsidRDefault="00D3544F" w:rsidP="00D3544F"/>
    <w:p w:rsidR="00D3544F" w:rsidRDefault="00D3544F" w:rsidP="00D3544F">
      <w:r>
        <w:t>The l</w:t>
      </w:r>
      <w:r w:rsidR="00C63A2C">
        <w:t>ist comprises of a selection of journals with grade 4*,4, and 3 in ABS2015. Grade 3 journals are a selection of impactful journals, specifically with reference to managerial audiences.</w:t>
      </w:r>
    </w:p>
    <w:p w:rsidR="001707CF" w:rsidRDefault="001707CF" w:rsidP="00D3544F"/>
    <w:p w:rsidR="001707CF" w:rsidRDefault="001707CF" w:rsidP="001707CF">
      <w:r>
        <w:t>The FT45 list has now been updated to FT50. In the October 2016 meeting of SPRC it was decided to recognise publication in both FT45 and FT50 journals and award £1K.</w:t>
      </w:r>
    </w:p>
    <w:p w:rsidR="00801FE8" w:rsidRDefault="00801FE8" w:rsidP="001707CF"/>
    <w:p w:rsidR="001707CF" w:rsidRDefault="00801FE8" w:rsidP="001707CF">
      <w:r w:rsidRPr="00801FE8">
        <w:rPr>
          <w:highlight w:val="yellow"/>
        </w:rPr>
        <w:t>In recognition of the proposed REF 2021 rules that only a DOI is needed to qualify an output for submission, it is proposed that the rules are revised as follows:</w:t>
      </w:r>
    </w:p>
    <w:p w:rsidR="001707CF" w:rsidRPr="00D3544F" w:rsidRDefault="001707CF" w:rsidP="001707CF">
      <w:pPr>
        <w:pStyle w:val="Heading1"/>
      </w:pPr>
      <w:r>
        <w:t xml:space="preserve">Key </w:t>
      </w:r>
      <w:r w:rsidR="005F6107">
        <w:t>points</w:t>
      </w:r>
      <w:r>
        <w:t xml:space="preserve"> </w:t>
      </w:r>
    </w:p>
    <w:p w:rsidR="001707CF" w:rsidRDefault="001707CF" w:rsidP="001707CF">
      <w:pPr>
        <w:pStyle w:val="ListParagraph"/>
        <w:numPr>
          <w:ilvl w:val="0"/>
          <w:numId w:val="11"/>
        </w:numPr>
      </w:pPr>
      <w:r>
        <w:t>The FT50 award is a recognition award rather than a financial reward. To this end, it will be paid via internal transfer to the reserve account</w:t>
      </w:r>
      <w:r w:rsidR="0001513D">
        <w:t>. It will not be paid out in cash (taxable income).</w:t>
      </w:r>
      <w:r w:rsidR="0001513D">
        <w:rPr>
          <w:rStyle w:val="FootnoteReference"/>
        </w:rPr>
        <w:footnoteReference w:id="1"/>
      </w:r>
      <w:r w:rsidR="0001513D">
        <w:t xml:space="preserve"> </w:t>
      </w:r>
      <w:r>
        <w:t xml:space="preserve"> </w:t>
      </w:r>
    </w:p>
    <w:p w:rsidR="001707CF" w:rsidRDefault="0001513D" w:rsidP="001707CF">
      <w:pPr>
        <w:pStyle w:val="ListParagraph"/>
        <w:numPr>
          <w:ilvl w:val="0"/>
          <w:numId w:val="11"/>
        </w:numPr>
      </w:pPr>
      <w:r>
        <w:t>The internal transfer of funds will be facilitated by the research hub manager (</w:t>
      </w:r>
      <w:r w:rsidR="00C454F4">
        <w:t>contact: Kellie.</w:t>
      </w:r>
      <w:r>
        <w:t>Gallagher</w:t>
      </w:r>
      <w:r w:rsidR="00C454F4">
        <w:t>@manchester.ac.uk</w:t>
      </w:r>
      <w:r>
        <w:t xml:space="preserve">) who liaises with the AMBS finance team. </w:t>
      </w:r>
    </w:p>
    <w:p w:rsidR="00C454F4" w:rsidRDefault="00C454F4" w:rsidP="001707CF">
      <w:pPr>
        <w:pStyle w:val="ListParagraph"/>
        <w:numPr>
          <w:ilvl w:val="0"/>
          <w:numId w:val="11"/>
        </w:numPr>
      </w:pPr>
      <w:r>
        <w:t xml:space="preserve">When requesting payment into your reserve account, send an email to </w:t>
      </w:r>
      <w:hyperlink r:id="rId8" w:history="1">
        <w:r w:rsidRPr="00782396">
          <w:rPr>
            <w:rStyle w:val="Hyperlink"/>
          </w:rPr>
          <w:t>Kellie.Gallagher@manchester.ac.uk</w:t>
        </w:r>
      </w:hyperlink>
      <w:r>
        <w:t xml:space="preserve"> attaching the PDF version of your journal article. </w:t>
      </w:r>
    </w:p>
    <w:p w:rsidR="00801FE8" w:rsidRDefault="00801FE8" w:rsidP="00C454F4">
      <w:pPr>
        <w:pStyle w:val="ListParagraph"/>
        <w:numPr>
          <w:ilvl w:val="1"/>
          <w:numId w:val="11"/>
        </w:numPr>
      </w:pPr>
      <w:r>
        <w:t>The article must have a DOI and be published on the publisher’s (equivalent of an) online first repository.</w:t>
      </w:r>
    </w:p>
    <w:p w:rsidR="00C454F4" w:rsidRDefault="00C454F4" w:rsidP="00C454F4">
      <w:pPr>
        <w:pStyle w:val="ListParagraph"/>
        <w:numPr>
          <w:ilvl w:val="0"/>
          <w:numId w:val="11"/>
        </w:numPr>
      </w:pPr>
      <w:r>
        <w:t xml:space="preserve">If there are multiple AMBS authors, £1K will be awarded to each of the authors, up to three AMBS co-authors. </w:t>
      </w:r>
    </w:p>
    <w:p w:rsidR="0001513D" w:rsidRPr="00D3544F" w:rsidRDefault="0001513D" w:rsidP="001707CF">
      <w:pPr>
        <w:pStyle w:val="ListParagraph"/>
        <w:numPr>
          <w:ilvl w:val="0"/>
          <w:numId w:val="11"/>
        </w:numPr>
      </w:pPr>
      <w:r>
        <w:t xml:space="preserve">The policy will be reviewed after three years (academic year 2018/19) in order to identify whether the award has </w:t>
      </w:r>
      <w:r w:rsidR="00A91DCE">
        <w:t xml:space="preserve">contributed to a </w:t>
      </w:r>
      <w:r>
        <w:t xml:space="preserve">change </w:t>
      </w:r>
      <w:r w:rsidR="00A91DCE">
        <w:t xml:space="preserve">regarding </w:t>
      </w:r>
      <w:r>
        <w:t xml:space="preserve">publication targeting and </w:t>
      </w:r>
      <w:r w:rsidR="00A91DCE">
        <w:t xml:space="preserve">thus helped </w:t>
      </w:r>
      <w:r>
        <w:t xml:space="preserve">to </w:t>
      </w:r>
      <w:r w:rsidR="00A91DCE">
        <w:t xml:space="preserve">improve </w:t>
      </w:r>
      <w:r>
        <w:t xml:space="preserve">the research element in the MBA ranking. </w:t>
      </w:r>
    </w:p>
    <w:p w:rsidR="00730768" w:rsidRDefault="00730768" w:rsidP="001707CF">
      <w:pPr>
        <w:pStyle w:val="Heading1"/>
      </w:pPr>
      <w:r>
        <w:lastRenderedPageBreak/>
        <w:t xml:space="preserve">FT </w:t>
      </w:r>
      <w:r w:rsidR="007C1A95">
        <w:t>50</w:t>
      </w:r>
      <w:r>
        <w:t xml:space="preserve"> list (in context)</w:t>
      </w:r>
    </w:p>
    <w:tbl>
      <w:tblPr>
        <w:tblW w:w="5000" w:type="pct"/>
        <w:tblLook w:val="04A0" w:firstRow="1" w:lastRow="0" w:firstColumn="1" w:lastColumn="0" w:noHBand="0" w:noVBand="1"/>
      </w:tblPr>
      <w:tblGrid>
        <w:gridCol w:w="449"/>
        <w:gridCol w:w="3172"/>
        <w:gridCol w:w="893"/>
        <w:gridCol w:w="566"/>
        <w:gridCol w:w="578"/>
        <w:gridCol w:w="612"/>
        <w:gridCol w:w="612"/>
        <w:gridCol w:w="759"/>
        <w:gridCol w:w="428"/>
        <w:gridCol w:w="428"/>
        <w:gridCol w:w="519"/>
      </w:tblGrid>
      <w:tr w:rsidR="007C1A95" w:rsidRPr="00411E9F" w:rsidTr="00411E9F">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411E9F">
            <w:pPr>
              <w:keepNex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sort#</w:t>
            </w:r>
          </w:p>
        </w:tc>
        <w:tc>
          <w:tcPr>
            <w:tcW w:w="1773"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411E9F">
            <w:pPr>
              <w:keepNex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411E9F">
            <w:pPr>
              <w:keepNex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Subject area</w:t>
            </w:r>
          </w:p>
        </w:tc>
        <w:tc>
          <w:tcPr>
            <w:tcW w:w="318" w:type="pct"/>
            <w:tcBorders>
              <w:top w:val="single" w:sz="4" w:space="0" w:color="auto"/>
              <w:left w:val="nil"/>
              <w:bottom w:val="nil"/>
              <w:right w:val="single" w:sz="4" w:space="0" w:color="auto"/>
            </w:tcBorders>
            <w:shd w:val="clear" w:color="auto" w:fill="auto"/>
            <w:noWrap/>
            <w:vAlign w:val="bottom"/>
            <w:hideMark/>
          </w:tcPr>
          <w:p w:rsidR="007C1A95" w:rsidRPr="00411E9F" w:rsidRDefault="007C1A95" w:rsidP="00411E9F">
            <w:pPr>
              <w:keepNex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Rating</w:t>
            </w:r>
          </w:p>
        </w:tc>
        <w:tc>
          <w:tcPr>
            <w:tcW w:w="313" w:type="pct"/>
            <w:tcBorders>
              <w:top w:val="single" w:sz="4" w:space="0" w:color="auto"/>
              <w:left w:val="nil"/>
              <w:bottom w:val="nil"/>
              <w:right w:val="single" w:sz="4" w:space="0" w:color="auto"/>
            </w:tcBorders>
            <w:shd w:val="clear" w:color="auto" w:fill="auto"/>
            <w:noWrap/>
            <w:vAlign w:val="bottom"/>
            <w:hideMark/>
          </w:tcPr>
          <w:p w:rsidR="007C1A95" w:rsidRPr="00411E9F" w:rsidRDefault="007C1A95" w:rsidP="00411E9F">
            <w:pPr>
              <w:keepNext/>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Ranking</w:t>
            </w:r>
          </w:p>
        </w:tc>
        <w:tc>
          <w:tcPr>
            <w:tcW w:w="337" w:type="pct"/>
            <w:tcBorders>
              <w:top w:val="single" w:sz="4" w:space="0" w:color="auto"/>
              <w:left w:val="nil"/>
              <w:bottom w:val="nil"/>
              <w:right w:val="single" w:sz="4" w:space="0" w:color="auto"/>
            </w:tcBorders>
            <w:shd w:val="clear" w:color="auto" w:fill="auto"/>
            <w:noWrap/>
            <w:vAlign w:val="bottom"/>
            <w:hideMark/>
          </w:tcPr>
          <w:p w:rsidR="007C1A95" w:rsidRPr="00411E9F" w:rsidRDefault="007C1A95" w:rsidP="00411E9F">
            <w:pPr>
              <w:keepNext/>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ABS2010</w:t>
            </w:r>
          </w:p>
        </w:tc>
        <w:tc>
          <w:tcPr>
            <w:tcW w:w="337" w:type="pct"/>
            <w:tcBorders>
              <w:top w:val="single" w:sz="4" w:space="0" w:color="auto"/>
              <w:left w:val="nil"/>
              <w:bottom w:val="nil"/>
              <w:right w:val="single" w:sz="4" w:space="0" w:color="auto"/>
            </w:tcBorders>
            <w:shd w:val="clear" w:color="auto" w:fill="auto"/>
            <w:noWrap/>
            <w:vAlign w:val="bottom"/>
            <w:hideMark/>
          </w:tcPr>
          <w:p w:rsidR="007C1A95" w:rsidRPr="00411E9F" w:rsidRDefault="007C1A95" w:rsidP="00411E9F">
            <w:pPr>
              <w:keepNext/>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ABS2015</w:t>
            </w:r>
          </w:p>
        </w:tc>
        <w:tc>
          <w:tcPr>
            <w:tcW w:w="428" w:type="pct"/>
            <w:tcBorders>
              <w:top w:val="single" w:sz="4" w:space="0" w:color="auto"/>
              <w:left w:val="nil"/>
              <w:bottom w:val="nil"/>
              <w:right w:val="single" w:sz="4" w:space="0" w:color="auto"/>
            </w:tcBorders>
            <w:shd w:val="clear" w:color="auto" w:fill="auto"/>
            <w:noWrap/>
            <w:vAlign w:val="bottom"/>
            <w:hideMark/>
          </w:tcPr>
          <w:p w:rsidR="007C1A95" w:rsidRPr="00411E9F" w:rsidRDefault="007C1A95" w:rsidP="00411E9F">
            <w:pPr>
              <w:keepNext/>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ABS2015: 4*</w:t>
            </w:r>
          </w:p>
        </w:tc>
        <w:tc>
          <w:tcPr>
            <w:tcW w:w="236" w:type="pct"/>
            <w:tcBorders>
              <w:top w:val="single" w:sz="4" w:space="0" w:color="auto"/>
              <w:left w:val="nil"/>
              <w:bottom w:val="nil"/>
              <w:right w:val="single" w:sz="4" w:space="0" w:color="auto"/>
            </w:tcBorders>
            <w:shd w:val="clear" w:color="auto" w:fill="auto"/>
            <w:noWrap/>
            <w:vAlign w:val="bottom"/>
            <w:hideMark/>
          </w:tcPr>
          <w:p w:rsidR="007C1A95" w:rsidRPr="00411E9F" w:rsidRDefault="007C1A95" w:rsidP="00411E9F">
            <w:pPr>
              <w:keepNex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FT45</w:t>
            </w:r>
          </w:p>
        </w:tc>
        <w:tc>
          <w:tcPr>
            <w:tcW w:w="236" w:type="pct"/>
            <w:tcBorders>
              <w:top w:val="single" w:sz="4" w:space="0" w:color="auto"/>
              <w:left w:val="nil"/>
              <w:bottom w:val="nil"/>
              <w:right w:val="single" w:sz="4" w:space="0" w:color="auto"/>
            </w:tcBorders>
            <w:shd w:val="clear" w:color="auto" w:fill="auto"/>
            <w:noWrap/>
            <w:vAlign w:val="bottom"/>
            <w:hideMark/>
          </w:tcPr>
          <w:p w:rsidR="007C1A95" w:rsidRPr="00411E9F" w:rsidRDefault="007C1A95" w:rsidP="00411E9F">
            <w:pPr>
              <w:keepNex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FT50</w:t>
            </w:r>
          </w:p>
        </w:tc>
        <w:tc>
          <w:tcPr>
            <w:tcW w:w="285" w:type="pct"/>
            <w:tcBorders>
              <w:top w:val="single" w:sz="4" w:space="0" w:color="auto"/>
              <w:left w:val="nil"/>
              <w:bottom w:val="nil"/>
              <w:right w:val="single" w:sz="4" w:space="0" w:color="auto"/>
            </w:tcBorders>
            <w:shd w:val="clear" w:color="auto" w:fill="auto"/>
            <w:noWrap/>
            <w:vAlign w:val="bottom"/>
            <w:hideMark/>
          </w:tcPr>
          <w:p w:rsidR="007C1A95" w:rsidRPr="00411E9F" w:rsidRDefault="007C1A95" w:rsidP="00411E9F">
            <w:pPr>
              <w:keepNex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UTD24</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Academy of Management Review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single" w:sz="4" w:space="0" w:color="auto"/>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Administrative Science Quarterly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Finance*</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Marketing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Marketing</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5</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Management Science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OR,MS,POM</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6</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MIS Quarterly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MIS, KM</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7</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Political Economy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Economics</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0.99918</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Econometrica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Economics</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0.99873</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9</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Quarterly Journal of Economics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Economics</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0.99771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10</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American Economic Review (The)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Economics</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0.99659</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12</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Strategic Management Journal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0.98276</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7</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13</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Academy of Management Journal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0.98194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14</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Information Systems Research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MIS, KM</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0.98194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15</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Accounting &amp; Economics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0.98194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16</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Accounting Research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0.98194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17</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Consumer Research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Marketing</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0.98194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18</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Financial Economics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0.98194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19</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Organization Science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OS/OB,HRM/IR</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0.98194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20</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Review of Financial Studies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0.98194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24</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Applied Psychology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Psychology</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0.97589</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12</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27</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International Business Studies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IB</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0.95319</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28</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Operations Management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OR,MS,POM</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0.95319</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33</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Accounting Review (The)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0.94191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20</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35</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Review of Economic Studies</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Economics</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0.94011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22</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37</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Research Policy</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Economics</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0.93097</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38</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Management Studies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0.92451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39</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Marketing Science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Marketing</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0.92385</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26</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41</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Organization Studies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OS/OB,HRM/IR</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0.91471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42</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the American Statistical Association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Economics</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0.91374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29</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48</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Accounting Organizations and Society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0.90661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lastRenderedPageBreak/>
              <w:t>49</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Financial &amp; Quantitative Analysis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0.90661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51</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Operations Research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OR,MS,POM</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0.89844</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37</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55</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Organizational Behavior and Human Decision Processes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OS/OB,HRM/IR</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0.8951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56</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Marketing Research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Marketing</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0.89502</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42</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57</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RAND Journal of Economics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Economics</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0.88877</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60</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Business Venturing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Entrep</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0.87859</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46</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61</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the Academy of Marketing Science</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Marketing</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0.86721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47</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63</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Management</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0.86381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49</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69</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Management Information Systems</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MIS, KM</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0.84918</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55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74</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Review of Accounting Studies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0.84359</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60</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79</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Human Relations</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OS/OB,HRM/IR</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0.83497</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65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85</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Review of Finance (formerly European Finance Review)</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0.82928</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71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90</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Entrepreneurship: Theory &amp; Practice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Entrep</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0.81128</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76</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91</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Contemporary Accounting Research*</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F&amp;A</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0.80727</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77</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104</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Human Resource Management (US)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OS/OB,HRM/IR</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0.78587</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90</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108</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Production and Operations Management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OR,MS,POM</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0.78186</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94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111</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Consumer Psychology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Marketing</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0.77949</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97</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150</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California Management Review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0.74381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135</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162</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Sloan Management Review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0.73545</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147</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164</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Harvard Business Review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0.73482</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149</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177</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Strategic Entrepreneurship Journal</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0.72691</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161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4</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184</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Manufacturing and Service Operations Management</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OR,MS,POM</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0.72327</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168</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203</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Academy of Management Perspectives (formerly AoM Executive)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Gen &amp; Strat</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0.71112</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187</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r w:rsidR="001707CF" w:rsidRPr="00411E9F" w:rsidTr="00411E9F">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260</w:t>
            </w:r>
          </w:p>
        </w:tc>
        <w:tc>
          <w:tcPr>
            <w:tcW w:w="177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Journal of Business Ethics *</w:t>
            </w:r>
          </w:p>
        </w:tc>
        <w:tc>
          <w:tcPr>
            <w:tcW w:w="492"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OS/OB,HRM/IR</w:t>
            </w:r>
          </w:p>
        </w:tc>
        <w:tc>
          <w:tcPr>
            <w:tcW w:w="31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0.67769</w:t>
            </w:r>
          </w:p>
        </w:tc>
        <w:tc>
          <w:tcPr>
            <w:tcW w:w="313"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241</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337"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3</w:t>
            </w:r>
          </w:p>
        </w:tc>
        <w:tc>
          <w:tcPr>
            <w:tcW w:w="428"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cente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36"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jc w:val="right"/>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1</w:t>
            </w:r>
          </w:p>
        </w:tc>
        <w:tc>
          <w:tcPr>
            <w:tcW w:w="285" w:type="pct"/>
            <w:tcBorders>
              <w:top w:val="nil"/>
              <w:left w:val="nil"/>
              <w:bottom w:val="single" w:sz="4" w:space="0" w:color="auto"/>
              <w:right w:val="single" w:sz="4" w:space="0" w:color="auto"/>
            </w:tcBorders>
            <w:shd w:val="clear" w:color="auto" w:fill="auto"/>
            <w:noWrap/>
            <w:vAlign w:val="bottom"/>
            <w:hideMark/>
          </w:tcPr>
          <w:p w:rsidR="007C1A95" w:rsidRPr="00411E9F" w:rsidRDefault="007C1A95" w:rsidP="007C1A95">
            <w:pPr>
              <w:rPr>
                <w:rFonts w:ascii="Segoe UI" w:eastAsia="Times New Roman" w:hAnsi="Segoe UI" w:cs="Segoe UI"/>
                <w:color w:val="000000"/>
                <w:sz w:val="16"/>
                <w:szCs w:val="16"/>
                <w:lang w:eastAsia="en-GB"/>
              </w:rPr>
            </w:pPr>
            <w:r w:rsidRPr="00411E9F">
              <w:rPr>
                <w:rFonts w:ascii="Segoe UI" w:eastAsia="Times New Roman" w:hAnsi="Segoe UI" w:cs="Segoe UI"/>
                <w:color w:val="000000"/>
                <w:sz w:val="16"/>
                <w:szCs w:val="16"/>
                <w:lang w:eastAsia="en-GB"/>
              </w:rPr>
              <w:t> </w:t>
            </w:r>
          </w:p>
        </w:tc>
      </w:tr>
    </w:tbl>
    <w:p w:rsidR="007C1A95" w:rsidRDefault="007C1A95" w:rsidP="00C63A2C">
      <w:pPr>
        <w:pStyle w:val="Note"/>
      </w:pPr>
    </w:p>
    <w:p w:rsidR="007C1A95" w:rsidRPr="005F6107" w:rsidRDefault="007C1A95" w:rsidP="00C63A2C">
      <w:pPr>
        <w:pStyle w:val="Note"/>
        <w:rPr>
          <w:rFonts w:ascii="Segoe UI" w:hAnsi="Segoe UI" w:cs="Segoe UI"/>
        </w:rPr>
      </w:pPr>
    </w:p>
    <w:p w:rsidR="00730768" w:rsidRPr="005F6107" w:rsidRDefault="00C63A2C" w:rsidP="00C63A2C">
      <w:pPr>
        <w:pStyle w:val="Note"/>
        <w:rPr>
          <w:rFonts w:ascii="Segoe UI" w:hAnsi="Segoe UI" w:cs="Segoe UI"/>
        </w:rPr>
      </w:pPr>
      <w:r w:rsidRPr="005F6107">
        <w:rPr>
          <w:rFonts w:ascii="Segoe UI" w:hAnsi="Segoe UI" w:cs="Segoe UI"/>
        </w:rPr>
        <w:t xml:space="preserve">Note:  Rating based on Tüselmann et al. (2016) meta-rating, </w:t>
      </w:r>
      <w:r w:rsidR="00411E9F" w:rsidRPr="005F6107">
        <w:rPr>
          <w:rFonts w:ascii="Segoe UI" w:hAnsi="Segoe UI" w:cs="Segoe UI"/>
        </w:rPr>
        <w:t>JWB.</w:t>
      </w:r>
      <w:r w:rsidRPr="005F6107">
        <w:rPr>
          <w:rFonts w:ascii="Segoe UI" w:hAnsi="Segoe UI" w:cs="Segoe UI"/>
        </w:rPr>
        <w:t xml:space="preserve"> ABS2015=rating as per ABS 2015 Journal guide; ABS2015:4* column represents category 4 journals “with distinction”, also referred to as “world-elite” by some authors; FT45=</w:t>
      </w:r>
      <w:r w:rsidR="007C096D" w:rsidRPr="005F6107">
        <w:rPr>
          <w:rFonts w:ascii="Segoe UI" w:hAnsi="Segoe UI" w:cs="Segoe UI"/>
        </w:rPr>
        <w:t>Financial Times ranking; UTD24=University of Dallas ranking</w:t>
      </w:r>
      <w:r w:rsidR="00411E9F" w:rsidRPr="005F6107">
        <w:rPr>
          <w:rFonts w:ascii="Segoe UI" w:hAnsi="Segoe UI" w:cs="Segoe UI"/>
        </w:rPr>
        <w:t xml:space="preserve">. </w:t>
      </w:r>
    </w:p>
    <w:p w:rsidR="00411E9F" w:rsidRPr="005F6107" w:rsidRDefault="00411E9F" w:rsidP="00C63A2C">
      <w:pPr>
        <w:pStyle w:val="Note"/>
        <w:rPr>
          <w:rFonts w:ascii="Segoe UI" w:hAnsi="Segoe UI" w:cs="Segoe UI"/>
        </w:rPr>
      </w:pPr>
    </w:p>
    <w:p w:rsidR="00411E9F" w:rsidRDefault="00411E9F" w:rsidP="00411E9F">
      <w:pPr>
        <w:autoSpaceDE w:val="0"/>
        <w:autoSpaceDN w:val="0"/>
        <w:adjustRightInd w:val="0"/>
        <w:ind w:left="720" w:hanging="720"/>
        <w:rPr>
          <w:rFonts w:ascii="Segoe UI" w:hAnsi="Segoe UI" w:cs="Segoe UI"/>
          <w:sz w:val="18"/>
          <w:szCs w:val="18"/>
        </w:rPr>
      </w:pPr>
      <w:r>
        <w:rPr>
          <w:rFonts w:ascii="Segoe UI" w:hAnsi="Segoe UI" w:cs="Segoe UI"/>
          <w:sz w:val="18"/>
          <w:szCs w:val="18"/>
        </w:rPr>
        <w:t xml:space="preserve">Tüselmann, Heinz, Rudolf R. Sinkovics, and Grigory Pishchulov (2016), "Revisiting the standing of international business journals in the competitive landscape," </w:t>
      </w:r>
      <w:r>
        <w:rPr>
          <w:rFonts w:ascii="Segoe UI" w:hAnsi="Segoe UI" w:cs="Segoe UI"/>
          <w:i/>
          <w:iCs/>
          <w:sz w:val="18"/>
          <w:szCs w:val="18"/>
        </w:rPr>
        <w:t>Journal of World Business</w:t>
      </w:r>
      <w:r>
        <w:rPr>
          <w:rFonts w:ascii="Segoe UI" w:hAnsi="Segoe UI" w:cs="Segoe UI"/>
          <w:sz w:val="18"/>
          <w:szCs w:val="18"/>
        </w:rPr>
        <w:t xml:space="preserve">, 51 (4), 487-498. (DOI: 10.1016/j.jwb.2016.01.006). </w:t>
      </w:r>
      <w:hyperlink r:id="rId9" w:history="1">
        <w:r w:rsidRPr="00782396">
          <w:rPr>
            <w:rStyle w:val="Hyperlink"/>
            <w:rFonts w:ascii="Segoe UI" w:hAnsi="Segoe UI" w:cs="Segoe UI"/>
            <w:sz w:val="18"/>
            <w:szCs w:val="18"/>
          </w:rPr>
          <w:t>http://dx.doi.org/10.1016/j.jwb.2016.01.006</w:t>
        </w:r>
      </w:hyperlink>
      <w:r>
        <w:rPr>
          <w:rFonts w:ascii="Segoe UI" w:hAnsi="Segoe UI" w:cs="Segoe UI"/>
          <w:sz w:val="18"/>
          <w:szCs w:val="18"/>
        </w:rPr>
        <w:t xml:space="preserve"> </w:t>
      </w:r>
    </w:p>
    <w:p w:rsidR="00411E9F" w:rsidRDefault="00411E9F" w:rsidP="00C63A2C">
      <w:pPr>
        <w:pStyle w:val="Note"/>
      </w:pPr>
    </w:p>
    <w:p w:rsidR="00BC4C1A" w:rsidRPr="00954871" w:rsidRDefault="00113693" w:rsidP="00954871">
      <w:r>
        <w:t>RS, 20161108</w:t>
      </w:r>
    </w:p>
    <w:sectPr w:rsidR="00BC4C1A" w:rsidRPr="00954871" w:rsidSect="006E3E6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26C" w:rsidRDefault="0099726C" w:rsidP="00843834">
      <w:r>
        <w:separator/>
      </w:r>
    </w:p>
  </w:endnote>
  <w:endnote w:type="continuationSeparator" w:id="0">
    <w:p w:rsidR="0099726C" w:rsidRDefault="0099726C" w:rsidP="008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i w:val="0"/>
        <w:sz w:val="22"/>
        <w:szCs w:val="22"/>
      </w:rPr>
      <w:id w:val="25036454"/>
      <w:docPartObj>
        <w:docPartGallery w:val="Page Numbers (Bottom of Page)"/>
        <w:docPartUnique/>
      </w:docPartObj>
    </w:sdtPr>
    <w:sdtEndPr/>
    <w:sdtContent>
      <w:sdt>
        <w:sdtPr>
          <w:rPr>
            <w:rFonts w:asciiTheme="minorHAnsi" w:hAnsiTheme="minorHAnsi"/>
            <w:i w:val="0"/>
            <w:sz w:val="22"/>
            <w:szCs w:val="22"/>
          </w:rPr>
          <w:id w:val="565050477"/>
          <w:docPartObj>
            <w:docPartGallery w:val="Page Numbers (Top of Page)"/>
            <w:docPartUnique/>
          </w:docPartObj>
        </w:sdtPr>
        <w:sdtEndPr/>
        <w:sdtContent>
          <w:p w:rsidR="0099726C" w:rsidRPr="00F1158A" w:rsidRDefault="0099726C">
            <w:pPr>
              <w:pStyle w:val="Footer"/>
              <w:jc w:val="center"/>
              <w:rPr>
                <w:rFonts w:asciiTheme="minorHAnsi" w:hAnsiTheme="minorHAnsi"/>
                <w:i w:val="0"/>
                <w:sz w:val="22"/>
                <w:szCs w:val="22"/>
              </w:rPr>
            </w:pPr>
            <w:r w:rsidRPr="00F1158A">
              <w:rPr>
                <w:rFonts w:asciiTheme="minorHAnsi" w:hAnsiTheme="minorHAnsi"/>
                <w:i w:val="0"/>
                <w:sz w:val="22"/>
                <w:szCs w:val="22"/>
              </w:rPr>
              <w:t xml:space="preserve">Page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PAGE </w:instrText>
            </w:r>
            <w:r w:rsidRPr="00F1158A">
              <w:rPr>
                <w:rFonts w:asciiTheme="minorHAnsi" w:hAnsiTheme="minorHAnsi"/>
                <w:b/>
                <w:i w:val="0"/>
                <w:sz w:val="22"/>
                <w:szCs w:val="22"/>
              </w:rPr>
              <w:fldChar w:fldCharType="separate"/>
            </w:r>
            <w:r w:rsidR="00DC6264">
              <w:rPr>
                <w:rFonts w:asciiTheme="minorHAnsi" w:hAnsiTheme="minorHAnsi"/>
                <w:b/>
                <w:i w:val="0"/>
                <w:noProof/>
                <w:sz w:val="22"/>
                <w:szCs w:val="22"/>
              </w:rPr>
              <w:t>2</w:t>
            </w:r>
            <w:r w:rsidRPr="00F1158A">
              <w:rPr>
                <w:rFonts w:asciiTheme="minorHAnsi" w:hAnsiTheme="minorHAnsi"/>
                <w:b/>
                <w:i w:val="0"/>
                <w:sz w:val="22"/>
                <w:szCs w:val="22"/>
              </w:rPr>
              <w:fldChar w:fldCharType="end"/>
            </w:r>
            <w:r w:rsidRPr="00F1158A">
              <w:rPr>
                <w:rFonts w:asciiTheme="minorHAnsi" w:hAnsiTheme="minorHAnsi"/>
                <w:i w:val="0"/>
                <w:sz w:val="22"/>
                <w:szCs w:val="22"/>
              </w:rPr>
              <w:t xml:space="preserve"> of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NUMPAGES  </w:instrText>
            </w:r>
            <w:r w:rsidRPr="00F1158A">
              <w:rPr>
                <w:rFonts w:asciiTheme="minorHAnsi" w:hAnsiTheme="minorHAnsi"/>
                <w:b/>
                <w:i w:val="0"/>
                <w:sz w:val="22"/>
                <w:szCs w:val="22"/>
              </w:rPr>
              <w:fldChar w:fldCharType="separate"/>
            </w:r>
            <w:r w:rsidR="00DC6264">
              <w:rPr>
                <w:rFonts w:asciiTheme="minorHAnsi" w:hAnsiTheme="minorHAnsi"/>
                <w:b/>
                <w:i w:val="0"/>
                <w:noProof/>
                <w:sz w:val="22"/>
                <w:szCs w:val="22"/>
              </w:rPr>
              <w:t>3</w:t>
            </w:r>
            <w:r w:rsidRPr="00F1158A">
              <w:rPr>
                <w:rFonts w:asciiTheme="minorHAnsi" w:hAnsiTheme="minorHAnsi"/>
                <w:b/>
                <w:i w:val="0"/>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26C" w:rsidRDefault="0099726C" w:rsidP="00843834">
      <w:r>
        <w:separator/>
      </w:r>
    </w:p>
  </w:footnote>
  <w:footnote w:type="continuationSeparator" w:id="0">
    <w:p w:rsidR="0099726C" w:rsidRDefault="0099726C" w:rsidP="00843834">
      <w:r>
        <w:continuationSeparator/>
      </w:r>
    </w:p>
  </w:footnote>
  <w:footnote w:id="1">
    <w:p w:rsidR="0099726C" w:rsidRDefault="0099726C">
      <w:pPr>
        <w:pStyle w:val="FootnoteText"/>
      </w:pPr>
      <w:r>
        <w:rPr>
          <w:rStyle w:val="FootnoteReference"/>
        </w:rPr>
        <w:footnoteRef/>
      </w:r>
      <w:r>
        <w:tab/>
        <w:t>Reserve accounts credits roll over into the next budget year (from August to July of the following year). Research accounts (this is where the conference funding is credited to) do not roll over. It is thus advisable to request a reserve account for flexibility purposes.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3A8"/>
    <w:multiLevelType w:val="hybridMultilevel"/>
    <w:tmpl w:val="CD6C6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4E268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MR - CV &amp;amp;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909ttp6fz0smertdlp9xrq2z2x0r5w9ffr&quot;&gt;ma-haniff&lt;record-ids&gt;&lt;item&gt;684&lt;/item&gt;&lt;item&gt;685&lt;/item&gt;&lt;item&gt;686&lt;/item&gt;&lt;item&gt;687&lt;/item&gt;&lt;/record-ids&gt;&lt;/item&gt;&lt;item db-id=&quot;pwv5fvzsid9vpqe2szop2s9vrazvpeaev2dd&quot;&gt;Emotions&lt;record-ids&gt;&lt;item&gt;1230&lt;/item&gt;&lt;item&gt;1231&lt;/item&gt;&lt;/record-ids&gt;&lt;/item&gt;&lt;/Libraries&gt;"/>
  </w:docVars>
  <w:rsids>
    <w:rsidRoot w:val="00730768"/>
    <w:rsid w:val="000000CD"/>
    <w:rsid w:val="00002D94"/>
    <w:rsid w:val="000110CE"/>
    <w:rsid w:val="00011629"/>
    <w:rsid w:val="0001513D"/>
    <w:rsid w:val="00015EBE"/>
    <w:rsid w:val="00017741"/>
    <w:rsid w:val="00020324"/>
    <w:rsid w:val="00020DE2"/>
    <w:rsid w:val="00022071"/>
    <w:rsid w:val="00023B29"/>
    <w:rsid w:val="000242F0"/>
    <w:rsid w:val="00030D4A"/>
    <w:rsid w:val="00030E99"/>
    <w:rsid w:val="00040171"/>
    <w:rsid w:val="000459C9"/>
    <w:rsid w:val="00047ED6"/>
    <w:rsid w:val="00051A60"/>
    <w:rsid w:val="0005426C"/>
    <w:rsid w:val="00056BDB"/>
    <w:rsid w:val="00063F96"/>
    <w:rsid w:val="00065A4E"/>
    <w:rsid w:val="00076327"/>
    <w:rsid w:val="00084256"/>
    <w:rsid w:val="00097171"/>
    <w:rsid w:val="000A0709"/>
    <w:rsid w:val="000A0E3B"/>
    <w:rsid w:val="000A2302"/>
    <w:rsid w:val="000A253F"/>
    <w:rsid w:val="000C4E3C"/>
    <w:rsid w:val="000C6529"/>
    <w:rsid w:val="000C794B"/>
    <w:rsid w:val="000D0042"/>
    <w:rsid w:val="000D28EE"/>
    <w:rsid w:val="000D52D6"/>
    <w:rsid w:val="000E6518"/>
    <w:rsid w:val="000F12F1"/>
    <w:rsid w:val="000F7FA6"/>
    <w:rsid w:val="00105E11"/>
    <w:rsid w:val="00107517"/>
    <w:rsid w:val="00113693"/>
    <w:rsid w:val="001168F8"/>
    <w:rsid w:val="00122229"/>
    <w:rsid w:val="001249EF"/>
    <w:rsid w:val="00124C1C"/>
    <w:rsid w:val="00126F44"/>
    <w:rsid w:val="0013505C"/>
    <w:rsid w:val="001436F7"/>
    <w:rsid w:val="00146154"/>
    <w:rsid w:val="0016244E"/>
    <w:rsid w:val="00162854"/>
    <w:rsid w:val="001644F3"/>
    <w:rsid w:val="00167A70"/>
    <w:rsid w:val="001707CF"/>
    <w:rsid w:val="00172FB9"/>
    <w:rsid w:val="001740E0"/>
    <w:rsid w:val="001818BF"/>
    <w:rsid w:val="0018254D"/>
    <w:rsid w:val="001972CF"/>
    <w:rsid w:val="001A1DD9"/>
    <w:rsid w:val="001A34A7"/>
    <w:rsid w:val="001C3389"/>
    <w:rsid w:val="001D11C8"/>
    <w:rsid w:val="001D21FE"/>
    <w:rsid w:val="001D2FB8"/>
    <w:rsid w:val="001D68FE"/>
    <w:rsid w:val="001D7040"/>
    <w:rsid w:val="001E09B6"/>
    <w:rsid w:val="001E5998"/>
    <w:rsid w:val="001E78AC"/>
    <w:rsid w:val="001F09D6"/>
    <w:rsid w:val="001F42B6"/>
    <w:rsid w:val="00203427"/>
    <w:rsid w:val="002043AD"/>
    <w:rsid w:val="00205464"/>
    <w:rsid w:val="00207515"/>
    <w:rsid w:val="00212647"/>
    <w:rsid w:val="00216E4B"/>
    <w:rsid w:val="00230E95"/>
    <w:rsid w:val="002319B8"/>
    <w:rsid w:val="00232BB6"/>
    <w:rsid w:val="002373EA"/>
    <w:rsid w:val="00242B53"/>
    <w:rsid w:val="00247C42"/>
    <w:rsid w:val="002522DA"/>
    <w:rsid w:val="00266450"/>
    <w:rsid w:val="00274174"/>
    <w:rsid w:val="00274714"/>
    <w:rsid w:val="00276945"/>
    <w:rsid w:val="002853B0"/>
    <w:rsid w:val="002873F3"/>
    <w:rsid w:val="002A0FA8"/>
    <w:rsid w:val="002A3842"/>
    <w:rsid w:val="002A3BE0"/>
    <w:rsid w:val="002A5657"/>
    <w:rsid w:val="002A6F12"/>
    <w:rsid w:val="002B5F03"/>
    <w:rsid w:val="002C3220"/>
    <w:rsid w:val="002D09BC"/>
    <w:rsid w:val="002D16F8"/>
    <w:rsid w:val="002D60FD"/>
    <w:rsid w:val="002D7C31"/>
    <w:rsid w:val="002E280C"/>
    <w:rsid w:val="002E4D61"/>
    <w:rsid w:val="002F4479"/>
    <w:rsid w:val="002F4555"/>
    <w:rsid w:val="002F71DA"/>
    <w:rsid w:val="002F7EAE"/>
    <w:rsid w:val="003071D3"/>
    <w:rsid w:val="00310041"/>
    <w:rsid w:val="003130FC"/>
    <w:rsid w:val="003153BA"/>
    <w:rsid w:val="00325B5E"/>
    <w:rsid w:val="00325E5B"/>
    <w:rsid w:val="00331AA1"/>
    <w:rsid w:val="003350C6"/>
    <w:rsid w:val="00337EC4"/>
    <w:rsid w:val="00341872"/>
    <w:rsid w:val="00343118"/>
    <w:rsid w:val="00344DF3"/>
    <w:rsid w:val="003451CD"/>
    <w:rsid w:val="00354D27"/>
    <w:rsid w:val="003553D9"/>
    <w:rsid w:val="00355407"/>
    <w:rsid w:val="00355DC0"/>
    <w:rsid w:val="00361BAE"/>
    <w:rsid w:val="00375AB5"/>
    <w:rsid w:val="00385C44"/>
    <w:rsid w:val="00387873"/>
    <w:rsid w:val="00395F8D"/>
    <w:rsid w:val="003A293C"/>
    <w:rsid w:val="003A3184"/>
    <w:rsid w:val="003A52A1"/>
    <w:rsid w:val="003A63CA"/>
    <w:rsid w:val="003B07B0"/>
    <w:rsid w:val="003B1115"/>
    <w:rsid w:val="003B4FFA"/>
    <w:rsid w:val="003B65DC"/>
    <w:rsid w:val="003C20C3"/>
    <w:rsid w:val="003D744A"/>
    <w:rsid w:val="003E1AA0"/>
    <w:rsid w:val="003F077E"/>
    <w:rsid w:val="003F5FE6"/>
    <w:rsid w:val="003F67B1"/>
    <w:rsid w:val="0040672F"/>
    <w:rsid w:val="00411E9F"/>
    <w:rsid w:val="00422EE0"/>
    <w:rsid w:val="00426B2D"/>
    <w:rsid w:val="00426F56"/>
    <w:rsid w:val="00427171"/>
    <w:rsid w:val="00427A17"/>
    <w:rsid w:val="00437429"/>
    <w:rsid w:val="004419DA"/>
    <w:rsid w:val="00451531"/>
    <w:rsid w:val="00453770"/>
    <w:rsid w:val="00454FE7"/>
    <w:rsid w:val="00457047"/>
    <w:rsid w:val="0047272E"/>
    <w:rsid w:val="00472F50"/>
    <w:rsid w:val="00480121"/>
    <w:rsid w:val="00480B0B"/>
    <w:rsid w:val="004820FF"/>
    <w:rsid w:val="00483FB2"/>
    <w:rsid w:val="0049458C"/>
    <w:rsid w:val="00496AEE"/>
    <w:rsid w:val="004A51CA"/>
    <w:rsid w:val="004A6DA2"/>
    <w:rsid w:val="004A74BF"/>
    <w:rsid w:val="004B43EF"/>
    <w:rsid w:val="004B7953"/>
    <w:rsid w:val="004C0BB2"/>
    <w:rsid w:val="004C0D11"/>
    <w:rsid w:val="004C1E08"/>
    <w:rsid w:val="004C3260"/>
    <w:rsid w:val="004D397F"/>
    <w:rsid w:val="004D4456"/>
    <w:rsid w:val="004D66D5"/>
    <w:rsid w:val="004D6FF6"/>
    <w:rsid w:val="004D76D3"/>
    <w:rsid w:val="004E0E27"/>
    <w:rsid w:val="004E2D09"/>
    <w:rsid w:val="004E33AC"/>
    <w:rsid w:val="004E490C"/>
    <w:rsid w:val="004F0488"/>
    <w:rsid w:val="004F2D6D"/>
    <w:rsid w:val="004F2DCF"/>
    <w:rsid w:val="004F5DD3"/>
    <w:rsid w:val="00503C15"/>
    <w:rsid w:val="00507F2A"/>
    <w:rsid w:val="00511BBE"/>
    <w:rsid w:val="00511FC1"/>
    <w:rsid w:val="0051781A"/>
    <w:rsid w:val="00521AB5"/>
    <w:rsid w:val="00522EED"/>
    <w:rsid w:val="00524848"/>
    <w:rsid w:val="00524E27"/>
    <w:rsid w:val="00526B63"/>
    <w:rsid w:val="005300BD"/>
    <w:rsid w:val="00536CE1"/>
    <w:rsid w:val="005377D6"/>
    <w:rsid w:val="005505B6"/>
    <w:rsid w:val="00550EA2"/>
    <w:rsid w:val="0055212C"/>
    <w:rsid w:val="005577F7"/>
    <w:rsid w:val="0056126D"/>
    <w:rsid w:val="00565A05"/>
    <w:rsid w:val="00567999"/>
    <w:rsid w:val="0058041D"/>
    <w:rsid w:val="0058374C"/>
    <w:rsid w:val="00585263"/>
    <w:rsid w:val="0058563B"/>
    <w:rsid w:val="00592588"/>
    <w:rsid w:val="00593BA9"/>
    <w:rsid w:val="00594F7E"/>
    <w:rsid w:val="005A48A5"/>
    <w:rsid w:val="005A6D56"/>
    <w:rsid w:val="005B1885"/>
    <w:rsid w:val="005B1C42"/>
    <w:rsid w:val="005B5C14"/>
    <w:rsid w:val="005C0C31"/>
    <w:rsid w:val="005C120C"/>
    <w:rsid w:val="005C14C3"/>
    <w:rsid w:val="005C1E1E"/>
    <w:rsid w:val="005C4112"/>
    <w:rsid w:val="005C5221"/>
    <w:rsid w:val="005D1D91"/>
    <w:rsid w:val="005D35B1"/>
    <w:rsid w:val="005D39CE"/>
    <w:rsid w:val="005D6B8E"/>
    <w:rsid w:val="005D79D1"/>
    <w:rsid w:val="005E3A7A"/>
    <w:rsid w:val="005E5FBD"/>
    <w:rsid w:val="005F113A"/>
    <w:rsid w:val="005F1BD3"/>
    <w:rsid w:val="005F25DA"/>
    <w:rsid w:val="005F5910"/>
    <w:rsid w:val="005F6107"/>
    <w:rsid w:val="006010C3"/>
    <w:rsid w:val="00601F1C"/>
    <w:rsid w:val="00606A5F"/>
    <w:rsid w:val="00610EE0"/>
    <w:rsid w:val="00617E96"/>
    <w:rsid w:val="00623C24"/>
    <w:rsid w:val="00624355"/>
    <w:rsid w:val="00626A90"/>
    <w:rsid w:val="0063035F"/>
    <w:rsid w:val="00632E2E"/>
    <w:rsid w:val="00633B93"/>
    <w:rsid w:val="0064039C"/>
    <w:rsid w:val="00641318"/>
    <w:rsid w:val="00645EC5"/>
    <w:rsid w:val="006622D0"/>
    <w:rsid w:val="006725A2"/>
    <w:rsid w:val="00677C91"/>
    <w:rsid w:val="00692482"/>
    <w:rsid w:val="006A7A08"/>
    <w:rsid w:val="006B3AA7"/>
    <w:rsid w:val="006C0C31"/>
    <w:rsid w:val="006C2F41"/>
    <w:rsid w:val="006D3022"/>
    <w:rsid w:val="006D5E3A"/>
    <w:rsid w:val="006D61C3"/>
    <w:rsid w:val="006D649B"/>
    <w:rsid w:val="006E0A2D"/>
    <w:rsid w:val="006E3E65"/>
    <w:rsid w:val="006E65A4"/>
    <w:rsid w:val="006F3FF7"/>
    <w:rsid w:val="006F4E28"/>
    <w:rsid w:val="006F4FC6"/>
    <w:rsid w:val="006F6B00"/>
    <w:rsid w:val="0070098C"/>
    <w:rsid w:val="00700F8F"/>
    <w:rsid w:val="007012D1"/>
    <w:rsid w:val="007173CD"/>
    <w:rsid w:val="00722E10"/>
    <w:rsid w:val="00727E93"/>
    <w:rsid w:val="00730768"/>
    <w:rsid w:val="0073619D"/>
    <w:rsid w:val="0074554D"/>
    <w:rsid w:val="0075178C"/>
    <w:rsid w:val="007527BB"/>
    <w:rsid w:val="00753328"/>
    <w:rsid w:val="007552AE"/>
    <w:rsid w:val="007554DE"/>
    <w:rsid w:val="007755FD"/>
    <w:rsid w:val="00782F2C"/>
    <w:rsid w:val="00795D65"/>
    <w:rsid w:val="007965F7"/>
    <w:rsid w:val="007B01CB"/>
    <w:rsid w:val="007B119F"/>
    <w:rsid w:val="007B3D71"/>
    <w:rsid w:val="007C096D"/>
    <w:rsid w:val="007C1A95"/>
    <w:rsid w:val="007D1307"/>
    <w:rsid w:val="007E0ADA"/>
    <w:rsid w:val="007E1723"/>
    <w:rsid w:val="007E360F"/>
    <w:rsid w:val="007F2B17"/>
    <w:rsid w:val="007F2E80"/>
    <w:rsid w:val="007F5C86"/>
    <w:rsid w:val="007F7C80"/>
    <w:rsid w:val="00801FE8"/>
    <w:rsid w:val="008036F3"/>
    <w:rsid w:val="00806DD8"/>
    <w:rsid w:val="00816BDA"/>
    <w:rsid w:val="00826655"/>
    <w:rsid w:val="0082782D"/>
    <w:rsid w:val="008314F6"/>
    <w:rsid w:val="00833A65"/>
    <w:rsid w:val="00843834"/>
    <w:rsid w:val="008450E3"/>
    <w:rsid w:val="00850D8F"/>
    <w:rsid w:val="00851470"/>
    <w:rsid w:val="008564AC"/>
    <w:rsid w:val="00857387"/>
    <w:rsid w:val="008632A6"/>
    <w:rsid w:val="00871D16"/>
    <w:rsid w:val="00873757"/>
    <w:rsid w:val="00875DDF"/>
    <w:rsid w:val="00882281"/>
    <w:rsid w:val="00883D06"/>
    <w:rsid w:val="00883F03"/>
    <w:rsid w:val="00893D38"/>
    <w:rsid w:val="00893F41"/>
    <w:rsid w:val="008955A4"/>
    <w:rsid w:val="008A20DE"/>
    <w:rsid w:val="008A4C16"/>
    <w:rsid w:val="008A54CA"/>
    <w:rsid w:val="008B066E"/>
    <w:rsid w:val="008B25A1"/>
    <w:rsid w:val="008B6588"/>
    <w:rsid w:val="008C3B72"/>
    <w:rsid w:val="008D12E0"/>
    <w:rsid w:val="008D2ED4"/>
    <w:rsid w:val="008D6176"/>
    <w:rsid w:val="008D66EC"/>
    <w:rsid w:val="008D68AE"/>
    <w:rsid w:val="008F36FC"/>
    <w:rsid w:val="008F424D"/>
    <w:rsid w:val="00900C42"/>
    <w:rsid w:val="00911C91"/>
    <w:rsid w:val="00911F26"/>
    <w:rsid w:val="009146D5"/>
    <w:rsid w:val="00932C1E"/>
    <w:rsid w:val="009417BC"/>
    <w:rsid w:val="00941C7C"/>
    <w:rsid w:val="009422E3"/>
    <w:rsid w:val="00951C0C"/>
    <w:rsid w:val="0095349A"/>
    <w:rsid w:val="00954871"/>
    <w:rsid w:val="00954CA4"/>
    <w:rsid w:val="00955D6B"/>
    <w:rsid w:val="0096496B"/>
    <w:rsid w:val="00967205"/>
    <w:rsid w:val="00985F0B"/>
    <w:rsid w:val="0099726C"/>
    <w:rsid w:val="009A02B7"/>
    <w:rsid w:val="009A4BDE"/>
    <w:rsid w:val="009A4BF7"/>
    <w:rsid w:val="009A52C1"/>
    <w:rsid w:val="009A7474"/>
    <w:rsid w:val="009C531F"/>
    <w:rsid w:val="009C74D7"/>
    <w:rsid w:val="009D35CA"/>
    <w:rsid w:val="009F1964"/>
    <w:rsid w:val="009F31C6"/>
    <w:rsid w:val="009F462B"/>
    <w:rsid w:val="009F6083"/>
    <w:rsid w:val="00A00DFF"/>
    <w:rsid w:val="00A01B67"/>
    <w:rsid w:val="00A05239"/>
    <w:rsid w:val="00A06BF5"/>
    <w:rsid w:val="00A15886"/>
    <w:rsid w:val="00A23D08"/>
    <w:rsid w:val="00A302A1"/>
    <w:rsid w:val="00A30ECA"/>
    <w:rsid w:val="00A31EBD"/>
    <w:rsid w:val="00A331DE"/>
    <w:rsid w:val="00A3400A"/>
    <w:rsid w:val="00A36565"/>
    <w:rsid w:val="00A36F22"/>
    <w:rsid w:val="00A4079F"/>
    <w:rsid w:val="00A43507"/>
    <w:rsid w:val="00A44E06"/>
    <w:rsid w:val="00A45133"/>
    <w:rsid w:val="00A50A3E"/>
    <w:rsid w:val="00A56AFA"/>
    <w:rsid w:val="00A634F7"/>
    <w:rsid w:val="00A72CAC"/>
    <w:rsid w:val="00A75E26"/>
    <w:rsid w:val="00A76724"/>
    <w:rsid w:val="00A83E20"/>
    <w:rsid w:val="00A83E9F"/>
    <w:rsid w:val="00A86C5F"/>
    <w:rsid w:val="00A91DCE"/>
    <w:rsid w:val="00AB2757"/>
    <w:rsid w:val="00AB4178"/>
    <w:rsid w:val="00AB4B90"/>
    <w:rsid w:val="00AB640E"/>
    <w:rsid w:val="00AB65C4"/>
    <w:rsid w:val="00AB7A25"/>
    <w:rsid w:val="00AC3EF0"/>
    <w:rsid w:val="00AD4182"/>
    <w:rsid w:val="00AD4729"/>
    <w:rsid w:val="00AD6565"/>
    <w:rsid w:val="00AD66AF"/>
    <w:rsid w:val="00AE127C"/>
    <w:rsid w:val="00AE311E"/>
    <w:rsid w:val="00AE3BFE"/>
    <w:rsid w:val="00AE64A3"/>
    <w:rsid w:val="00AF2BFB"/>
    <w:rsid w:val="00AF5A84"/>
    <w:rsid w:val="00B10167"/>
    <w:rsid w:val="00B10CE6"/>
    <w:rsid w:val="00B17AA5"/>
    <w:rsid w:val="00B211DB"/>
    <w:rsid w:val="00B2410A"/>
    <w:rsid w:val="00B25D58"/>
    <w:rsid w:val="00B36945"/>
    <w:rsid w:val="00B36C1E"/>
    <w:rsid w:val="00B400E7"/>
    <w:rsid w:val="00B4058B"/>
    <w:rsid w:val="00B40834"/>
    <w:rsid w:val="00B40DBA"/>
    <w:rsid w:val="00B47107"/>
    <w:rsid w:val="00B47A72"/>
    <w:rsid w:val="00B53EB0"/>
    <w:rsid w:val="00B54D58"/>
    <w:rsid w:val="00B57D7B"/>
    <w:rsid w:val="00B63326"/>
    <w:rsid w:val="00B819B8"/>
    <w:rsid w:val="00B850A3"/>
    <w:rsid w:val="00B8678F"/>
    <w:rsid w:val="00B91331"/>
    <w:rsid w:val="00B91F02"/>
    <w:rsid w:val="00BA1302"/>
    <w:rsid w:val="00BA1EC2"/>
    <w:rsid w:val="00BA3523"/>
    <w:rsid w:val="00BA52D3"/>
    <w:rsid w:val="00BB5146"/>
    <w:rsid w:val="00BB51B4"/>
    <w:rsid w:val="00BB68F3"/>
    <w:rsid w:val="00BB6EA0"/>
    <w:rsid w:val="00BC35BB"/>
    <w:rsid w:val="00BC485A"/>
    <w:rsid w:val="00BC4C1A"/>
    <w:rsid w:val="00BD0039"/>
    <w:rsid w:val="00BD1CAD"/>
    <w:rsid w:val="00BD2BBC"/>
    <w:rsid w:val="00BD71E6"/>
    <w:rsid w:val="00BD7860"/>
    <w:rsid w:val="00BE0554"/>
    <w:rsid w:val="00BE439E"/>
    <w:rsid w:val="00BF301D"/>
    <w:rsid w:val="00BF394A"/>
    <w:rsid w:val="00BF6CD1"/>
    <w:rsid w:val="00C05FC4"/>
    <w:rsid w:val="00C101B5"/>
    <w:rsid w:val="00C1274E"/>
    <w:rsid w:val="00C14241"/>
    <w:rsid w:val="00C16AA2"/>
    <w:rsid w:val="00C2500F"/>
    <w:rsid w:val="00C30648"/>
    <w:rsid w:val="00C3116A"/>
    <w:rsid w:val="00C323AE"/>
    <w:rsid w:val="00C3547C"/>
    <w:rsid w:val="00C42551"/>
    <w:rsid w:val="00C454F4"/>
    <w:rsid w:val="00C5010E"/>
    <w:rsid w:val="00C53B82"/>
    <w:rsid w:val="00C55AB8"/>
    <w:rsid w:val="00C56D62"/>
    <w:rsid w:val="00C61296"/>
    <w:rsid w:val="00C63A2C"/>
    <w:rsid w:val="00C6608B"/>
    <w:rsid w:val="00C74E6F"/>
    <w:rsid w:val="00C75956"/>
    <w:rsid w:val="00C76040"/>
    <w:rsid w:val="00C777B0"/>
    <w:rsid w:val="00C846DD"/>
    <w:rsid w:val="00C942CB"/>
    <w:rsid w:val="00C94533"/>
    <w:rsid w:val="00CB05DB"/>
    <w:rsid w:val="00CB3BDB"/>
    <w:rsid w:val="00CB41D2"/>
    <w:rsid w:val="00CB6852"/>
    <w:rsid w:val="00CC3D3F"/>
    <w:rsid w:val="00CC5DB9"/>
    <w:rsid w:val="00CC7E86"/>
    <w:rsid w:val="00CD2F41"/>
    <w:rsid w:val="00CD4EC1"/>
    <w:rsid w:val="00CE02AC"/>
    <w:rsid w:val="00CE588E"/>
    <w:rsid w:val="00CF02D1"/>
    <w:rsid w:val="00CF1887"/>
    <w:rsid w:val="00CF4C55"/>
    <w:rsid w:val="00CF608C"/>
    <w:rsid w:val="00D14BFC"/>
    <w:rsid w:val="00D260BF"/>
    <w:rsid w:val="00D3544F"/>
    <w:rsid w:val="00D35C54"/>
    <w:rsid w:val="00D362D3"/>
    <w:rsid w:val="00D4792A"/>
    <w:rsid w:val="00D52965"/>
    <w:rsid w:val="00D5457E"/>
    <w:rsid w:val="00D60997"/>
    <w:rsid w:val="00D71CBB"/>
    <w:rsid w:val="00D74C15"/>
    <w:rsid w:val="00D754DE"/>
    <w:rsid w:val="00D755E6"/>
    <w:rsid w:val="00D8338E"/>
    <w:rsid w:val="00D92E69"/>
    <w:rsid w:val="00D93577"/>
    <w:rsid w:val="00D96085"/>
    <w:rsid w:val="00D96B68"/>
    <w:rsid w:val="00DA3C34"/>
    <w:rsid w:val="00DA3E72"/>
    <w:rsid w:val="00DC0D58"/>
    <w:rsid w:val="00DC597F"/>
    <w:rsid w:val="00DC6264"/>
    <w:rsid w:val="00DC7951"/>
    <w:rsid w:val="00DD2880"/>
    <w:rsid w:val="00DE33D2"/>
    <w:rsid w:val="00DE463B"/>
    <w:rsid w:val="00E003D8"/>
    <w:rsid w:val="00E04054"/>
    <w:rsid w:val="00E05414"/>
    <w:rsid w:val="00E06A99"/>
    <w:rsid w:val="00E178CF"/>
    <w:rsid w:val="00E234B9"/>
    <w:rsid w:val="00E32C55"/>
    <w:rsid w:val="00E36912"/>
    <w:rsid w:val="00E42C4C"/>
    <w:rsid w:val="00E60DEE"/>
    <w:rsid w:val="00E61DBD"/>
    <w:rsid w:val="00E65CE9"/>
    <w:rsid w:val="00E7066D"/>
    <w:rsid w:val="00E763B5"/>
    <w:rsid w:val="00E80D4F"/>
    <w:rsid w:val="00E83E4A"/>
    <w:rsid w:val="00E8669A"/>
    <w:rsid w:val="00E87693"/>
    <w:rsid w:val="00E9077F"/>
    <w:rsid w:val="00E93EC6"/>
    <w:rsid w:val="00E94A38"/>
    <w:rsid w:val="00E972EA"/>
    <w:rsid w:val="00EA05E4"/>
    <w:rsid w:val="00EA208E"/>
    <w:rsid w:val="00EA27AD"/>
    <w:rsid w:val="00EA2F63"/>
    <w:rsid w:val="00EB7F51"/>
    <w:rsid w:val="00EC3909"/>
    <w:rsid w:val="00EC6351"/>
    <w:rsid w:val="00EC7BA0"/>
    <w:rsid w:val="00ED03BE"/>
    <w:rsid w:val="00ED100B"/>
    <w:rsid w:val="00ED3D35"/>
    <w:rsid w:val="00ED7982"/>
    <w:rsid w:val="00EE5590"/>
    <w:rsid w:val="00EF43CD"/>
    <w:rsid w:val="00EF5D1D"/>
    <w:rsid w:val="00F002DA"/>
    <w:rsid w:val="00F004CF"/>
    <w:rsid w:val="00F02CFD"/>
    <w:rsid w:val="00F03940"/>
    <w:rsid w:val="00F06416"/>
    <w:rsid w:val="00F1158A"/>
    <w:rsid w:val="00F11BB9"/>
    <w:rsid w:val="00F15ED9"/>
    <w:rsid w:val="00F27322"/>
    <w:rsid w:val="00F30E36"/>
    <w:rsid w:val="00F347D1"/>
    <w:rsid w:val="00F35EE5"/>
    <w:rsid w:val="00F43119"/>
    <w:rsid w:val="00F444D2"/>
    <w:rsid w:val="00F47D62"/>
    <w:rsid w:val="00F505EF"/>
    <w:rsid w:val="00F527E6"/>
    <w:rsid w:val="00F54F12"/>
    <w:rsid w:val="00F60946"/>
    <w:rsid w:val="00F64203"/>
    <w:rsid w:val="00F648E5"/>
    <w:rsid w:val="00F65E2D"/>
    <w:rsid w:val="00F739BA"/>
    <w:rsid w:val="00F75974"/>
    <w:rsid w:val="00F822A5"/>
    <w:rsid w:val="00F828EE"/>
    <w:rsid w:val="00F84FF8"/>
    <w:rsid w:val="00F97D40"/>
    <w:rsid w:val="00FA4A98"/>
    <w:rsid w:val="00FA5F60"/>
    <w:rsid w:val="00FD29AF"/>
    <w:rsid w:val="00FD409C"/>
    <w:rsid w:val="00FD6096"/>
    <w:rsid w:val="00FE74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E2CF7-AE7E-4C73-A02D-5C904718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768"/>
    <w:pPr>
      <w:spacing w:after="0" w:line="240" w:lineRule="auto"/>
    </w:pPr>
    <w:rPr>
      <w:sz w:val="24"/>
    </w:rPr>
  </w:style>
  <w:style w:type="paragraph" w:styleId="Heading1">
    <w:name w:val="heading 1"/>
    <w:basedOn w:val="Normal"/>
    <w:next w:val="Normal"/>
    <w:link w:val="Heading1Char"/>
    <w:uiPriority w:val="9"/>
    <w:qFormat/>
    <w:rsid w:val="000A2302"/>
    <w:pPr>
      <w:keepNext/>
      <w:keepLines/>
      <w:numPr>
        <w:numId w:val="10"/>
      </w:numPr>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BC4C1A"/>
    <w:pPr>
      <w:keepNext/>
      <w:keepLines/>
      <w:numPr>
        <w:ilvl w:val="1"/>
        <w:numId w:val="10"/>
      </w:num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7CF"/>
    <w:pPr>
      <w:spacing w:after="300"/>
      <w:contextualSpacing/>
      <w:jc w:val="center"/>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1707CF"/>
    <w:rPr>
      <w:rFonts w:asciiTheme="majorHAnsi" w:eastAsiaTheme="majorEastAsia" w:hAnsiTheme="majorHAnsi" w:cstheme="majorBidi"/>
      <w:b/>
      <w:spacing w:val="5"/>
      <w:kern w:val="28"/>
      <w:sz w:val="32"/>
      <w:szCs w:val="52"/>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BC4C1A"/>
    <w:rPr>
      <w:rFonts w:asciiTheme="majorHAnsi" w:eastAsiaTheme="majorEastAsia" w:hAnsiTheme="majorHAnsi" w:cstheme="majorBidi"/>
      <w:b/>
      <w:bCs/>
      <w:sz w:val="26"/>
      <w:szCs w:val="26"/>
      <w:lang w:val="en-US"/>
    </w:rPr>
  </w:style>
  <w:style w:type="paragraph" w:customStyle="1" w:styleId="Abstract">
    <w:name w:val="Abstract"/>
    <w:basedOn w:val="BodyText"/>
    <w:rsid w:val="00CD2F41"/>
  </w:style>
  <w:style w:type="paragraph" w:styleId="BodyText">
    <w:name w:val="Body Text"/>
    <w:basedOn w:val="Normal"/>
    <w:link w:val="BodyTextChar"/>
    <w:rsid w:val="00CD2F41"/>
    <w:pPr>
      <w:spacing w:after="120"/>
    </w:pPr>
  </w:style>
  <w:style w:type="character" w:customStyle="1" w:styleId="BodyTextChar">
    <w:name w:val="Body Text Char"/>
    <w:basedOn w:val="DefaultParagraphFont"/>
    <w:link w:val="BodyText"/>
    <w:rsid w:val="00CD2F41"/>
    <w:rPr>
      <w:sz w:val="24"/>
      <w:lang w:val="en-US"/>
    </w:rPr>
  </w:style>
  <w:style w:type="paragraph" w:styleId="BodyText2">
    <w:name w:val="Body Text 2"/>
    <w:basedOn w:val="Normal"/>
    <w:link w:val="BodyText2Char"/>
    <w:uiPriority w:val="3"/>
    <w:rsid w:val="00CD2F41"/>
    <w:pPr>
      <w:spacing w:after="120" w:line="480" w:lineRule="auto"/>
    </w:pPr>
    <w:rPr>
      <w:rFonts w:ascii="Times New Roman" w:eastAsia="Times New Roman" w:hAnsi="Times New Roman" w:cs="Times New Roman"/>
      <w:sz w:val="22"/>
      <w:szCs w:val="24"/>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eastAsia="Times New Roman" w:hAnsi="Times New Roman" w:cs="Times New Roman"/>
      <w:b/>
      <w:bCs/>
      <w:sz w:val="22"/>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eastAsia="Times New Roman" w:hAnsi="Times New Roman" w:cs="Times New Roman"/>
      <w:i/>
      <w:sz w:val="18"/>
      <w:szCs w:val="24"/>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eastAsia="Times New Roman" w:hAnsi="Times New Roman" w:cs="Times New Roman"/>
      <w:i/>
      <w:sz w:val="18"/>
      <w:szCs w:val="24"/>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eastAsia="Times New Roman" w:hAnsi="Times New Roman" w:cs="Times New Roman"/>
      <w:sz w:val="22"/>
      <w:szCs w:val="24"/>
      <w:lang w:eastAsia="en-GB"/>
    </w:rPr>
  </w:style>
  <w:style w:type="paragraph" w:styleId="Bibliography">
    <w:name w:val="Bibliography"/>
    <w:basedOn w:val="Normal"/>
    <w:rsid w:val="00CD2F41"/>
    <w:pPr>
      <w:ind w:left="482" w:hanging="482"/>
    </w:pPr>
    <w:rPr>
      <w:rFonts w:ascii="Times New Roman" w:eastAsia="Times New Roman" w:hAnsi="Times New Roman" w:cs="Times New Roman"/>
      <w:szCs w:val="24"/>
    </w:rPr>
  </w:style>
  <w:style w:type="paragraph" w:customStyle="1" w:styleId="Note">
    <w:name w:val="Note"/>
    <w:basedOn w:val="Normal"/>
    <w:rsid w:val="00C63A2C"/>
    <w:pPr>
      <w:widowControl w:val="0"/>
    </w:pPr>
    <w:rPr>
      <w:rFonts w:eastAsia="PMingLiU" w:cs="Times New Roman"/>
      <w:kern w:val="2"/>
      <w:sz w:val="18"/>
      <w:szCs w:val="24"/>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eastAsia="Times New Roman" w:hAnsi="Calibri" w:cs="Times New Roman"/>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firstLine="720"/>
      <w:jc w:val="both"/>
    </w:pPr>
    <w:rPr>
      <w:rFonts w:eastAsia="PMingLiU" w:cs="Times New Roman"/>
      <w:szCs w:val="24"/>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cs="Times New Roman"/>
      <w:b/>
      <w:szCs w:val="24"/>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iPriority w:val="99"/>
    <w:unhideWhenUsed/>
    <w:rsid w:val="00F648E5"/>
    <w:rPr>
      <w:color w:val="0000FF" w:themeColor="hyperlink"/>
      <w:u w:val="single"/>
    </w:rPr>
  </w:style>
  <w:style w:type="table" w:styleId="TableGrid">
    <w:name w:val="Table Grid"/>
    <w:basedOn w:val="TableNormal"/>
    <w:uiPriority w:val="59"/>
    <w:rsid w:val="0073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A95"/>
    <w:pPr>
      <w:ind w:left="720"/>
      <w:contextualSpacing/>
    </w:pPr>
  </w:style>
  <w:style w:type="paragraph" w:styleId="FootnoteText">
    <w:name w:val="footnote text"/>
    <w:basedOn w:val="Normal"/>
    <w:link w:val="FootnoteTextChar"/>
    <w:uiPriority w:val="99"/>
    <w:semiHidden/>
    <w:unhideWhenUsed/>
    <w:rsid w:val="0001513D"/>
    <w:pPr>
      <w:tabs>
        <w:tab w:val="left" w:pos="567"/>
      </w:tabs>
      <w:ind w:left="567" w:hanging="567"/>
    </w:pPr>
    <w:rPr>
      <w:sz w:val="20"/>
      <w:szCs w:val="20"/>
    </w:rPr>
  </w:style>
  <w:style w:type="character" w:customStyle="1" w:styleId="FootnoteTextChar">
    <w:name w:val="Footnote Text Char"/>
    <w:basedOn w:val="DefaultParagraphFont"/>
    <w:link w:val="FootnoteText"/>
    <w:uiPriority w:val="99"/>
    <w:semiHidden/>
    <w:rsid w:val="0001513D"/>
    <w:rPr>
      <w:sz w:val="20"/>
      <w:szCs w:val="20"/>
    </w:rPr>
  </w:style>
  <w:style w:type="character" w:styleId="FootnoteReference">
    <w:name w:val="footnote reference"/>
    <w:basedOn w:val="DefaultParagraphFont"/>
    <w:uiPriority w:val="99"/>
    <w:semiHidden/>
    <w:unhideWhenUsed/>
    <w:rsid w:val="00015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ie.Gallagher@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16/j.jwb.2016.0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2464-FAC7-4578-94B3-3A8273C5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Sinkovics</dc:creator>
  <cp:lastModifiedBy>Andrei Rydzkowski</cp:lastModifiedBy>
  <cp:revision>2</cp:revision>
  <dcterms:created xsi:type="dcterms:W3CDTF">2019-08-05T15:24:00Z</dcterms:created>
  <dcterms:modified xsi:type="dcterms:W3CDTF">2019-08-05T15:24:00Z</dcterms:modified>
</cp:coreProperties>
</file>