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F2" w:rsidRDefault="00097D13" w:rsidP="004C7BF2">
      <w:pPr>
        <w:pStyle w:val="Title"/>
      </w:pPr>
      <w:bookmarkStart w:id="0" w:name="_GoBack"/>
      <w:bookmarkEnd w:id="0"/>
      <w:r>
        <w:t>Sabbatical leave</w:t>
      </w:r>
      <w:r w:rsidR="004C7BF2">
        <w:t xml:space="preserve"> Guidance for Teaching </w:t>
      </w:r>
      <w:r w:rsidR="00BD4967">
        <w:t xml:space="preserve">Focused </w:t>
      </w:r>
      <w:r w:rsidR="004C7BF2">
        <w:t>Staff</w:t>
      </w:r>
    </w:p>
    <w:p w:rsidR="00112947" w:rsidRDefault="00112947" w:rsidP="00112947">
      <w:pPr>
        <w:jc w:val="center"/>
      </w:pPr>
      <w:r>
        <w:t>(Version 20190</w:t>
      </w:r>
      <w:r w:rsidR="008D5839">
        <w:t>3</w:t>
      </w:r>
      <w:r>
        <w:t>1</w:t>
      </w:r>
      <w:r w:rsidR="008D5839">
        <w:t>5</w:t>
      </w:r>
      <w:r>
        <w:t>)</w:t>
      </w:r>
    </w:p>
    <w:p w:rsidR="004C7BF2" w:rsidRDefault="004C7BF2" w:rsidP="004C7BF2">
      <w:pPr>
        <w:pStyle w:val="Heading1"/>
      </w:pPr>
      <w:r>
        <w:t>Overview</w:t>
      </w:r>
    </w:p>
    <w:p w:rsidR="004C7BF2" w:rsidRDefault="004C7BF2" w:rsidP="00621DC8">
      <w:pPr>
        <w:pStyle w:val="BodyText"/>
        <w:ind w:firstLine="0"/>
        <w:jc w:val="both"/>
      </w:pPr>
      <w:r>
        <w:t xml:space="preserve">This document sets out some basic principles of </w:t>
      </w:r>
      <w:r w:rsidR="00097D13">
        <w:t>sabbatical leave</w:t>
      </w:r>
      <w:r>
        <w:t xml:space="preserve"> related to teaching focused (TF) staff. These are for guidance purposes only to support the </w:t>
      </w:r>
      <w:r w:rsidR="00097D13">
        <w:t xml:space="preserve">Sabbatical </w:t>
      </w:r>
      <w:r w:rsidR="00716DE3">
        <w:t>L</w:t>
      </w:r>
      <w:r w:rsidR="00097D13">
        <w:t>eave</w:t>
      </w:r>
      <w:r>
        <w:t xml:space="preserve"> Committee in their decision-making process.</w:t>
      </w:r>
    </w:p>
    <w:p w:rsidR="004C7BF2" w:rsidRDefault="004C7BF2" w:rsidP="00621DC8">
      <w:pPr>
        <w:pStyle w:val="BodyText"/>
        <w:ind w:firstLine="0"/>
        <w:jc w:val="both"/>
      </w:pPr>
      <w:r>
        <w:t xml:space="preserve">The principle of </w:t>
      </w:r>
      <w:r w:rsidR="00097D13">
        <w:t>sabbatical leave</w:t>
      </w:r>
      <w:r>
        <w:t xml:space="preserve"> </w:t>
      </w:r>
      <w:r w:rsidR="004A5B28">
        <w:t xml:space="preserve">for TF staff </w:t>
      </w:r>
      <w:r>
        <w:t>is to give</w:t>
      </w:r>
      <w:r w:rsidR="000834AF">
        <w:t xml:space="preserve"> </w:t>
      </w:r>
      <w:r w:rsidR="004A5B28">
        <w:t xml:space="preserve">them </w:t>
      </w:r>
      <w:r>
        <w:t>relief from teaching and administration so that they have the time and space to focus on</w:t>
      </w:r>
      <w:r w:rsidR="00314A49">
        <w:t xml:space="preserve"> </w:t>
      </w:r>
      <w:r w:rsidR="00BD4967">
        <w:t>the development of activities that are consistent with the duties in their appointment.</w:t>
      </w:r>
      <w:r w:rsidR="000834AF">
        <w:t xml:space="preserve"> </w:t>
      </w:r>
      <w:r w:rsidR="00BD4967">
        <w:t xml:space="preserve">For example, developing new </w:t>
      </w:r>
      <w:r w:rsidR="004A5B28">
        <w:t xml:space="preserve">teaching initiatives and </w:t>
      </w:r>
      <w:r w:rsidR="00BD4967">
        <w:t xml:space="preserve">innovative </w:t>
      </w:r>
      <w:r w:rsidR="004A5B28">
        <w:t>teaching related activities, including teaching related research</w:t>
      </w:r>
      <w:r>
        <w:t xml:space="preserve">. The University’s expectation of teaching focused staff members is that after a period of </w:t>
      </w:r>
      <w:r w:rsidR="00097D13">
        <w:t>sabbatical leave</w:t>
      </w:r>
      <w:r>
        <w:t xml:space="preserve"> (generally one or two semesters) they will have produced a variety of significant </w:t>
      </w:r>
      <w:r w:rsidR="00BD4967">
        <w:t>achievements,</w:t>
      </w:r>
      <w:r w:rsidR="004A5B28">
        <w:t xml:space="preserve"> including but not restricted to publications.</w:t>
      </w:r>
      <w:r>
        <w:t xml:space="preserve"> </w:t>
      </w:r>
      <w:r w:rsidR="004A5B28">
        <w:t>They should have</w:t>
      </w:r>
      <w:r w:rsidR="000834AF">
        <w:t xml:space="preserve"> </w:t>
      </w:r>
      <w:r>
        <w:t>prepared and put in place a</w:t>
      </w:r>
      <w:r w:rsidR="004A5B28">
        <w:t>n</w:t>
      </w:r>
      <w:r>
        <w:t xml:space="preserve"> agenda to carry forward</w:t>
      </w:r>
      <w:r w:rsidR="004A5B28">
        <w:t xml:space="preserve"> new and innovative teaching and teaching related initiatives</w:t>
      </w:r>
      <w:r>
        <w:t xml:space="preserve">. </w:t>
      </w:r>
      <w:r w:rsidR="00097D13">
        <w:t>Sabbatical leave</w:t>
      </w:r>
      <w:r>
        <w:t xml:space="preserve"> is an important part of academic life; it can reinvigorate careers, allow established</w:t>
      </w:r>
      <w:r w:rsidR="000834AF">
        <w:t xml:space="preserve"> </w:t>
      </w:r>
      <w:r w:rsidR="004A5B28">
        <w:t xml:space="preserve">TF staff </w:t>
      </w:r>
      <w:r>
        <w:t>to complete important and on-going</w:t>
      </w:r>
      <w:r w:rsidR="00046DB2">
        <w:t>, as well as facilitate new</w:t>
      </w:r>
      <w:r>
        <w:t xml:space="preserve"> </w:t>
      </w:r>
      <w:r w:rsidR="004A5B28">
        <w:t xml:space="preserve">teaching initiatives, and teaching related </w:t>
      </w:r>
      <w:r>
        <w:t>research projects</w:t>
      </w:r>
      <w:r w:rsidR="00046DB2">
        <w:t xml:space="preserve">, as well as facilitate </w:t>
      </w:r>
      <w:r>
        <w:t xml:space="preserve">international links with other institutions – to name only a few benefits. </w:t>
      </w:r>
      <w:r w:rsidR="00097D13">
        <w:t>Sabbatical leave</w:t>
      </w:r>
      <w:r>
        <w:t xml:space="preserve"> at Manchester University is not a ‘right’ it is granted to eligible staff, by the School, on behalf of the University. </w:t>
      </w:r>
    </w:p>
    <w:p w:rsidR="004C7BF2" w:rsidRDefault="004C7BF2" w:rsidP="00621DC8">
      <w:pPr>
        <w:pStyle w:val="BodyText"/>
        <w:ind w:firstLine="0"/>
        <w:jc w:val="both"/>
      </w:pPr>
      <w:r>
        <w:t xml:space="preserve">The </w:t>
      </w:r>
      <w:r w:rsidR="00097D13">
        <w:t xml:space="preserve">sabbatical </w:t>
      </w:r>
      <w:r w:rsidR="00716DE3">
        <w:t>L</w:t>
      </w:r>
      <w:r w:rsidR="00097D13">
        <w:t>eave</w:t>
      </w:r>
      <w:r>
        <w:t xml:space="preserve"> </w:t>
      </w:r>
      <w:r w:rsidR="00716DE3">
        <w:t>C</w:t>
      </w:r>
      <w:r>
        <w:t xml:space="preserve">ommittee has the task of deciding if an individual’s application is acceptable or not. It should remember that any </w:t>
      </w:r>
      <w:r w:rsidR="00097D13">
        <w:t>sabbatical leave</w:t>
      </w:r>
      <w:r>
        <w:t xml:space="preserve"> granted will have implication on the teaching loads of staff in that academic’s </w:t>
      </w:r>
      <w:r w:rsidR="00716DE3">
        <w:t>group;</w:t>
      </w:r>
      <w:r>
        <w:t xml:space="preserve"> it is also a significant investment by the University in that individual’s development. It is therefore reasonable to assume that the committee is convinced that there will be a reasonable return on that investment (for the University, School and individual). In order to assure this takes place, mentors are allocated, potential</w:t>
      </w:r>
      <w:r w:rsidR="000834AF">
        <w:t xml:space="preserve"> </w:t>
      </w:r>
      <w:r w:rsidR="00BD4967">
        <w:t>achievements</w:t>
      </w:r>
      <w:r>
        <w:t xml:space="preserve"> are reviewed, interim reports are assessed and a follow up process of </w:t>
      </w:r>
      <w:r w:rsidR="00097D13">
        <w:t>sabbatical leave</w:t>
      </w:r>
      <w:r>
        <w:t xml:space="preserve"> reports are required. The committee takes these processes seriously and failure to produce may have implications for future </w:t>
      </w:r>
      <w:r w:rsidR="00097D13">
        <w:t>sabbatical leave</w:t>
      </w:r>
      <w:r>
        <w:t xml:space="preserve"> applications.</w:t>
      </w:r>
    </w:p>
    <w:p w:rsidR="004C7BF2" w:rsidRDefault="007017AF" w:rsidP="004C7BF2">
      <w:pPr>
        <w:pStyle w:val="Heading1"/>
      </w:pPr>
      <w:r>
        <w:t>Teaching focused staff</w:t>
      </w:r>
    </w:p>
    <w:p w:rsidR="004C7BF2" w:rsidRDefault="004C7BF2" w:rsidP="00621DC8">
      <w:pPr>
        <w:pStyle w:val="BodyText"/>
        <w:ind w:firstLine="0"/>
        <w:jc w:val="both"/>
      </w:pPr>
      <w:r>
        <w:t>Due to high teaching demands MBS has recruited several members of staff whose workload consists of teaching and scholarship, as opposed to teaching and research</w:t>
      </w:r>
      <w:r w:rsidR="00046DB2">
        <w:t xml:space="preserve"> (TR)</w:t>
      </w:r>
      <w:r>
        <w:t xml:space="preserve">. </w:t>
      </w:r>
    </w:p>
    <w:p w:rsidR="004C7BF2" w:rsidRDefault="004C7BF2" w:rsidP="00621DC8">
      <w:pPr>
        <w:pStyle w:val="BodyText"/>
        <w:ind w:firstLine="0"/>
        <w:jc w:val="both"/>
      </w:pPr>
      <w:r w:rsidRPr="00E30DB7">
        <w:t>TF members of staff are on exactly the same academic contracts as TR members of staff, the difference is in the workload allocation. The University has offered a new teaching contract to staff but at present we do not have any staff on these contracts. To reiterate, ALL academic staff are currently on the same contracts and pay grades, the only difference being workload and output expectations.</w:t>
      </w:r>
    </w:p>
    <w:p w:rsidR="004C7BF2" w:rsidRDefault="00621DC8" w:rsidP="00621DC8">
      <w:pPr>
        <w:pStyle w:val="BodyText"/>
        <w:ind w:firstLine="0"/>
        <w:jc w:val="both"/>
      </w:pPr>
      <w:r>
        <w:t>A</w:t>
      </w:r>
      <w:r w:rsidR="004C7BF2">
        <w:t>MBS allocates, within its workload model (</w:t>
      </w:r>
      <w:r w:rsidR="001747C6">
        <w:t>WAM</w:t>
      </w:r>
      <w:r w:rsidR="004C7BF2">
        <w:t xml:space="preserve">), 20% of time (nominally one day per week) for TF staff to focus on the scholarship aspect of their job. The expectation for TF staff is that they will </w:t>
      </w:r>
      <w:r w:rsidR="004A5B28">
        <w:t xml:space="preserve">initiate new and innovative teaching practices and disseminate these both within </w:t>
      </w:r>
      <w:r w:rsidR="004A5B28">
        <w:lastRenderedPageBreak/>
        <w:t>the university and externally.</w:t>
      </w:r>
      <w:r w:rsidR="000834AF">
        <w:t xml:space="preserve"> </w:t>
      </w:r>
      <w:r w:rsidR="004A5B28">
        <w:t xml:space="preserve">They will </w:t>
      </w:r>
      <w:r w:rsidR="004C7BF2">
        <w:t>produce</w:t>
      </w:r>
      <w:r w:rsidR="004A5B28">
        <w:t xml:space="preserve"> evidence of these activities, which may take the form of building relationships with internal or external clients, dissemination of practices to, for example, professional bodies, and</w:t>
      </w:r>
      <w:r w:rsidR="004C7BF2">
        <w:t xml:space="preserve"> outputs that are related to teaching scholarship</w:t>
      </w:r>
      <w:r w:rsidR="004A5B28">
        <w:t>.</w:t>
      </w:r>
      <w:r w:rsidR="004C7BF2">
        <w:t xml:space="preserve"> </w:t>
      </w:r>
      <w:r w:rsidR="004A5B28">
        <w:t>E</w:t>
      </w:r>
      <w:r w:rsidR="004C7BF2">
        <w:t xml:space="preserve">xamples may include: </w:t>
      </w:r>
      <w:r w:rsidR="004A5B28">
        <w:t xml:space="preserve">collaborative teaching initiatives and projects, </w:t>
      </w:r>
      <w:r w:rsidR="004C7BF2">
        <w:t>text books, peer reviewed articles on teaching and pedagogy, case studies, simulation games, executive related papers and books, teaching guidance and so on. This is in line with the University’s guidance on parity of esteem.</w:t>
      </w:r>
    </w:p>
    <w:p w:rsidR="004C7BF2" w:rsidRDefault="004C7BF2" w:rsidP="004C7BF2">
      <w:pPr>
        <w:pStyle w:val="Heading1"/>
      </w:pPr>
      <w:r>
        <w:t xml:space="preserve">Guidance </w:t>
      </w:r>
      <w:r w:rsidR="007017AF">
        <w:t>r</w:t>
      </w:r>
      <w:r>
        <w:t xml:space="preserve">egarding </w:t>
      </w:r>
      <w:r w:rsidR="00097D13">
        <w:t>sabbatical leave</w:t>
      </w:r>
      <w:r>
        <w:t xml:space="preserve"> </w:t>
      </w:r>
      <w:r w:rsidR="007017AF">
        <w:t>a</w:t>
      </w:r>
      <w:r>
        <w:t xml:space="preserve">pplications for TF </w:t>
      </w:r>
      <w:r w:rsidR="007017AF">
        <w:t>staff</w:t>
      </w:r>
    </w:p>
    <w:p w:rsidR="004C7BF2" w:rsidRDefault="004C7BF2" w:rsidP="00D1138F">
      <w:pPr>
        <w:pStyle w:val="BodyText"/>
        <w:ind w:firstLine="0"/>
        <w:jc w:val="both"/>
      </w:pPr>
      <w:r>
        <w:t xml:space="preserve">The </w:t>
      </w:r>
      <w:r w:rsidR="00097D13">
        <w:t xml:space="preserve">Sabbatical </w:t>
      </w:r>
      <w:r w:rsidR="00716DE3">
        <w:t>L</w:t>
      </w:r>
      <w:r w:rsidR="00097D13">
        <w:t>eave</w:t>
      </w:r>
      <w:r>
        <w:t xml:space="preserve"> Committee will need to consider applications from eligible TF staff</w:t>
      </w:r>
      <w:r w:rsidR="004A5B28">
        <w:t>.</w:t>
      </w:r>
      <w:r>
        <w:t xml:space="preserve"> In line with this</w:t>
      </w:r>
      <w:r w:rsidR="000834AF">
        <w:t xml:space="preserve"> </w:t>
      </w:r>
      <w:r w:rsidR="004A5B28">
        <w:t xml:space="preserve">evidence based </w:t>
      </w:r>
      <w:r>
        <w:t xml:space="preserve">logic the </w:t>
      </w:r>
      <w:r w:rsidR="004A5B28">
        <w:t>c</w:t>
      </w:r>
      <w:r>
        <w:t xml:space="preserve">ommittee </w:t>
      </w:r>
      <w:r w:rsidR="00DB3BAF">
        <w:t>will</w:t>
      </w:r>
      <w:r>
        <w:t xml:space="preserve"> therefore judge the strength of a TF proposal against the following general criteria:</w:t>
      </w:r>
    </w:p>
    <w:tbl>
      <w:tblPr>
        <w:tblStyle w:val="TableGrid"/>
        <w:tblW w:w="0" w:type="auto"/>
        <w:tblLook w:val="04A0" w:firstRow="1" w:lastRow="0" w:firstColumn="1" w:lastColumn="0" w:noHBand="0" w:noVBand="1"/>
      </w:tblPr>
      <w:tblGrid>
        <w:gridCol w:w="9016"/>
      </w:tblGrid>
      <w:tr w:rsidR="004C7BF2" w:rsidRPr="004C7BF2" w:rsidTr="004C7BF2">
        <w:tc>
          <w:tcPr>
            <w:tcW w:w="9242" w:type="dxa"/>
          </w:tcPr>
          <w:p w:rsidR="004C7BF2" w:rsidRPr="008D5839" w:rsidRDefault="004C7BF2" w:rsidP="004A5B28">
            <w:pPr>
              <w:rPr>
                <w:b/>
                <w:i/>
              </w:rPr>
            </w:pPr>
            <w:r w:rsidRPr="008D5839">
              <w:rPr>
                <w:b/>
                <w:i/>
              </w:rPr>
              <w:t xml:space="preserve">Pedagogical </w:t>
            </w:r>
            <w:r w:rsidR="004A5B28" w:rsidRPr="008D5839">
              <w:rPr>
                <w:b/>
                <w:i/>
              </w:rPr>
              <w:t>Evidence of teaching initiatives and o</w:t>
            </w:r>
            <w:r w:rsidRPr="008D5839">
              <w:rPr>
                <w:b/>
                <w:i/>
              </w:rPr>
              <w:t>utputs</w:t>
            </w:r>
          </w:p>
        </w:tc>
      </w:tr>
      <w:tr w:rsidR="004C7BF2" w:rsidTr="004C7BF2">
        <w:tc>
          <w:tcPr>
            <w:tcW w:w="9242" w:type="dxa"/>
          </w:tcPr>
          <w:p w:rsidR="004A5B28" w:rsidRDefault="004A5B28" w:rsidP="004C7BF2">
            <w:pPr>
              <w:pStyle w:val="ListParagraph"/>
              <w:numPr>
                <w:ilvl w:val="0"/>
                <w:numId w:val="19"/>
              </w:numPr>
            </w:pPr>
            <w:r>
              <w:t xml:space="preserve">Will the </w:t>
            </w:r>
            <w:r w:rsidR="00097D13">
              <w:t>sabbatical leave</w:t>
            </w:r>
            <w:r>
              <w:t xml:space="preserve"> produce teaching initiatives with internal or external collaborators?</w:t>
            </w:r>
          </w:p>
          <w:p w:rsidR="004A5B28" w:rsidRDefault="004A5B28" w:rsidP="004C7BF2">
            <w:pPr>
              <w:pStyle w:val="ListParagraph"/>
              <w:numPr>
                <w:ilvl w:val="0"/>
                <w:numId w:val="19"/>
              </w:numPr>
            </w:pPr>
            <w:r>
              <w:t xml:space="preserve">Will the </w:t>
            </w:r>
            <w:r w:rsidR="00097D13">
              <w:t>sabbatical leave</w:t>
            </w:r>
            <w:r>
              <w:t xml:space="preserve"> produce and /or disseminate innovative teaching practices?</w:t>
            </w:r>
          </w:p>
          <w:p w:rsidR="004A5B28" w:rsidRDefault="004A5B28" w:rsidP="004C7BF2">
            <w:pPr>
              <w:pStyle w:val="ListParagraph"/>
              <w:numPr>
                <w:ilvl w:val="0"/>
                <w:numId w:val="19"/>
              </w:numPr>
            </w:pPr>
            <w:r>
              <w:t xml:space="preserve">Will the </w:t>
            </w:r>
            <w:r w:rsidR="00097D13">
              <w:t>sabbatical leave</w:t>
            </w:r>
            <w:r>
              <w:t xml:space="preserve"> produce new or strengthen existing relationships with external clients?</w:t>
            </w:r>
          </w:p>
          <w:p w:rsidR="004C7BF2" w:rsidRDefault="004C7BF2" w:rsidP="004C7BF2">
            <w:pPr>
              <w:pStyle w:val="ListParagraph"/>
              <w:numPr>
                <w:ilvl w:val="0"/>
                <w:numId w:val="19"/>
              </w:numPr>
            </w:pPr>
            <w:r>
              <w:t xml:space="preserve">Will the </w:t>
            </w:r>
            <w:r w:rsidR="00097D13">
              <w:t>sabbatical leave</w:t>
            </w:r>
            <w:r>
              <w:t xml:space="preserve"> produce pedagogical outputs that will be published in peer reviewed journals e.g. Academy of Management – Teaching and Learning? </w:t>
            </w:r>
          </w:p>
          <w:p w:rsidR="004C7BF2" w:rsidRDefault="004C7BF2" w:rsidP="004C7BF2">
            <w:pPr>
              <w:pStyle w:val="ListParagraph"/>
              <w:numPr>
                <w:ilvl w:val="0"/>
                <w:numId w:val="19"/>
              </w:numPr>
            </w:pPr>
            <w:r>
              <w:t xml:space="preserve">Conference Papers – most management conferences host a teaching and learning stream – will the </w:t>
            </w:r>
            <w:r w:rsidR="00097D13">
              <w:t>sabbatical leave</w:t>
            </w:r>
            <w:r>
              <w:t xml:space="preserve"> lead to the production and presentation of seminar papers e.g. BAM, AoM etc.</w:t>
            </w:r>
          </w:p>
          <w:p w:rsidR="004C7BF2" w:rsidRDefault="004C7BF2" w:rsidP="004C7BF2">
            <w:pPr>
              <w:pStyle w:val="ListParagraph"/>
              <w:numPr>
                <w:ilvl w:val="0"/>
                <w:numId w:val="19"/>
              </w:numPr>
            </w:pPr>
            <w:r>
              <w:t xml:space="preserve">Will the </w:t>
            </w:r>
            <w:r w:rsidR="00097D13">
              <w:t>sabbatical leave</w:t>
            </w:r>
            <w:r>
              <w:t xml:space="preserve"> lead to the production </w:t>
            </w:r>
            <w:r w:rsidR="004A5B28">
              <w:t xml:space="preserve">and use </w:t>
            </w:r>
            <w:r>
              <w:t xml:space="preserve">of case studies </w:t>
            </w:r>
            <w:r w:rsidR="004A5B28">
              <w:t>(these</w:t>
            </w:r>
            <w:r>
              <w:t xml:space="preserve"> may be published in leading clearing </w:t>
            </w:r>
            <w:r w:rsidR="00476ACE">
              <w:t>houses</w:t>
            </w:r>
            <w:r>
              <w:t xml:space="preserve"> e.g. Harvard, Instead etc.</w:t>
            </w:r>
            <w:r w:rsidR="004A5B28">
              <w:t>)</w:t>
            </w:r>
          </w:p>
          <w:p w:rsidR="004C7BF2" w:rsidRDefault="004C7BF2" w:rsidP="004C7BF2">
            <w:pPr>
              <w:pStyle w:val="ListParagraph"/>
              <w:numPr>
                <w:ilvl w:val="0"/>
                <w:numId w:val="19"/>
              </w:numPr>
            </w:pPr>
            <w:r>
              <w:t xml:space="preserve">Will the </w:t>
            </w:r>
            <w:r w:rsidR="00097D13">
              <w:t>sabbatical leave</w:t>
            </w:r>
            <w:r>
              <w:t xml:space="preserve"> lead to the production of a text book, case book, </w:t>
            </w:r>
            <w:r w:rsidR="00476ACE">
              <w:t>and learned</w:t>
            </w:r>
            <w:r>
              <w:t xml:space="preserve"> book on teaching methods.</w:t>
            </w:r>
          </w:p>
          <w:p w:rsidR="004C7BF2" w:rsidRDefault="004C7BF2" w:rsidP="004C7BF2">
            <w:pPr>
              <w:pStyle w:val="ListParagraph"/>
              <w:numPr>
                <w:ilvl w:val="0"/>
                <w:numId w:val="19"/>
              </w:numPr>
            </w:pPr>
            <w:r>
              <w:t xml:space="preserve">Executive Focused Outputs: Will the </w:t>
            </w:r>
            <w:r w:rsidR="00097D13">
              <w:t>sabbatical leave</w:t>
            </w:r>
            <w:r>
              <w:t xml:space="preserve"> lead to executive/practical outputs such as papers in practitioner journals, newspaper articles, interviews etc</w:t>
            </w:r>
            <w:r w:rsidR="00476ACE">
              <w:t>.</w:t>
            </w:r>
            <w:r>
              <w:t xml:space="preserve"> i.e. </w:t>
            </w:r>
            <w:r w:rsidR="007E5B29">
              <w:t>impact</w:t>
            </w:r>
            <w:r>
              <w:t xml:space="preserve"> raising.</w:t>
            </w:r>
          </w:p>
          <w:p w:rsidR="004C7BF2" w:rsidRDefault="004C7BF2" w:rsidP="004A5B28">
            <w:pPr>
              <w:pStyle w:val="ListParagraph"/>
              <w:numPr>
                <w:ilvl w:val="0"/>
                <w:numId w:val="19"/>
              </w:numPr>
            </w:pPr>
            <w:r>
              <w:t xml:space="preserve">Other pedagogical outputs: Will the </w:t>
            </w:r>
            <w:r w:rsidR="00097D13">
              <w:t>sabbatical leave</w:t>
            </w:r>
            <w:r>
              <w:t xml:space="preserve"> lead to the production of teaching support materials e.g. simulation games, </w:t>
            </w:r>
          </w:p>
        </w:tc>
      </w:tr>
      <w:tr w:rsidR="004C7BF2" w:rsidRPr="004C7BF2" w:rsidTr="00D0392D">
        <w:tc>
          <w:tcPr>
            <w:tcW w:w="9242" w:type="dxa"/>
          </w:tcPr>
          <w:p w:rsidR="004C7BF2" w:rsidRPr="008D5839" w:rsidRDefault="004C7BF2" w:rsidP="004C7BF2">
            <w:pPr>
              <w:rPr>
                <w:b/>
                <w:i/>
              </w:rPr>
            </w:pPr>
            <w:r w:rsidRPr="008D5839">
              <w:rPr>
                <w:b/>
                <w:i/>
              </w:rPr>
              <w:t>Research Grants</w:t>
            </w:r>
          </w:p>
        </w:tc>
      </w:tr>
      <w:tr w:rsidR="004C7BF2" w:rsidTr="00D0392D">
        <w:tc>
          <w:tcPr>
            <w:tcW w:w="9242" w:type="dxa"/>
          </w:tcPr>
          <w:p w:rsidR="004C7BF2" w:rsidRDefault="004C7BF2" w:rsidP="004A5B28">
            <w:pPr>
              <w:pStyle w:val="ListParagraph"/>
              <w:numPr>
                <w:ilvl w:val="0"/>
                <w:numId w:val="21"/>
              </w:numPr>
            </w:pPr>
            <w:r w:rsidRPr="004C7BF2">
              <w:t xml:space="preserve">Using the </w:t>
            </w:r>
            <w:r w:rsidR="00097D13">
              <w:t>sabbatical leave</w:t>
            </w:r>
            <w:r w:rsidRPr="004C7BF2">
              <w:t xml:space="preserve"> to submit a grant focusing on scholarship related questions and research e.g. case study development, experimental designs for examining teaching techniques in management etc.</w:t>
            </w:r>
          </w:p>
        </w:tc>
      </w:tr>
      <w:tr w:rsidR="004C7BF2" w:rsidRPr="004C7BF2" w:rsidTr="00D0392D">
        <w:tc>
          <w:tcPr>
            <w:tcW w:w="9242" w:type="dxa"/>
          </w:tcPr>
          <w:p w:rsidR="004C7BF2" w:rsidRPr="008D5839" w:rsidRDefault="004C7BF2" w:rsidP="00D0392D">
            <w:pPr>
              <w:rPr>
                <w:b/>
                <w:i/>
              </w:rPr>
            </w:pPr>
            <w:r w:rsidRPr="008D5839">
              <w:rPr>
                <w:b/>
                <w:i/>
              </w:rPr>
              <w:t>Personal development</w:t>
            </w:r>
          </w:p>
        </w:tc>
      </w:tr>
      <w:tr w:rsidR="004C7BF2" w:rsidTr="00D0392D">
        <w:tc>
          <w:tcPr>
            <w:tcW w:w="9242" w:type="dxa"/>
          </w:tcPr>
          <w:p w:rsidR="004C7BF2" w:rsidRDefault="004C7BF2" w:rsidP="004C7BF2">
            <w:pPr>
              <w:pStyle w:val="ListParagraph"/>
              <w:numPr>
                <w:ilvl w:val="0"/>
                <w:numId w:val="20"/>
              </w:numPr>
            </w:pPr>
            <w:r>
              <w:t xml:space="preserve">Using the </w:t>
            </w:r>
            <w:r w:rsidR="00097D13">
              <w:t>sabbatical leave</w:t>
            </w:r>
            <w:r>
              <w:t xml:space="preserve"> to acquire new techniques that could be used to improve teaching performance or teaching of their chosen subject area</w:t>
            </w:r>
          </w:p>
        </w:tc>
      </w:tr>
    </w:tbl>
    <w:p w:rsidR="004C7BF2" w:rsidRDefault="004C7BF2" w:rsidP="004C7BF2"/>
    <w:p w:rsidR="00BC4C1A" w:rsidRDefault="004C7BF2" w:rsidP="00D1138F">
      <w:pPr>
        <w:pStyle w:val="BodyText"/>
        <w:ind w:firstLine="0"/>
        <w:jc w:val="both"/>
      </w:pPr>
      <w:r>
        <w:t xml:space="preserve">It is also proposed that </w:t>
      </w:r>
      <w:r w:rsidR="006D77E8">
        <w:t>A</w:t>
      </w:r>
      <w:r>
        <w:t xml:space="preserve">MBS would use the same guidelines for assessing whether the leave period qualifies for one or two semesters (subject to eligibility). </w:t>
      </w:r>
      <w:r w:rsidR="00D1138F">
        <w:t>A</w:t>
      </w:r>
      <w:r>
        <w:t>MBS would also apply the same mentoring and assessment criteria.</w:t>
      </w:r>
    </w:p>
    <w:p w:rsidR="0043377C" w:rsidRDefault="0043377C" w:rsidP="0043377C">
      <w:pPr>
        <w:pStyle w:val="Heading1"/>
      </w:pPr>
      <w:r>
        <w:lastRenderedPageBreak/>
        <w:t xml:space="preserve">Eligibility </w:t>
      </w:r>
    </w:p>
    <w:p w:rsidR="00C052F4" w:rsidRDefault="00C052F4" w:rsidP="00D1138F">
      <w:pPr>
        <w:pStyle w:val="BodyText"/>
        <w:ind w:firstLine="0"/>
      </w:pPr>
      <w:r>
        <w:t>As per the “</w:t>
      </w:r>
      <w:r w:rsidRPr="0032690C">
        <w:t xml:space="preserve">Guidelines and procedures for </w:t>
      </w:r>
      <w:r w:rsidR="00097D13">
        <w:t>sabbatical leave</w:t>
      </w:r>
      <w:r w:rsidRPr="0032690C">
        <w:t xml:space="preserve"> proposals</w:t>
      </w:r>
      <w:r>
        <w:t xml:space="preserve">” (published on the </w:t>
      </w:r>
      <w:r w:rsidR="00D1138F">
        <w:t>A</w:t>
      </w:r>
      <w:r>
        <w:t>MBS intranet, research support pages), e</w:t>
      </w:r>
      <w:r w:rsidRPr="0032690C">
        <w:t xml:space="preserve">ligibility for consideration for </w:t>
      </w:r>
      <w:r w:rsidR="00097D13">
        <w:t>sabbatical leave</w:t>
      </w:r>
      <w:r w:rsidRPr="0032690C">
        <w:t xml:space="preserve"> </w:t>
      </w:r>
      <w:r>
        <w:t xml:space="preserve">for TR staff </w:t>
      </w:r>
      <w:r w:rsidRPr="0032690C">
        <w:t xml:space="preserve">is normally </w:t>
      </w:r>
      <w:r>
        <w:t>“</w:t>
      </w:r>
      <w:r w:rsidRPr="0032690C">
        <w:t>calculated as one semester’s (year’s) leave after six semester’s (year’s) normal teaching and research duties.</w:t>
      </w:r>
      <w:r>
        <w:t xml:space="preserve"> […].”</w:t>
      </w:r>
      <w:r w:rsidRPr="0032690C">
        <w:t xml:space="preserve"> </w:t>
      </w:r>
    </w:p>
    <w:p w:rsidR="00C052F4" w:rsidRDefault="00C052F4" w:rsidP="00D1138F">
      <w:pPr>
        <w:pStyle w:val="BodyText"/>
        <w:ind w:firstLine="0"/>
        <w:jc w:val="both"/>
      </w:pPr>
      <w:r>
        <w:t>For TF staff eligibility is calculated on a pro-rata basis. TF staffs have 20% time for professional development in WAM, which is 50% of the time for TR staff. To this end, eligibility is calculated as one semester’s leave after 12 semester’s normal teaching and scholarship duties.”</w:t>
      </w:r>
    </w:p>
    <w:p w:rsidR="0043377C" w:rsidRPr="0043377C" w:rsidRDefault="0043377C" w:rsidP="0043377C"/>
    <w:sectPr w:rsidR="0043377C" w:rsidRPr="0043377C" w:rsidSect="00FC34C5">
      <w:footerReference w:type="default" r:id="rId7"/>
      <w:pgSz w:w="11906" w:h="16838"/>
      <w:pgMar w:top="124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70" w:rsidRDefault="00393170" w:rsidP="00843834">
      <w:r>
        <w:separator/>
      </w:r>
    </w:p>
  </w:endnote>
  <w:endnote w:type="continuationSeparator" w:id="0">
    <w:p w:rsidR="00393170" w:rsidRDefault="00393170" w:rsidP="008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i w:val="0"/>
        <w:sz w:val="22"/>
        <w:szCs w:val="22"/>
      </w:rPr>
      <w:id w:val="25036454"/>
      <w:docPartObj>
        <w:docPartGallery w:val="Page Numbers (Bottom of Page)"/>
        <w:docPartUnique/>
      </w:docPartObj>
    </w:sdtPr>
    <w:sdtEndPr/>
    <w:sdtContent>
      <w:p w:rsidR="00BE439E" w:rsidRPr="00F1158A" w:rsidRDefault="007E4F96">
        <w:pPr>
          <w:pStyle w:val="Footer"/>
          <w:jc w:val="center"/>
          <w:rPr>
            <w:rFonts w:asciiTheme="minorHAnsi" w:hAnsiTheme="minorHAnsi"/>
            <w:i w:val="0"/>
            <w:sz w:val="22"/>
            <w:szCs w:val="22"/>
          </w:rPr>
        </w:pPr>
        <w:sdt>
          <w:sdtPr>
            <w:rPr>
              <w:rFonts w:asciiTheme="minorHAnsi" w:hAnsiTheme="minorHAnsi"/>
              <w:i w:val="0"/>
              <w:sz w:val="22"/>
              <w:szCs w:val="22"/>
            </w:rPr>
            <w:id w:val="565050477"/>
            <w:docPartObj>
              <w:docPartGallery w:val="Page Numbers (Top of Page)"/>
              <w:docPartUnique/>
            </w:docPartObj>
          </w:sdtPr>
          <w:sdtEndPr/>
          <w:sdtContent>
            <w:r w:rsidR="00BE439E" w:rsidRPr="00F1158A">
              <w:rPr>
                <w:rFonts w:asciiTheme="minorHAnsi" w:hAnsiTheme="minorHAnsi"/>
                <w:i w:val="0"/>
                <w:sz w:val="22"/>
                <w:szCs w:val="22"/>
              </w:rPr>
              <w:t xml:space="preserve">Page </w:t>
            </w:r>
            <w:r w:rsidR="00BE439E" w:rsidRPr="00F1158A">
              <w:rPr>
                <w:rFonts w:asciiTheme="minorHAnsi" w:hAnsiTheme="minorHAnsi"/>
                <w:b/>
                <w:i w:val="0"/>
                <w:sz w:val="22"/>
                <w:szCs w:val="22"/>
              </w:rPr>
              <w:fldChar w:fldCharType="begin"/>
            </w:r>
            <w:r w:rsidR="00BE439E" w:rsidRPr="00F1158A">
              <w:rPr>
                <w:rFonts w:asciiTheme="minorHAnsi" w:hAnsiTheme="minorHAnsi"/>
                <w:b/>
                <w:i w:val="0"/>
                <w:sz w:val="22"/>
                <w:szCs w:val="22"/>
              </w:rPr>
              <w:instrText xml:space="preserve"> PAGE </w:instrText>
            </w:r>
            <w:r w:rsidR="00BE439E" w:rsidRPr="00F1158A">
              <w:rPr>
                <w:rFonts w:asciiTheme="minorHAnsi" w:hAnsiTheme="minorHAnsi"/>
                <w:b/>
                <w:i w:val="0"/>
                <w:sz w:val="22"/>
                <w:szCs w:val="22"/>
              </w:rPr>
              <w:fldChar w:fldCharType="separate"/>
            </w:r>
            <w:r>
              <w:rPr>
                <w:rFonts w:asciiTheme="minorHAnsi" w:hAnsiTheme="minorHAnsi"/>
                <w:b/>
                <w:i w:val="0"/>
                <w:noProof/>
                <w:sz w:val="22"/>
                <w:szCs w:val="22"/>
              </w:rPr>
              <w:t>2</w:t>
            </w:r>
            <w:r w:rsidR="00BE439E" w:rsidRPr="00F1158A">
              <w:rPr>
                <w:rFonts w:asciiTheme="minorHAnsi" w:hAnsiTheme="minorHAnsi"/>
                <w:b/>
                <w:i w:val="0"/>
                <w:sz w:val="22"/>
                <w:szCs w:val="22"/>
              </w:rPr>
              <w:fldChar w:fldCharType="end"/>
            </w:r>
            <w:r w:rsidR="00BE439E" w:rsidRPr="00F1158A">
              <w:rPr>
                <w:rFonts w:asciiTheme="minorHAnsi" w:hAnsiTheme="minorHAnsi"/>
                <w:i w:val="0"/>
                <w:sz w:val="22"/>
                <w:szCs w:val="22"/>
              </w:rPr>
              <w:t xml:space="preserve"> of </w:t>
            </w:r>
            <w:r w:rsidR="00BE439E" w:rsidRPr="00F1158A">
              <w:rPr>
                <w:rFonts w:asciiTheme="minorHAnsi" w:hAnsiTheme="minorHAnsi"/>
                <w:b/>
                <w:i w:val="0"/>
                <w:sz w:val="22"/>
                <w:szCs w:val="22"/>
              </w:rPr>
              <w:fldChar w:fldCharType="begin"/>
            </w:r>
            <w:r w:rsidR="00BE439E" w:rsidRPr="00F1158A">
              <w:rPr>
                <w:rFonts w:asciiTheme="minorHAnsi" w:hAnsiTheme="minorHAnsi"/>
                <w:b/>
                <w:i w:val="0"/>
                <w:sz w:val="22"/>
                <w:szCs w:val="22"/>
              </w:rPr>
              <w:instrText xml:space="preserve"> NUMPAGES  </w:instrText>
            </w:r>
            <w:r w:rsidR="00BE439E" w:rsidRPr="00F1158A">
              <w:rPr>
                <w:rFonts w:asciiTheme="minorHAnsi" w:hAnsiTheme="minorHAnsi"/>
                <w:b/>
                <w:i w:val="0"/>
                <w:sz w:val="22"/>
                <w:szCs w:val="22"/>
              </w:rPr>
              <w:fldChar w:fldCharType="separate"/>
            </w:r>
            <w:r>
              <w:rPr>
                <w:rFonts w:asciiTheme="minorHAnsi" w:hAnsiTheme="minorHAnsi"/>
                <w:b/>
                <w:i w:val="0"/>
                <w:noProof/>
                <w:sz w:val="22"/>
                <w:szCs w:val="22"/>
              </w:rPr>
              <w:t>3</w:t>
            </w:r>
            <w:r w:rsidR="00BE439E" w:rsidRPr="00F1158A">
              <w:rPr>
                <w:rFonts w:asciiTheme="minorHAnsi" w:hAnsiTheme="minorHAnsi"/>
                <w:b/>
                <w:i w:val="0"/>
                <w:sz w:val="22"/>
                <w:szCs w:val="22"/>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70" w:rsidRDefault="00393170" w:rsidP="00843834">
      <w:r>
        <w:separator/>
      </w:r>
    </w:p>
  </w:footnote>
  <w:footnote w:type="continuationSeparator" w:id="0">
    <w:p w:rsidR="00393170" w:rsidRDefault="00393170" w:rsidP="00843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4D6"/>
    <w:multiLevelType w:val="hybridMultilevel"/>
    <w:tmpl w:val="ED5C684C"/>
    <w:lvl w:ilvl="0" w:tplc="FECA1A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3395"/>
    <w:multiLevelType w:val="hybridMultilevel"/>
    <w:tmpl w:val="13864CAE"/>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FB53B4"/>
    <w:multiLevelType w:val="hybridMultilevel"/>
    <w:tmpl w:val="BB007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619FB"/>
    <w:multiLevelType w:val="hybridMultilevel"/>
    <w:tmpl w:val="D996DA8C"/>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04095"/>
    <w:multiLevelType w:val="hybridMultilevel"/>
    <w:tmpl w:val="CACA2988"/>
    <w:lvl w:ilvl="0" w:tplc="FECA1A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32578"/>
    <w:multiLevelType w:val="hybridMultilevel"/>
    <w:tmpl w:val="283E429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906E4"/>
    <w:multiLevelType w:val="hybridMultilevel"/>
    <w:tmpl w:val="FB1A996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308F4"/>
    <w:multiLevelType w:val="hybridMultilevel"/>
    <w:tmpl w:val="E7761B66"/>
    <w:lvl w:ilvl="0" w:tplc="FECA1A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C53B5"/>
    <w:multiLevelType w:val="hybridMultilevel"/>
    <w:tmpl w:val="08F634FC"/>
    <w:lvl w:ilvl="0" w:tplc="FECA1A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CF6FB3"/>
    <w:multiLevelType w:val="hybridMultilevel"/>
    <w:tmpl w:val="7B26F77C"/>
    <w:lvl w:ilvl="0" w:tplc="25A80A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E268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6950DC7"/>
    <w:multiLevelType w:val="hybridMultilevel"/>
    <w:tmpl w:val="5A1A25E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2"/>
  </w:num>
  <w:num w:numId="12">
    <w:abstractNumId w:val="9"/>
  </w:num>
  <w:num w:numId="13">
    <w:abstractNumId w:val="1"/>
  </w:num>
  <w:num w:numId="14">
    <w:abstractNumId w:val="0"/>
  </w:num>
  <w:num w:numId="15">
    <w:abstractNumId w:val="8"/>
  </w:num>
  <w:num w:numId="16">
    <w:abstractNumId w:val="3"/>
  </w:num>
  <w:num w:numId="17">
    <w:abstractNumId w:val="7"/>
  </w:num>
  <w:num w:numId="18">
    <w:abstractNumId w:val="4"/>
  </w:num>
  <w:num w:numId="19">
    <w:abstractNumId w:val="11"/>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MR - CV &amp;amp;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909ttp6fz0smertdlp9xrq2z2x0r5w9ffr&quot;&gt;ma-haniff&lt;record-ids&gt;&lt;item&gt;684&lt;/item&gt;&lt;item&gt;685&lt;/item&gt;&lt;item&gt;686&lt;/item&gt;&lt;item&gt;687&lt;/item&gt;&lt;/record-ids&gt;&lt;/item&gt;&lt;item db-id=&quot;pwv5fvzsid9vpqe2szop2s9vrazvpeaev2dd&quot;&gt;Emotions&lt;record-ids&gt;&lt;item&gt;1230&lt;/item&gt;&lt;item&gt;1231&lt;/item&gt;&lt;/record-ids&gt;&lt;/item&gt;&lt;/Libraries&gt;"/>
  </w:docVars>
  <w:rsids>
    <w:rsidRoot w:val="004C7BF2"/>
    <w:rsid w:val="000000CD"/>
    <w:rsid w:val="00002D94"/>
    <w:rsid w:val="000110CE"/>
    <w:rsid w:val="00015EBE"/>
    <w:rsid w:val="00017741"/>
    <w:rsid w:val="00020324"/>
    <w:rsid w:val="00020DE2"/>
    <w:rsid w:val="00022071"/>
    <w:rsid w:val="00023B29"/>
    <w:rsid w:val="000242F0"/>
    <w:rsid w:val="00030D4A"/>
    <w:rsid w:val="00030E99"/>
    <w:rsid w:val="00040171"/>
    <w:rsid w:val="000459C9"/>
    <w:rsid w:val="00046DB2"/>
    <w:rsid w:val="00047ED6"/>
    <w:rsid w:val="00051A60"/>
    <w:rsid w:val="0005426C"/>
    <w:rsid w:val="00056BDB"/>
    <w:rsid w:val="00063F96"/>
    <w:rsid w:val="00065A4E"/>
    <w:rsid w:val="00076327"/>
    <w:rsid w:val="000834AF"/>
    <w:rsid w:val="00084256"/>
    <w:rsid w:val="00097171"/>
    <w:rsid w:val="00097D13"/>
    <w:rsid w:val="000A0709"/>
    <w:rsid w:val="000A0E3B"/>
    <w:rsid w:val="000A2302"/>
    <w:rsid w:val="000A253F"/>
    <w:rsid w:val="000C4E3C"/>
    <w:rsid w:val="000C6529"/>
    <w:rsid w:val="000C794B"/>
    <w:rsid w:val="000D0042"/>
    <w:rsid w:val="000D28EE"/>
    <w:rsid w:val="000D52D6"/>
    <w:rsid w:val="000E6518"/>
    <w:rsid w:val="000F12F1"/>
    <w:rsid w:val="000F7FA6"/>
    <w:rsid w:val="00105E11"/>
    <w:rsid w:val="00107517"/>
    <w:rsid w:val="00112947"/>
    <w:rsid w:val="001168F8"/>
    <w:rsid w:val="00122229"/>
    <w:rsid w:val="001249EF"/>
    <w:rsid w:val="00124C1C"/>
    <w:rsid w:val="00126F44"/>
    <w:rsid w:val="0013505C"/>
    <w:rsid w:val="001436F7"/>
    <w:rsid w:val="00146154"/>
    <w:rsid w:val="0016244E"/>
    <w:rsid w:val="00162854"/>
    <w:rsid w:val="001644F3"/>
    <w:rsid w:val="00167A70"/>
    <w:rsid w:val="00172FB9"/>
    <w:rsid w:val="001740E0"/>
    <w:rsid w:val="001747C6"/>
    <w:rsid w:val="00176355"/>
    <w:rsid w:val="001818BF"/>
    <w:rsid w:val="0018254D"/>
    <w:rsid w:val="001846BE"/>
    <w:rsid w:val="001972CF"/>
    <w:rsid w:val="001A1DD9"/>
    <w:rsid w:val="001A34A7"/>
    <w:rsid w:val="001C3389"/>
    <w:rsid w:val="001D11C8"/>
    <w:rsid w:val="001D21FE"/>
    <w:rsid w:val="001D2FB8"/>
    <w:rsid w:val="001D68FE"/>
    <w:rsid w:val="001D7040"/>
    <w:rsid w:val="001E09B6"/>
    <w:rsid w:val="001E5998"/>
    <w:rsid w:val="001E78AC"/>
    <w:rsid w:val="001F09D6"/>
    <w:rsid w:val="001F36B8"/>
    <w:rsid w:val="001F42B6"/>
    <w:rsid w:val="00203427"/>
    <w:rsid w:val="002043AD"/>
    <w:rsid w:val="00205464"/>
    <w:rsid w:val="00207515"/>
    <w:rsid w:val="00212647"/>
    <w:rsid w:val="00216E4B"/>
    <w:rsid w:val="00230E95"/>
    <w:rsid w:val="002319B8"/>
    <w:rsid w:val="00232BB6"/>
    <w:rsid w:val="002373EA"/>
    <w:rsid w:val="00242B53"/>
    <w:rsid w:val="00247C42"/>
    <w:rsid w:val="002522DA"/>
    <w:rsid w:val="00266450"/>
    <w:rsid w:val="00274174"/>
    <w:rsid w:val="00274714"/>
    <w:rsid w:val="00276945"/>
    <w:rsid w:val="002853B0"/>
    <w:rsid w:val="002873F3"/>
    <w:rsid w:val="002A0FA8"/>
    <w:rsid w:val="002A3842"/>
    <w:rsid w:val="002A3BE0"/>
    <w:rsid w:val="002A5657"/>
    <w:rsid w:val="002A6F12"/>
    <w:rsid w:val="002B5F03"/>
    <w:rsid w:val="002C3220"/>
    <w:rsid w:val="002D09BC"/>
    <w:rsid w:val="002D16F8"/>
    <w:rsid w:val="002D60FD"/>
    <w:rsid w:val="002D7C31"/>
    <w:rsid w:val="002E280C"/>
    <w:rsid w:val="002E4D61"/>
    <w:rsid w:val="002F4479"/>
    <w:rsid w:val="002F4555"/>
    <w:rsid w:val="002F71DA"/>
    <w:rsid w:val="002F7EAE"/>
    <w:rsid w:val="003071D3"/>
    <w:rsid w:val="00310041"/>
    <w:rsid w:val="003130FC"/>
    <w:rsid w:val="00314A49"/>
    <w:rsid w:val="003153BA"/>
    <w:rsid w:val="00325B5E"/>
    <w:rsid w:val="00325E5B"/>
    <w:rsid w:val="00331AA1"/>
    <w:rsid w:val="003350C6"/>
    <w:rsid w:val="00337EC4"/>
    <w:rsid w:val="00341872"/>
    <w:rsid w:val="00343118"/>
    <w:rsid w:val="00344DF3"/>
    <w:rsid w:val="003451CD"/>
    <w:rsid w:val="00354D27"/>
    <w:rsid w:val="003553D9"/>
    <w:rsid w:val="00355407"/>
    <w:rsid w:val="00355DC0"/>
    <w:rsid w:val="00361BAE"/>
    <w:rsid w:val="00375AB5"/>
    <w:rsid w:val="00385C44"/>
    <w:rsid w:val="00387873"/>
    <w:rsid w:val="00393170"/>
    <w:rsid w:val="00395F8D"/>
    <w:rsid w:val="003A293C"/>
    <w:rsid w:val="003A3184"/>
    <w:rsid w:val="003A52A1"/>
    <w:rsid w:val="003A63CA"/>
    <w:rsid w:val="003B07B0"/>
    <w:rsid w:val="003B1115"/>
    <w:rsid w:val="003B2FEE"/>
    <w:rsid w:val="003B4FFA"/>
    <w:rsid w:val="003B65DC"/>
    <w:rsid w:val="003C1C21"/>
    <w:rsid w:val="003C20C3"/>
    <w:rsid w:val="003D744A"/>
    <w:rsid w:val="003E1AA0"/>
    <w:rsid w:val="003F077E"/>
    <w:rsid w:val="003F5FE6"/>
    <w:rsid w:val="003F67B1"/>
    <w:rsid w:val="0040672F"/>
    <w:rsid w:val="00422EE0"/>
    <w:rsid w:val="00426B2D"/>
    <w:rsid w:val="00426F56"/>
    <w:rsid w:val="00427171"/>
    <w:rsid w:val="00427A17"/>
    <w:rsid w:val="0043377C"/>
    <w:rsid w:val="00437429"/>
    <w:rsid w:val="004419DA"/>
    <w:rsid w:val="00451531"/>
    <w:rsid w:val="00453770"/>
    <w:rsid w:val="00454FE7"/>
    <w:rsid w:val="00457047"/>
    <w:rsid w:val="0047272E"/>
    <w:rsid w:val="00472F50"/>
    <w:rsid w:val="00476ACE"/>
    <w:rsid w:val="00480121"/>
    <w:rsid w:val="00480B0B"/>
    <w:rsid w:val="004820FF"/>
    <w:rsid w:val="00483FB2"/>
    <w:rsid w:val="0049458C"/>
    <w:rsid w:val="00496AEE"/>
    <w:rsid w:val="004A51CA"/>
    <w:rsid w:val="004A5B28"/>
    <w:rsid w:val="004A6DA2"/>
    <w:rsid w:val="004A74BF"/>
    <w:rsid w:val="004B43EF"/>
    <w:rsid w:val="004B7953"/>
    <w:rsid w:val="004C0BB2"/>
    <w:rsid w:val="004C0D11"/>
    <w:rsid w:val="004C1E08"/>
    <w:rsid w:val="004C3260"/>
    <w:rsid w:val="004C7BF2"/>
    <w:rsid w:val="004D397F"/>
    <w:rsid w:val="004D4456"/>
    <w:rsid w:val="004D66D5"/>
    <w:rsid w:val="004D6FF6"/>
    <w:rsid w:val="004D76D3"/>
    <w:rsid w:val="004E0E27"/>
    <w:rsid w:val="004E2D09"/>
    <w:rsid w:val="004E33AC"/>
    <w:rsid w:val="004E490C"/>
    <w:rsid w:val="004F0488"/>
    <w:rsid w:val="004F2D6D"/>
    <w:rsid w:val="004F2DCF"/>
    <w:rsid w:val="004F5DD3"/>
    <w:rsid w:val="00503C15"/>
    <w:rsid w:val="00507F2A"/>
    <w:rsid w:val="00511BBE"/>
    <w:rsid w:val="00511FC1"/>
    <w:rsid w:val="0051781A"/>
    <w:rsid w:val="00521AB5"/>
    <w:rsid w:val="00522EED"/>
    <w:rsid w:val="00524848"/>
    <w:rsid w:val="00524E27"/>
    <w:rsid w:val="00526B63"/>
    <w:rsid w:val="00530B7F"/>
    <w:rsid w:val="00536CE1"/>
    <w:rsid w:val="005377D6"/>
    <w:rsid w:val="00541580"/>
    <w:rsid w:val="005430E2"/>
    <w:rsid w:val="005505B6"/>
    <w:rsid w:val="00550EA2"/>
    <w:rsid w:val="0055212C"/>
    <w:rsid w:val="005577F7"/>
    <w:rsid w:val="0056126D"/>
    <w:rsid w:val="00565A05"/>
    <w:rsid w:val="00567999"/>
    <w:rsid w:val="0058041D"/>
    <w:rsid w:val="0058374C"/>
    <w:rsid w:val="00585263"/>
    <w:rsid w:val="0058563B"/>
    <w:rsid w:val="00592588"/>
    <w:rsid w:val="00593BA9"/>
    <w:rsid w:val="00594F7E"/>
    <w:rsid w:val="005A48A5"/>
    <w:rsid w:val="005A6D56"/>
    <w:rsid w:val="005B1885"/>
    <w:rsid w:val="005B1C42"/>
    <w:rsid w:val="005B5C14"/>
    <w:rsid w:val="005C0C31"/>
    <w:rsid w:val="005C120C"/>
    <w:rsid w:val="005C14C3"/>
    <w:rsid w:val="005C1E1E"/>
    <w:rsid w:val="005C4112"/>
    <w:rsid w:val="005C5221"/>
    <w:rsid w:val="005D1D91"/>
    <w:rsid w:val="005D35B1"/>
    <w:rsid w:val="005D39CE"/>
    <w:rsid w:val="005D6B8E"/>
    <w:rsid w:val="005D79D1"/>
    <w:rsid w:val="005E3A7A"/>
    <w:rsid w:val="005E5FBD"/>
    <w:rsid w:val="005F113A"/>
    <w:rsid w:val="005F1BD3"/>
    <w:rsid w:val="005F25DA"/>
    <w:rsid w:val="005F5910"/>
    <w:rsid w:val="006010C3"/>
    <w:rsid w:val="00601F1C"/>
    <w:rsid w:val="00606A5F"/>
    <w:rsid w:val="00610EE0"/>
    <w:rsid w:val="006111BE"/>
    <w:rsid w:val="00615DA2"/>
    <w:rsid w:val="006166C5"/>
    <w:rsid w:val="00617E96"/>
    <w:rsid w:val="00621DC8"/>
    <w:rsid w:val="00623C24"/>
    <w:rsid w:val="00624355"/>
    <w:rsid w:val="00626A90"/>
    <w:rsid w:val="0063035F"/>
    <w:rsid w:val="00632E2E"/>
    <w:rsid w:val="00633B93"/>
    <w:rsid w:val="0064039C"/>
    <w:rsid w:val="00641318"/>
    <w:rsid w:val="00645EC5"/>
    <w:rsid w:val="006622D0"/>
    <w:rsid w:val="006725A2"/>
    <w:rsid w:val="006778DB"/>
    <w:rsid w:val="00677C91"/>
    <w:rsid w:val="00692482"/>
    <w:rsid w:val="006A7A08"/>
    <w:rsid w:val="006B3AA7"/>
    <w:rsid w:val="006C0C31"/>
    <w:rsid w:val="006C2F41"/>
    <w:rsid w:val="006D3022"/>
    <w:rsid w:val="006D5E3A"/>
    <w:rsid w:val="006D61C3"/>
    <w:rsid w:val="006D649B"/>
    <w:rsid w:val="006D77E8"/>
    <w:rsid w:val="006E0A2D"/>
    <w:rsid w:val="006E3E65"/>
    <w:rsid w:val="006E65A4"/>
    <w:rsid w:val="006F3FF7"/>
    <w:rsid w:val="006F4E28"/>
    <w:rsid w:val="006F4FC6"/>
    <w:rsid w:val="006F6B00"/>
    <w:rsid w:val="0070098C"/>
    <w:rsid w:val="00700F8F"/>
    <w:rsid w:val="007012D1"/>
    <w:rsid w:val="007017AF"/>
    <w:rsid w:val="00716DE3"/>
    <w:rsid w:val="007173CD"/>
    <w:rsid w:val="00727E93"/>
    <w:rsid w:val="0073619D"/>
    <w:rsid w:val="0074554D"/>
    <w:rsid w:val="0075178C"/>
    <w:rsid w:val="007527BB"/>
    <w:rsid w:val="00753328"/>
    <w:rsid w:val="007552AE"/>
    <w:rsid w:val="007554DE"/>
    <w:rsid w:val="007755FD"/>
    <w:rsid w:val="00782F2C"/>
    <w:rsid w:val="00795D65"/>
    <w:rsid w:val="007965F7"/>
    <w:rsid w:val="007B01CB"/>
    <w:rsid w:val="007B119F"/>
    <w:rsid w:val="007B3D71"/>
    <w:rsid w:val="007D1307"/>
    <w:rsid w:val="007E0ADA"/>
    <w:rsid w:val="007E1723"/>
    <w:rsid w:val="007E360F"/>
    <w:rsid w:val="007E4F96"/>
    <w:rsid w:val="007E5B29"/>
    <w:rsid w:val="007F187A"/>
    <w:rsid w:val="007F2B17"/>
    <w:rsid w:val="007F2E80"/>
    <w:rsid w:val="007F5C86"/>
    <w:rsid w:val="007F7C80"/>
    <w:rsid w:val="008036F3"/>
    <w:rsid w:val="00806DD8"/>
    <w:rsid w:val="00816BDA"/>
    <w:rsid w:val="00826655"/>
    <w:rsid w:val="0082782D"/>
    <w:rsid w:val="008314F6"/>
    <w:rsid w:val="00833A65"/>
    <w:rsid w:val="00843834"/>
    <w:rsid w:val="008450E3"/>
    <w:rsid w:val="00850D8F"/>
    <w:rsid w:val="00851470"/>
    <w:rsid w:val="008564AC"/>
    <w:rsid w:val="00857387"/>
    <w:rsid w:val="00871D16"/>
    <w:rsid w:val="00873757"/>
    <w:rsid w:val="00875DDF"/>
    <w:rsid w:val="00882281"/>
    <w:rsid w:val="00883D06"/>
    <w:rsid w:val="00883F03"/>
    <w:rsid w:val="00893D38"/>
    <w:rsid w:val="00893F41"/>
    <w:rsid w:val="008A20DE"/>
    <w:rsid w:val="008A4C16"/>
    <w:rsid w:val="008A54CA"/>
    <w:rsid w:val="008B066E"/>
    <w:rsid w:val="008B25A1"/>
    <w:rsid w:val="008C3B72"/>
    <w:rsid w:val="008D12E0"/>
    <w:rsid w:val="008D2ED4"/>
    <w:rsid w:val="008D5839"/>
    <w:rsid w:val="008D6176"/>
    <w:rsid w:val="008D66EC"/>
    <w:rsid w:val="008D68AE"/>
    <w:rsid w:val="008F36FC"/>
    <w:rsid w:val="008F424D"/>
    <w:rsid w:val="00900C42"/>
    <w:rsid w:val="009011F9"/>
    <w:rsid w:val="00911C91"/>
    <w:rsid w:val="00911F26"/>
    <w:rsid w:val="009146D5"/>
    <w:rsid w:val="00932C1E"/>
    <w:rsid w:val="009417BC"/>
    <w:rsid w:val="00941C7C"/>
    <w:rsid w:val="009422E3"/>
    <w:rsid w:val="00951C0C"/>
    <w:rsid w:val="0095349A"/>
    <w:rsid w:val="00954871"/>
    <w:rsid w:val="00954CA4"/>
    <w:rsid w:val="00955D6B"/>
    <w:rsid w:val="0096496B"/>
    <w:rsid w:val="00967205"/>
    <w:rsid w:val="00980D78"/>
    <w:rsid w:val="00985F0B"/>
    <w:rsid w:val="009A02B7"/>
    <w:rsid w:val="009A4BDE"/>
    <w:rsid w:val="009A4BF7"/>
    <w:rsid w:val="009A52C1"/>
    <w:rsid w:val="009A7474"/>
    <w:rsid w:val="009C531F"/>
    <w:rsid w:val="009C74D7"/>
    <w:rsid w:val="009D35CA"/>
    <w:rsid w:val="009F1964"/>
    <w:rsid w:val="009F462B"/>
    <w:rsid w:val="009F6083"/>
    <w:rsid w:val="00A00DFF"/>
    <w:rsid w:val="00A01B67"/>
    <w:rsid w:val="00A05239"/>
    <w:rsid w:val="00A06BF5"/>
    <w:rsid w:val="00A15886"/>
    <w:rsid w:val="00A23D08"/>
    <w:rsid w:val="00A302A1"/>
    <w:rsid w:val="00A31EBD"/>
    <w:rsid w:val="00A331DE"/>
    <w:rsid w:val="00A3400A"/>
    <w:rsid w:val="00A36565"/>
    <w:rsid w:val="00A36F22"/>
    <w:rsid w:val="00A4079F"/>
    <w:rsid w:val="00A43507"/>
    <w:rsid w:val="00A44E06"/>
    <w:rsid w:val="00A45133"/>
    <w:rsid w:val="00A50A3E"/>
    <w:rsid w:val="00A56AFA"/>
    <w:rsid w:val="00A634F7"/>
    <w:rsid w:val="00A706BF"/>
    <w:rsid w:val="00A72CAC"/>
    <w:rsid w:val="00A75E26"/>
    <w:rsid w:val="00A76724"/>
    <w:rsid w:val="00A83E20"/>
    <w:rsid w:val="00A83E9F"/>
    <w:rsid w:val="00A86C5F"/>
    <w:rsid w:val="00AB2757"/>
    <w:rsid w:val="00AB4178"/>
    <w:rsid w:val="00AB4B90"/>
    <w:rsid w:val="00AB640E"/>
    <w:rsid w:val="00AB65C4"/>
    <w:rsid w:val="00AB7A25"/>
    <w:rsid w:val="00AC3EF0"/>
    <w:rsid w:val="00AD4182"/>
    <w:rsid w:val="00AD4729"/>
    <w:rsid w:val="00AD6565"/>
    <w:rsid w:val="00AD66AF"/>
    <w:rsid w:val="00AE127C"/>
    <w:rsid w:val="00AE311E"/>
    <w:rsid w:val="00AE3BFE"/>
    <w:rsid w:val="00AE64A3"/>
    <w:rsid w:val="00AF2BFB"/>
    <w:rsid w:val="00AF5A84"/>
    <w:rsid w:val="00B10167"/>
    <w:rsid w:val="00B10CE6"/>
    <w:rsid w:val="00B17AA5"/>
    <w:rsid w:val="00B211DB"/>
    <w:rsid w:val="00B2410A"/>
    <w:rsid w:val="00B25D58"/>
    <w:rsid w:val="00B27274"/>
    <w:rsid w:val="00B36945"/>
    <w:rsid w:val="00B36C1E"/>
    <w:rsid w:val="00B400E7"/>
    <w:rsid w:val="00B4058B"/>
    <w:rsid w:val="00B40834"/>
    <w:rsid w:val="00B40DBA"/>
    <w:rsid w:val="00B47107"/>
    <w:rsid w:val="00B47A72"/>
    <w:rsid w:val="00B53EB0"/>
    <w:rsid w:val="00B54D58"/>
    <w:rsid w:val="00B57D7B"/>
    <w:rsid w:val="00B63326"/>
    <w:rsid w:val="00B819B8"/>
    <w:rsid w:val="00B850A3"/>
    <w:rsid w:val="00B8678F"/>
    <w:rsid w:val="00B91331"/>
    <w:rsid w:val="00B91F02"/>
    <w:rsid w:val="00BA1302"/>
    <w:rsid w:val="00BA1EC2"/>
    <w:rsid w:val="00BA3523"/>
    <w:rsid w:val="00BA52D3"/>
    <w:rsid w:val="00BB51B4"/>
    <w:rsid w:val="00BB68F3"/>
    <w:rsid w:val="00BB6EA0"/>
    <w:rsid w:val="00BC35BB"/>
    <w:rsid w:val="00BC485A"/>
    <w:rsid w:val="00BC4C1A"/>
    <w:rsid w:val="00BD0039"/>
    <w:rsid w:val="00BD1CAD"/>
    <w:rsid w:val="00BD2BBC"/>
    <w:rsid w:val="00BD4967"/>
    <w:rsid w:val="00BD71E6"/>
    <w:rsid w:val="00BD7860"/>
    <w:rsid w:val="00BE0554"/>
    <w:rsid w:val="00BE439E"/>
    <w:rsid w:val="00BF301D"/>
    <w:rsid w:val="00BF394A"/>
    <w:rsid w:val="00BF6CD1"/>
    <w:rsid w:val="00C052F4"/>
    <w:rsid w:val="00C05FC4"/>
    <w:rsid w:val="00C101B5"/>
    <w:rsid w:val="00C1274E"/>
    <w:rsid w:val="00C14241"/>
    <w:rsid w:val="00C16AA2"/>
    <w:rsid w:val="00C2500F"/>
    <w:rsid w:val="00C30648"/>
    <w:rsid w:val="00C3116A"/>
    <w:rsid w:val="00C323AE"/>
    <w:rsid w:val="00C3547C"/>
    <w:rsid w:val="00C42551"/>
    <w:rsid w:val="00C42AF1"/>
    <w:rsid w:val="00C5010E"/>
    <w:rsid w:val="00C53B82"/>
    <w:rsid w:val="00C55AB8"/>
    <w:rsid w:val="00C56D62"/>
    <w:rsid w:val="00C61296"/>
    <w:rsid w:val="00C65206"/>
    <w:rsid w:val="00C6608B"/>
    <w:rsid w:val="00C74E6F"/>
    <w:rsid w:val="00C75956"/>
    <w:rsid w:val="00C76040"/>
    <w:rsid w:val="00C777B0"/>
    <w:rsid w:val="00C846DD"/>
    <w:rsid w:val="00C942CB"/>
    <w:rsid w:val="00C94533"/>
    <w:rsid w:val="00CB05DB"/>
    <w:rsid w:val="00CB41D2"/>
    <w:rsid w:val="00CB6852"/>
    <w:rsid w:val="00CC3D3F"/>
    <w:rsid w:val="00CC5DB9"/>
    <w:rsid w:val="00CC7E86"/>
    <w:rsid w:val="00CD2F41"/>
    <w:rsid w:val="00CD4EC1"/>
    <w:rsid w:val="00CE02AC"/>
    <w:rsid w:val="00CE588E"/>
    <w:rsid w:val="00CF02D1"/>
    <w:rsid w:val="00CF1887"/>
    <w:rsid w:val="00CF4C55"/>
    <w:rsid w:val="00CF608C"/>
    <w:rsid w:val="00D1138F"/>
    <w:rsid w:val="00D260BF"/>
    <w:rsid w:val="00D35C54"/>
    <w:rsid w:val="00D362D3"/>
    <w:rsid w:val="00D4792A"/>
    <w:rsid w:val="00D52965"/>
    <w:rsid w:val="00D5457E"/>
    <w:rsid w:val="00D60997"/>
    <w:rsid w:val="00D74C15"/>
    <w:rsid w:val="00D754DE"/>
    <w:rsid w:val="00D755E6"/>
    <w:rsid w:val="00D8338E"/>
    <w:rsid w:val="00D83E2D"/>
    <w:rsid w:val="00D92E69"/>
    <w:rsid w:val="00D93577"/>
    <w:rsid w:val="00D96085"/>
    <w:rsid w:val="00D96B68"/>
    <w:rsid w:val="00DA3C34"/>
    <w:rsid w:val="00DA3E72"/>
    <w:rsid w:val="00DB3BAF"/>
    <w:rsid w:val="00DC0D58"/>
    <w:rsid w:val="00DC597F"/>
    <w:rsid w:val="00DC7951"/>
    <w:rsid w:val="00DD2880"/>
    <w:rsid w:val="00DE33D2"/>
    <w:rsid w:val="00DE463B"/>
    <w:rsid w:val="00E003D8"/>
    <w:rsid w:val="00E04054"/>
    <w:rsid w:val="00E05414"/>
    <w:rsid w:val="00E06A99"/>
    <w:rsid w:val="00E178CF"/>
    <w:rsid w:val="00E234B9"/>
    <w:rsid w:val="00E30DB7"/>
    <w:rsid w:val="00E32C55"/>
    <w:rsid w:val="00E36912"/>
    <w:rsid w:val="00E42C4C"/>
    <w:rsid w:val="00E60DEE"/>
    <w:rsid w:val="00E61DBD"/>
    <w:rsid w:val="00E65CE9"/>
    <w:rsid w:val="00E7066D"/>
    <w:rsid w:val="00E763B5"/>
    <w:rsid w:val="00E80D4F"/>
    <w:rsid w:val="00E83E4A"/>
    <w:rsid w:val="00E8669A"/>
    <w:rsid w:val="00E87693"/>
    <w:rsid w:val="00E9077F"/>
    <w:rsid w:val="00E93EC6"/>
    <w:rsid w:val="00E94A38"/>
    <w:rsid w:val="00E972EA"/>
    <w:rsid w:val="00EA05E4"/>
    <w:rsid w:val="00EA208E"/>
    <w:rsid w:val="00EA27AD"/>
    <w:rsid w:val="00EA2F63"/>
    <w:rsid w:val="00EB7F51"/>
    <w:rsid w:val="00EC3909"/>
    <w:rsid w:val="00EC6351"/>
    <w:rsid w:val="00EC7BA0"/>
    <w:rsid w:val="00ED03BE"/>
    <w:rsid w:val="00ED100B"/>
    <w:rsid w:val="00ED3D35"/>
    <w:rsid w:val="00ED7982"/>
    <w:rsid w:val="00EE5590"/>
    <w:rsid w:val="00EF43CD"/>
    <w:rsid w:val="00EF5D1D"/>
    <w:rsid w:val="00F002DA"/>
    <w:rsid w:val="00F004CF"/>
    <w:rsid w:val="00F02CFD"/>
    <w:rsid w:val="00F03940"/>
    <w:rsid w:val="00F06416"/>
    <w:rsid w:val="00F06603"/>
    <w:rsid w:val="00F1158A"/>
    <w:rsid w:val="00F11BB9"/>
    <w:rsid w:val="00F15ED9"/>
    <w:rsid w:val="00F27322"/>
    <w:rsid w:val="00F30E36"/>
    <w:rsid w:val="00F347D1"/>
    <w:rsid w:val="00F35EE5"/>
    <w:rsid w:val="00F37908"/>
    <w:rsid w:val="00F43119"/>
    <w:rsid w:val="00F444D2"/>
    <w:rsid w:val="00F47AE1"/>
    <w:rsid w:val="00F47D62"/>
    <w:rsid w:val="00F505EF"/>
    <w:rsid w:val="00F527E6"/>
    <w:rsid w:val="00F54F12"/>
    <w:rsid w:val="00F60946"/>
    <w:rsid w:val="00F64203"/>
    <w:rsid w:val="00F648E5"/>
    <w:rsid w:val="00F65E2D"/>
    <w:rsid w:val="00F739BA"/>
    <w:rsid w:val="00F75974"/>
    <w:rsid w:val="00F822A5"/>
    <w:rsid w:val="00F828EE"/>
    <w:rsid w:val="00F84FF8"/>
    <w:rsid w:val="00F97D40"/>
    <w:rsid w:val="00FA4A98"/>
    <w:rsid w:val="00FA5F60"/>
    <w:rsid w:val="00FC34C5"/>
    <w:rsid w:val="00FD29AF"/>
    <w:rsid w:val="00FD409C"/>
    <w:rsid w:val="00FD6096"/>
    <w:rsid w:val="00FE74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A0DBA-3521-4148-89CA-CE9909C0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AF1"/>
    <w:pPr>
      <w:spacing w:after="0" w:line="240" w:lineRule="auto"/>
    </w:pPr>
    <w:rPr>
      <w:sz w:val="24"/>
    </w:rPr>
  </w:style>
  <w:style w:type="paragraph" w:styleId="Heading1">
    <w:name w:val="heading 1"/>
    <w:basedOn w:val="Normal"/>
    <w:next w:val="Normal"/>
    <w:link w:val="Heading1Char"/>
    <w:uiPriority w:val="9"/>
    <w:qFormat/>
    <w:rsid w:val="000A2302"/>
    <w:pPr>
      <w:keepNext/>
      <w:keepLines/>
      <w:numPr>
        <w:numId w:val="10"/>
      </w:numPr>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BC4C1A"/>
    <w:pPr>
      <w:keepNext/>
      <w:keepLines/>
      <w:numPr>
        <w:ilvl w:val="1"/>
        <w:numId w:val="10"/>
      </w:num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302"/>
    <w:pPr>
      <w:spacing w:after="30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0A2302"/>
    <w:rPr>
      <w:rFonts w:asciiTheme="majorHAnsi" w:eastAsiaTheme="majorEastAsia" w:hAnsiTheme="majorHAnsi" w:cstheme="majorBidi"/>
      <w:b/>
      <w:spacing w:val="5"/>
      <w:kern w:val="28"/>
      <w:sz w:val="32"/>
      <w:szCs w:val="52"/>
      <w:lang w:val="en-US"/>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BC4C1A"/>
    <w:rPr>
      <w:rFonts w:asciiTheme="majorHAnsi" w:eastAsiaTheme="majorEastAsia" w:hAnsiTheme="majorHAnsi" w:cstheme="majorBidi"/>
      <w:b/>
      <w:bCs/>
      <w:sz w:val="26"/>
      <w:szCs w:val="26"/>
      <w:lang w:val="en-US"/>
    </w:rPr>
  </w:style>
  <w:style w:type="paragraph" w:customStyle="1" w:styleId="Abstract">
    <w:name w:val="Abstract"/>
    <w:basedOn w:val="BodyText"/>
    <w:rsid w:val="00CD2F41"/>
  </w:style>
  <w:style w:type="paragraph" w:styleId="BodyText">
    <w:name w:val="Body Text"/>
    <w:basedOn w:val="Normal"/>
    <w:link w:val="BodyTextChar"/>
    <w:rsid w:val="004C7BF2"/>
    <w:pPr>
      <w:spacing w:after="120"/>
      <w:ind w:firstLine="720"/>
    </w:pPr>
  </w:style>
  <w:style w:type="character" w:customStyle="1" w:styleId="BodyTextChar">
    <w:name w:val="Body Text Char"/>
    <w:basedOn w:val="DefaultParagraphFont"/>
    <w:link w:val="BodyText"/>
    <w:rsid w:val="004C7BF2"/>
    <w:rPr>
      <w:sz w:val="24"/>
      <w:lang w:val="en-US"/>
    </w:rPr>
  </w:style>
  <w:style w:type="paragraph" w:styleId="BodyText2">
    <w:name w:val="Body Text 2"/>
    <w:basedOn w:val="Normal"/>
    <w:link w:val="BodyText2Char"/>
    <w:uiPriority w:val="3"/>
    <w:rsid w:val="00CD2F41"/>
    <w:pPr>
      <w:spacing w:after="120" w:line="480" w:lineRule="auto"/>
    </w:pPr>
    <w:rPr>
      <w:rFonts w:ascii="Times New Roman" w:eastAsia="Times New Roman" w:hAnsi="Times New Roman" w:cs="Times New Roman"/>
      <w:sz w:val="22"/>
      <w:szCs w:val="24"/>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eastAsia="Times New Roman" w:hAnsi="Times New Roman" w:cs="Times New Roman"/>
      <w:b/>
      <w:bCs/>
      <w:sz w:val="22"/>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eastAsia="Times New Roman" w:hAnsi="Times New Roman" w:cs="Times New Roman"/>
      <w:i/>
      <w:sz w:val="18"/>
      <w:szCs w:val="24"/>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eastAsia="Times New Roman" w:hAnsi="Times New Roman" w:cs="Times New Roman"/>
      <w:i/>
      <w:sz w:val="18"/>
      <w:szCs w:val="24"/>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eastAsia="Times New Roman" w:hAnsi="Times New Roman" w:cs="Times New Roman"/>
      <w:sz w:val="22"/>
      <w:szCs w:val="24"/>
      <w:lang w:eastAsia="en-GB"/>
    </w:rPr>
  </w:style>
  <w:style w:type="paragraph" w:styleId="Bibliography">
    <w:name w:val="Bibliography"/>
    <w:basedOn w:val="Normal"/>
    <w:rsid w:val="00CD2F41"/>
    <w:pPr>
      <w:ind w:left="482" w:hanging="482"/>
    </w:pPr>
    <w:rPr>
      <w:rFonts w:ascii="Times New Roman" w:eastAsia="Times New Roman" w:hAnsi="Times New Roman" w:cs="Times New Roman"/>
      <w:szCs w:val="24"/>
    </w:rPr>
  </w:style>
  <w:style w:type="paragraph" w:customStyle="1" w:styleId="Note">
    <w:name w:val="Note"/>
    <w:basedOn w:val="Normal"/>
    <w:rsid w:val="00CD2F41"/>
    <w:pPr>
      <w:widowControl w:val="0"/>
    </w:pPr>
    <w:rPr>
      <w:rFonts w:ascii="Times New Roman" w:eastAsia="PMingLiU" w:hAnsi="Times New Roman" w:cs="Times New Roman"/>
      <w:i/>
      <w:kern w:val="2"/>
      <w:sz w:val="18"/>
      <w:szCs w:val="24"/>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eastAsia="Times New Roman" w:hAnsi="Calibri" w:cs="Times New Roman"/>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jc w:val="both"/>
    </w:pPr>
    <w:rPr>
      <w:rFonts w:eastAsia="PMingLiU" w:cs="Times New Roman"/>
      <w:szCs w:val="24"/>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cs="Times New Roman"/>
      <w:b/>
      <w:szCs w:val="24"/>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iPriority w:val="99"/>
    <w:unhideWhenUsed/>
    <w:rsid w:val="00F648E5"/>
    <w:rPr>
      <w:color w:val="0000FF" w:themeColor="hyperlink"/>
      <w:u w:val="single"/>
    </w:rPr>
  </w:style>
  <w:style w:type="paragraph" w:styleId="ListParagraph">
    <w:name w:val="List Paragraph"/>
    <w:basedOn w:val="Normal"/>
    <w:uiPriority w:val="34"/>
    <w:qFormat/>
    <w:rsid w:val="004C7BF2"/>
    <w:pPr>
      <w:ind w:left="720"/>
      <w:contextualSpacing/>
    </w:pPr>
  </w:style>
  <w:style w:type="table" w:styleId="TableGrid">
    <w:name w:val="Table Grid"/>
    <w:basedOn w:val="TableNormal"/>
    <w:uiPriority w:val="59"/>
    <w:rsid w:val="004C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B28"/>
    <w:rPr>
      <w:rFonts w:ascii="Tahoma" w:hAnsi="Tahoma" w:cs="Tahoma"/>
      <w:sz w:val="16"/>
      <w:szCs w:val="16"/>
    </w:rPr>
  </w:style>
  <w:style w:type="character" w:customStyle="1" w:styleId="BalloonTextChar">
    <w:name w:val="Balloon Text Char"/>
    <w:basedOn w:val="DefaultParagraphFont"/>
    <w:link w:val="BalloonText"/>
    <w:uiPriority w:val="99"/>
    <w:semiHidden/>
    <w:rsid w:val="004A5B28"/>
    <w:rPr>
      <w:rFonts w:ascii="Tahoma" w:hAnsi="Tahoma" w:cs="Tahoma"/>
      <w:sz w:val="16"/>
      <w:szCs w:val="16"/>
    </w:rPr>
  </w:style>
  <w:style w:type="character" w:styleId="CommentReference">
    <w:name w:val="annotation reference"/>
    <w:basedOn w:val="DefaultParagraphFont"/>
    <w:uiPriority w:val="99"/>
    <w:semiHidden/>
    <w:unhideWhenUsed/>
    <w:rsid w:val="004A5B28"/>
    <w:rPr>
      <w:sz w:val="16"/>
      <w:szCs w:val="16"/>
    </w:rPr>
  </w:style>
  <w:style w:type="paragraph" w:styleId="CommentText">
    <w:name w:val="annotation text"/>
    <w:basedOn w:val="Normal"/>
    <w:link w:val="CommentTextChar"/>
    <w:uiPriority w:val="99"/>
    <w:semiHidden/>
    <w:unhideWhenUsed/>
    <w:rsid w:val="004A5B28"/>
    <w:rPr>
      <w:sz w:val="20"/>
      <w:szCs w:val="20"/>
    </w:rPr>
  </w:style>
  <w:style w:type="character" w:customStyle="1" w:styleId="CommentTextChar">
    <w:name w:val="Comment Text Char"/>
    <w:basedOn w:val="DefaultParagraphFont"/>
    <w:link w:val="CommentText"/>
    <w:uiPriority w:val="99"/>
    <w:semiHidden/>
    <w:rsid w:val="004A5B28"/>
    <w:rPr>
      <w:sz w:val="20"/>
      <w:szCs w:val="20"/>
    </w:rPr>
  </w:style>
  <w:style w:type="paragraph" w:styleId="CommentSubject">
    <w:name w:val="annotation subject"/>
    <w:basedOn w:val="CommentText"/>
    <w:next w:val="CommentText"/>
    <w:link w:val="CommentSubjectChar"/>
    <w:uiPriority w:val="99"/>
    <w:semiHidden/>
    <w:unhideWhenUsed/>
    <w:rsid w:val="004A5B28"/>
    <w:rPr>
      <w:b/>
      <w:bCs/>
    </w:rPr>
  </w:style>
  <w:style w:type="character" w:customStyle="1" w:styleId="CommentSubjectChar">
    <w:name w:val="Comment Subject Char"/>
    <w:basedOn w:val="CommentTextChar"/>
    <w:link w:val="CommentSubject"/>
    <w:uiPriority w:val="99"/>
    <w:semiHidden/>
    <w:rsid w:val="004A5B28"/>
    <w:rPr>
      <w:b/>
      <w:bCs/>
      <w:sz w:val="20"/>
      <w:szCs w:val="20"/>
    </w:rPr>
  </w:style>
  <w:style w:type="paragraph" w:styleId="Revision">
    <w:name w:val="Revision"/>
    <w:hidden/>
    <w:uiPriority w:val="99"/>
    <w:semiHidden/>
    <w:rsid w:val="00FC34C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Sinkovics</dc:creator>
  <cp:lastModifiedBy>Andrei Rydzkowski</cp:lastModifiedBy>
  <cp:revision>2</cp:revision>
  <dcterms:created xsi:type="dcterms:W3CDTF">2019-08-05T15:16:00Z</dcterms:created>
  <dcterms:modified xsi:type="dcterms:W3CDTF">2019-08-05T15:16:00Z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