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Pr="005033FB" w:rsidRDefault="005F5DC7" w:rsidP="00100D48">
      <w:pPr>
        <w:tabs>
          <w:tab w:val="left" w:pos="426"/>
        </w:tabs>
        <w:ind w:left="-284"/>
        <w:rPr>
          <w:rFonts w:ascii="Arial" w:hAnsi="Arial" w:cs="Arial"/>
          <w:b/>
          <w:sz w:val="28"/>
          <w:szCs w:val="28"/>
        </w:rPr>
      </w:pPr>
    </w:p>
    <w:p w:rsidR="00100D48" w:rsidRPr="005033FB" w:rsidRDefault="006E64BB" w:rsidP="00372742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  <w:r w:rsidRPr="005033FB">
        <w:rPr>
          <w:rFonts w:ascii="Arial" w:hAnsi="Arial" w:cs="Arial"/>
          <w:b/>
          <w:color w:val="5F497A" w:themeColor="accent4" w:themeShade="BF"/>
          <w:sz w:val="60"/>
          <w:szCs w:val="60"/>
        </w:rPr>
        <w:t>How</w:t>
      </w:r>
      <w:r w:rsidR="003C4933">
        <w:rPr>
          <w:rFonts w:ascii="Arial" w:hAnsi="Arial" w:cs="Arial"/>
          <w:b/>
          <w:color w:val="5F497A" w:themeColor="accent4" w:themeShade="BF"/>
          <w:sz w:val="60"/>
          <w:szCs w:val="60"/>
        </w:rPr>
        <w:t xml:space="preserve"> to support </w:t>
      </w:r>
      <w:r w:rsidR="00567822">
        <w:rPr>
          <w:rFonts w:ascii="Arial" w:hAnsi="Arial" w:cs="Arial"/>
          <w:b/>
          <w:color w:val="5F497A" w:themeColor="accent4" w:themeShade="BF"/>
          <w:sz w:val="60"/>
          <w:szCs w:val="60"/>
        </w:rPr>
        <w:t>a member of staff with an eating disorder</w:t>
      </w:r>
    </w:p>
    <w:p w:rsidR="005033FB" w:rsidRDefault="005033FB" w:rsidP="00100D48">
      <w:pPr>
        <w:ind w:left="-284"/>
        <w:jc w:val="both"/>
        <w:rPr>
          <w:rFonts w:ascii="Arial" w:hAnsi="Arial" w:cs="Arial"/>
          <w:sz w:val="28"/>
          <w:szCs w:val="28"/>
        </w:rPr>
      </w:pPr>
    </w:p>
    <w:p w:rsidR="00F228D2" w:rsidRDefault="00F228D2" w:rsidP="00100D48">
      <w:pPr>
        <w:ind w:left="-284"/>
        <w:jc w:val="both"/>
        <w:rPr>
          <w:rFonts w:ascii="Arial" w:hAnsi="Arial" w:cs="Arial"/>
          <w:sz w:val="28"/>
          <w:szCs w:val="28"/>
        </w:rPr>
      </w:pPr>
    </w:p>
    <w:p w:rsidR="000F043D" w:rsidRPr="00F228D2" w:rsidRDefault="000F043D" w:rsidP="00F228D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en"/>
        </w:rPr>
      </w:pPr>
      <w:r w:rsidRPr="00F228D2">
        <w:rPr>
          <w:rFonts w:ascii="Arial" w:hAnsi="Arial" w:cs="Arial"/>
          <w:sz w:val="22"/>
          <w:szCs w:val="22"/>
          <w:lang w:val="en"/>
        </w:rPr>
        <w:t>Eating disorders are little talked about and often remain hidden</w:t>
      </w:r>
      <w:r w:rsidRPr="00F228D2">
        <w:rPr>
          <w:rFonts w:ascii="Arial" w:hAnsi="Arial" w:cs="Arial"/>
          <w:sz w:val="22"/>
          <w:szCs w:val="22"/>
          <w:lang w:val="en"/>
        </w:rPr>
        <w:t xml:space="preserve"> </w:t>
      </w:r>
      <w:r w:rsidR="00F228D2">
        <w:rPr>
          <w:rFonts w:ascii="Arial" w:hAnsi="Arial" w:cs="Arial"/>
          <w:sz w:val="22"/>
          <w:szCs w:val="22"/>
          <w:lang w:val="en"/>
        </w:rPr>
        <w:t>–</w:t>
      </w:r>
      <w:r w:rsidRPr="00F228D2">
        <w:rPr>
          <w:rFonts w:ascii="Arial" w:hAnsi="Arial" w:cs="Arial"/>
          <w:sz w:val="22"/>
          <w:szCs w:val="22"/>
          <w:lang w:val="en"/>
        </w:rPr>
        <w:t xml:space="preserve"> </w:t>
      </w:r>
      <w:r w:rsidR="00F228D2">
        <w:rPr>
          <w:rFonts w:ascii="Arial" w:hAnsi="Arial" w:cs="Arial"/>
          <w:sz w:val="22"/>
          <w:szCs w:val="22"/>
          <w:lang w:val="en"/>
        </w:rPr>
        <w:t xml:space="preserve">although </w:t>
      </w:r>
      <w:r w:rsidRPr="00F228D2">
        <w:rPr>
          <w:rFonts w:ascii="Arial" w:hAnsi="Arial" w:cs="Arial"/>
          <w:sz w:val="22"/>
          <w:szCs w:val="22"/>
          <w:lang w:val="en"/>
        </w:rPr>
        <w:t xml:space="preserve">an estimated </w:t>
      </w:r>
      <w:r w:rsidRPr="00F228D2">
        <w:rPr>
          <w:rFonts w:ascii="Arial" w:hAnsi="Arial" w:cs="Arial"/>
          <w:sz w:val="22"/>
          <w:szCs w:val="22"/>
          <w:lang w:val="en"/>
        </w:rPr>
        <w:t>1.25 million people</w:t>
      </w:r>
      <w:r w:rsidRPr="00F228D2">
        <w:rPr>
          <w:rFonts w:ascii="Arial" w:hAnsi="Arial" w:cs="Arial"/>
          <w:sz w:val="22"/>
          <w:szCs w:val="22"/>
          <w:lang w:val="en"/>
        </w:rPr>
        <w:t xml:space="preserve"> in the UK have an eating disorder</w:t>
      </w:r>
      <w:r w:rsidRPr="00F228D2">
        <w:rPr>
          <w:rFonts w:ascii="Arial" w:hAnsi="Arial" w:cs="Arial"/>
          <w:sz w:val="22"/>
          <w:szCs w:val="22"/>
          <w:lang w:val="en"/>
        </w:rPr>
        <w:t>. A</w:t>
      </w:r>
      <w:r w:rsidRPr="00F228D2">
        <w:rPr>
          <w:rFonts w:ascii="Arial" w:hAnsi="Arial" w:cs="Arial"/>
          <w:sz w:val="22"/>
          <w:szCs w:val="22"/>
          <w:lang w:val="en"/>
        </w:rPr>
        <w:t>nyone can be affected by an eating disorder</w:t>
      </w:r>
      <w:r w:rsidRPr="00F228D2">
        <w:rPr>
          <w:rFonts w:ascii="Arial" w:hAnsi="Arial" w:cs="Arial"/>
          <w:sz w:val="22"/>
          <w:szCs w:val="22"/>
          <w:lang w:val="en"/>
        </w:rPr>
        <w:t xml:space="preserve">.  </w:t>
      </w:r>
      <w:r w:rsidRPr="00F228D2">
        <w:rPr>
          <w:rFonts w:ascii="Arial" w:hAnsi="Arial" w:cs="Arial"/>
          <w:sz w:val="22"/>
          <w:szCs w:val="22"/>
          <w:lang w:val="en"/>
        </w:rPr>
        <w:t>Eating disorders are complex and everyone's experience will be different</w:t>
      </w:r>
      <w:r w:rsidRPr="00F228D2">
        <w:rPr>
          <w:rFonts w:ascii="Arial" w:hAnsi="Arial" w:cs="Arial"/>
          <w:sz w:val="22"/>
          <w:szCs w:val="22"/>
          <w:lang w:val="en"/>
        </w:rPr>
        <w:t xml:space="preserve">.   </w:t>
      </w:r>
    </w:p>
    <w:p w:rsidR="000F043D" w:rsidRPr="00F228D2" w:rsidRDefault="000F043D" w:rsidP="00F228D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en"/>
        </w:rPr>
      </w:pPr>
    </w:p>
    <w:p w:rsidR="000F043D" w:rsidRPr="00F228D2" w:rsidRDefault="000F043D" w:rsidP="00F228D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F228D2">
        <w:rPr>
          <w:rFonts w:ascii="Arial" w:hAnsi="Arial" w:cs="Arial"/>
          <w:sz w:val="22"/>
          <w:szCs w:val="22"/>
          <w:lang w:val="en"/>
        </w:rPr>
        <w:t xml:space="preserve">Employees struggling with eating disorders </w:t>
      </w:r>
      <w:r w:rsidRPr="00F228D2">
        <w:rPr>
          <w:rFonts w:ascii="Arial" w:hAnsi="Arial" w:cs="Arial"/>
          <w:sz w:val="22"/>
          <w:szCs w:val="22"/>
          <w:lang w:val="en"/>
        </w:rPr>
        <w:t xml:space="preserve">may </w:t>
      </w:r>
      <w:r w:rsidRPr="00F228D2">
        <w:rPr>
          <w:rFonts w:ascii="Arial" w:hAnsi="Arial" w:cs="Arial"/>
          <w:sz w:val="22"/>
          <w:szCs w:val="22"/>
          <w:lang w:val="en"/>
        </w:rPr>
        <w:t xml:space="preserve">conceal their illness. However, there are some warning signs that </w:t>
      </w:r>
      <w:r w:rsidR="00F228D2">
        <w:rPr>
          <w:rFonts w:ascii="Arial" w:hAnsi="Arial" w:cs="Arial"/>
          <w:sz w:val="22"/>
          <w:szCs w:val="22"/>
          <w:lang w:val="en"/>
        </w:rPr>
        <w:t>managers</w:t>
      </w:r>
      <w:r w:rsidRPr="00F228D2">
        <w:rPr>
          <w:rFonts w:ascii="Arial" w:hAnsi="Arial" w:cs="Arial"/>
          <w:sz w:val="22"/>
          <w:szCs w:val="22"/>
          <w:lang w:val="en"/>
        </w:rPr>
        <w:t xml:space="preserve"> should be aware of, which may prompt an initial conversation. These include:</w:t>
      </w:r>
    </w:p>
    <w:p w:rsidR="000F043D" w:rsidRPr="00F228D2" w:rsidRDefault="000F043D" w:rsidP="00F228D2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F228D2">
        <w:rPr>
          <w:rFonts w:ascii="Arial" w:hAnsi="Arial" w:cs="Arial"/>
          <w:sz w:val="22"/>
          <w:szCs w:val="22"/>
          <w:lang w:val="en"/>
        </w:rPr>
        <w:t>Marked changes in behaviour and mood</w:t>
      </w:r>
    </w:p>
    <w:p w:rsidR="000F043D" w:rsidRPr="00F228D2" w:rsidRDefault="000F043D" w:rsidP="00F228D2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F228D2">
        <w:rPr>
          <w:rFonts w:ascii="Arial" w:hAnsi="Arial" w:cs="Arial"/>
          <w:sz w:val="22"/>
          <w:szCs w:val="22"/>
          <w:lang w:val="en"/>
        </w:rPr>
        <w:t>Distorted beliefs about body size</w:t>
      </w:r>
      <w:r w:rsidRPr="00F228D2">
        <w:rPr>
          <w:rFonts w:ascii="MS Gothic" w:eastAsia="MS Gothic" w:hAnsi="MS Gothic" w:cs="MS Gothic" w:hint="eastAsia"/>
          <w:sz w:val="22"/>
          <w:szCs w:val="22"/>
          <w:lang w:val="en"/>
        </w:rPr>
        <w:t> </w:t>
      </w:r>
    </w:p>
    <w:p w:rsidR="000F043D" w:rsidRPr="00F228D2" w:rsidRDefault="000F043D" w:rsidP="00F228D2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F228D2">
        <w:rPr>
          <w:rFonts w:ascii="Arial" w:hAnsi="Arial" w:cs="Arial"/>
          <w:sz w:val="22"/>
          <w:szCs w:val="22"/>
          <w:lang w:val="en"/>
        </w:rPr>
        <w:t>Excessive exercising or agitation when sitting down</w:t>
      </w:r>
      <w:r w:rsidRPr="00F228D2">
        <w:rPr>
          <w:rFonts w:ascii="MS Gothic" w:eastAsia="MS Gothic" w:hAnsi="MS Gothic" w:cs="MS Gothic" w:hint="eastAsia"/>
          <w:sz w:val="22"/>
          <w:szCs w:val="22"/>
          <w:lang w:val="en"/>
        </w:rPr>
        <w:t> </w:t>
      </w:r>
    </w:p>
    <w:p w:rsidR="000F043D" w:rsidRPr="00F228D2" w:rsidRDefault="000F043D" w:rsidP="00F228D2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F228D2">
        <w:rPr>
          <w:rFonts w:ascii="Arial" w:hAnsi="Arial" w:cs="Arial"/>
          <w:sz w:val="22"/>
          <w:szCs w:val="22"/>
          <w:lang w:val="en"/>
        </w:rPr>
        <w:t>Tiredness or difficulty concentrating</w:t>
      </w:r>
      <w:r w:rsidRPr="00F228D2">
        <w:rPr>
          <w:rFonts w:ascii="MS Gothic" w:eastAsia="MS Gothic" w:hAnsi="MS Gothic" w:cs="MS Gothic" w:hint="eastAsia"/>
          <w:sz w:val="22"/>
          <w:szCs w:val="22"/>
          <w:lang w:val="en"/>
        </w:rPr>
        <w:t> </w:t>
      </w:r>
    </w:p>
    <w:p w:rsidR="000F043D" w:rsidRPr="00F228D2" w:rsidRDefault="000F043D" w:rsidP="00F228D2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F228D2">
        <w:rPr>
          <w:rFonts w:ascii="Arial" w:hAnsi="Arial" w:cs="Arial"/>
          <w:sz w:val="22"/>
          <w:szCs w:val="22"/>
          <w:lang w:val="en"/>
        </w:rPr>
        <w:t>Frequent visits to the toilet after eating</w:t>
      </w:r>
      <w:r w:rsidRPr="00F228D2">
        <w:rPr>
          <w:rFonts w:ascii="MS Gothic" w:eastAsia="MS Gothic" w:hAnsi="MS Gothic" w:cs="MS Gothic" w:hint="eastAsia"/>
          <w:sz w:val="22"/>
          <w:szCs w:val="22"/>
          <w:lang w:val="en"/>
        </w:rPr>
        <w:t> </w:t>
      </w:r>
    </w:p>
    <w:p w:rsidR="000F043D" w:rsidRPr="00F228D2" w:rsidRDefault="000F043D" w:rsidP="00F228D2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F228D2">
        <w:rPr>
          <w:rFonts w:ascii="Arial" w:hAnsi="Arial" w:cs="Arial"/>
          <w:sz w:val="22"/>
          <w:szCs w:val="22"/>
          <w:lang w:val="en"/>
        </w:rPr>
        <w:t>Obsessive behaviour regarding food, for example constantly talking about food or specific rituals</w:t>
      </w:r>
    </w:p>
    <w:p w:rsidR="000F043D" w:rsidRPr="00F228D2" w:rsidRDefault="000F043D" w:rsidP="00F228D2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F228D2">
        <w:rPr>
          <w:rFonts w:ascii="Arial" w:hAnsi="Arial" w:cs="Arial"/>
          <w:sz w:val="22"/>
          <w:szCs w:val="22"/>
          <w:lang w:val="en"/>
        </w:rPr>
        <w:t>Withdrawal or isolation</w:t>
      </w:r>
      <w:r w:rsidRPr="00F228D2">
        <w:rPr>
          <w:rFonts w:ascii="MS Gothic" w:eastAsia="MS Gothic" w:hAnsi="MS Gothic" w:cs="MS Gothic" w:hint="eastAsia"/>
          <w:sz w:val="22"/>
          <w:szCs w:val="22"/>
          <w:lang w:val="en"/>
        </w:rPr>
        <w:t> </w:t>
      </w:r>
    </w:p>
    <w:p w:rsidR="000F043D" w:rsidRPr="00F228D2" w:rsidRDefault="000F043D" w:rsidP="00F228D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en"/>
        </w:rPr>
      </w:pPr>
      <w:r w:rsidRPr="00F228D2">
        <w:rPr>
          <w:rFonts w:ascii="Arial" w:hAnsi="Arial" w:cs="Arial"/>
          <w:sz w:val="22"/>
          <w:szCs w:val="22"/>
          <w:lang w:val="en"/>
        </w:rPr>
        <w:t>Eating disorders may</w:t>
      </w:r>
      <w:r w:rsidRPr="00F228D2">
        <w:rPr>
          <w:rFonts w:ascii="Arial" w:hAnsi="Arial" w:cs="Arial"/>
          <w:sz w:val="22"/>
          <w:szCs w:val="22"/>
          <w:lang w:val="en"/>
        </w:rPr>
        <w:t xml:space="preserve"> constitute </w:t>
      </w:r>
      <w:r w:rsidRPr="00F228D2">
        <w:rPr>
          <w:rFonts w:ascii="Arial" w:hAnsi="Arial" w:cs="Arial"/>
          <w:sz w:val="22"/>
          <w:szCs w:val="22"/>
          <w:lang w:val="en"/>
        </w:rPr>
        <w:t xml:space="preserve">a </w:t>
      </w:r>
      <w:r w:rsidR="00F228D2" w:rsidRPr="00F228D2">
        <w:rPr>
          <w:rFonts w:ascii="Arial" w:hAnsi="Arial" w:cs="Arial"/>
          <w:sz w:val="22"/>
          <w:szCs w:val="22"/>
          <w:lang w:val="en"/>
        </w:rPr>
        <w:t>disability</w:t>
      </w:r>
      <w:r w:rsidRPr="00F228D2">
        <w:rPr>
          <w:rFonts w:ascii="Arial" w:hAnsi="Arial" w:cs="Arial"/>
          <w:sz w:val="22"/>
          <w:szCs w:val="22"/>
          <w:lang w:val="en"/>
        </w:rPr>
        <w:t xml:space="preserve"> under the Equality Act 2010, entailing a duty to make reasonable adjustments. This could include allowing employees time off to attend appointments, adjusting their working hours or workload or providing separate eating facilities. </w:t>
      </w:r>
    </w:p>
    <w:p w:rsidR="00F228D2" w:rsidRPr="00F228D2" w:rsidRDefault="00F228D2" w:rsidP="00F228D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en"/>
        </w:rPr>
      </w:pPr>
    </w:p>
    <w:p w:rsidR="00F228D2" w:rsidRPr="00F228D2" w:rsidRDefault="00F228D2" w:rsidP="00F228D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en"/>
        </w:rPr>
      </w:pPr>
      <w:r w:rsidRPr="00F228D2">
        <w:rPr>
          <w:rFonts w:ascii="Arial" w:hAnsi="Arial" w:cs="Arial"/>
          <w:sz w:val="22"/>
          <w:szCs w:val="22"/>
          <w:lang w:val="en"/>
        </w:rPr>
        <w:t>Concerns that an employee's performance may be being impacted by an eating disord</w:t>
      </w:r>
      <w:r w:rsidRPr="00F228D2">
        <w:rPr>
          <w:rFonts w:ascii="Arial" w:hAnsi="Arial" w:cs="Arial"/>
          <w:sz w:val="22"/>
          <w:szCs w:val="22"/>
          <w:lang w:val="en"/>
        </w:rPr>
        <w:t>er should be addressed privately</w:t>
      </w:r>
      <w:r w:rsidRPr="00F228D2">
        <w:rPr>
          <w:rFonts w:ascii="Arial" w:hAnsi="Arial" w:cs="Arial"/>
          <w:sz w:val="22"/>
          <w:szCs w:val="22"/>
          <w:lang w:val="en"/>
        </w:rPr>
        <w:t xml:space="preserve">. Try not to leap to conclusions – there could be other explanations for </w:t>
      </w:r>
      <w:r w:rsidRPr="00F228D2">
        <w:rPr>
          <w:rFonts w:ascii="Arial" w:hAnsi="Arial" w:cs="Arial"/>
          <w:sz w:val="22"/>
          <w:szCs w:val="22"/>
          <w:lang w:val="en"/>
        </w:rPr>
        <w:t>the warning signs listed here</w:t>
      </w:r>
      <w:r w:rsidRPr="00F228D2">
        <w:rPr>
          <w:rFonts w:ascii="Arial" w:hAnsi="Arial" w:cs="Arial"/>
          <w:sz w:val="22"/>
          <w:szCs w:val="22"/>
          <w:lang w:val="en"/>
        </w:rPr>
        <w:t xml:space="preserve">. Try to highlight your concerns supportively and encourage the employee to speak openly. </w:t>
      </w:r>
    </w:p>
    <w:p w:rsidR="00F228D2" w:rsidRPr="00F228D2" w:rsidRDefault="00F228D2" w:rsidP="00F228D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en"/>
        </w:rPr>
      </w:pPr>
    </w:p>
    <w:p w:rsidR="00F86606" w:rsidRPr="00F228D2" w:rsidRDefault="00F228D2" w:rsidP="00F228D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proofErr w:type="gramStart"/>
      <w:r w:rsidRPr="00F228D2">
        <w:rPr>
          <w:rFonts w:ascii="Arial" w:hAnsi="Arial" w:cs="Arial"/>
          <w:sz w:val="22"/>
          <w:szCs w:val="22"/>
          <w:lang w:val="en"/>
        </w:rPr>
        <w:t>Signpost to sources of support such as the Counselling Service.</w:t>
      </w:r>
      <w:proofErr w:type="gramEnd"/>
      <w:r w:rsidRPr="00F228D2">
        <w:rPr>
          <w:rFonts w:ascii="Arial" w:hAnsi="Arial" w:cs="Arial"/>
          <w:sz w:val="22"/>
          <w:szCs w:val="22"/>
          <w:lang w:val="en"/>
        </w:rPr>
        <w:t xml:space="preserve">  DASS may also be able to provide support and advice to the individual and their manager.  More information (including details on different types of eating disorders and external sources of </w:t>
      </w:r>
      <w:proofErr w:type="gramStart"/>
      <w:r w:rsidRPr="00F228D2">
        <w:rPr>
          <w:rFonts w:ascii="Arial" w:hAnsi="Arial" w:cs="Arial"/>
          <w:sz w:val="22"/>
          <w:szCs w:val="22"/>
          <w:lang w:val="en"/>
        </w:rPr>
        <w:t>support )</w:t>
      </w:r>
      <w:proofErr w:type="gramEnd"/>
      <w:r w:rsidRPr="00F228D2">
        <w:rPr>
          <w:rFonts w:ascii="Arial" w:hAnsi="Arial" w:cs="Arial"/>
          <w:sz w:val="22"/>
          <w:szCs w:val="22"/>
          <w:lang w:val="en"/>
        </w:rPr>
        <w:t xml:space="preserve"> can be found </w:t>
      </w:r>
      <w:hyperlink r:id="rId9" w:history="1">
        <w:r w:rsidRPr="00F228D2">
          <w:rPr>
            <w:rStyle w:val="Hyperlink"/>
            <w:rFonts w:ascii="Arial" w:hAnsi="Arial" w:cs="Arial"/>
            <w:sz w:val="22"/>
            <w:szCs w:val="22"/>
            <w:lang w:val="en"/>
          </w:rPr>
          <w:t>here</w:t>
        </w:r>
      </w:hyperlink>
      <w:r w:rsidRPr="00F228D2">
        <w:rPr>
          <w:rFonts w:ascii="Arial" w:hAnsi="Arial" w:cs="Arial"/>
          <w:sz w:val="22"/>
          <w:szCs w:val="22"/>
          <w:lang w:val="en"/>
        </w:rPr>
        <w:t xml:space="preserve">. </w:t>
      </w:r>
    </w:p>
    <w:sectPr w:rsidR="00F86606" w:rsidRPr="00F228D2" w:rsidSect="00100D48">
      <w:headerReference w:type="default" r:id="rId10"/>
      <w:footerReference w:type="default" r:id="rId11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10" w:rsidRDefault="00AC7F10">
      <w:r>
        <w:separator/>
      </w:r>
    </w:p>
  </w:endnote>
  <w:endnote w:type="continuationSeparator" w:id="0">
    <w:p w:rsidR="00AC7F10" w:rsidRDefault="00AC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48" w:rsidRPr="00E00311" w:rsidRDefault="00100D48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Human Resources 2018 </w:t>
    </w:r>
  </w:p>
  <w:p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F228D2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F228D2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10" w:rsidRDefault="00AC7F10">
      <w:r>
        <w:separator/>
      </w:r>
    </w:p>
  </w:footnote>
  <w:footnote w:type="continuationSeparator" w:id="0">
    <w:p w:rsidR="00AC7F10" w:rsidRDefault="00AC7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48" w:rsidRDefault="0074255E" w:rsidP="0074255E">
    <w:pPr>
      <w:pStyle w:val="Header"/>
      <w:ind w:hanging="567"/>
    </w:pPr>
    <w:r>
      <w:rPr>
        <w:noProof/>
        <w:lang w:val="en-GB" w:eastAsia="en-GB"/>
      </w:rPr>
      <w:drawing>
        <wp:inline distT="0" distB="0" distL="0" distR="0" wp14:anchorId="5AEDB7DC" wp14:editId="3ACC9C4F">
          <wp:extent cx="7400658" cy="15036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w to guid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84"/>
                  <a:stretch/>
                </pic:blipFill>
                <pic:spPr bwMode="auto">
                  <a:xfrm>
                    <a:off x="0" y="0"/>
                    <a:ext cx="7412160" cy="1506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BF576B"/>
    <w:multiLevelType w:val="hybridMultilevel"/>
    <w:tmpl w:val="BF64F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87DD8"/>
    <w:multiLevelType w:val="hybridMultilevel"/>
    <w:tmpl w:val="28B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B9510B"/>
    <w:multiLevelType w:val="hybridMultilevel"/>
    <w:tmpl w:val="8D16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C52CC3"/>
    <w:multiLevelType w:val="multilevel"/>
    <w:tmpl w:val="F256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27"/>
  </w:num>
  <w:num w:numId="5">
    <w:abstractNumId w:val="12"/>
  </w:num>
  <w:num w:numId="6">
    <w:abstractNumId w:val="24"/>
  </w:num>
  <w:num w:numId="7">
    <w:abstractNumId w:val="4"/>
  </w:num>
  <w:num w:numId="8">
    <w:abstractNumId w:val="8"/>
  </w:num>
  <w:num w:numId="9">
    <w:abstractNumId w:val="18"/>
  </w:num>
  <w:num w:numId="10">
    <w:abstractNumId w:val="18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8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8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8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9"/>
  </w:num>
  <w:num w:numId="22">
    <w:abstractNumId w:val="11"/>
  </w:num>
  <w:num w:numId="23">
    <w:abstractNumId w:val="17"/>
  </w:num>
  <w:num w:numId="24">
    <w:abstractNumId w:val="25"/>
  </w:num>
  <w:num w:numId="25">
    <w:abstractNumId w:val="2"/>
  </w:num>
  <w:num w:numId="26">
    <w:abstractNumId w:val="7"/>
  </w:num>
  <w:num w:numId="27">
    <w:abstractNumId w:val="22"/>
  </w:num>
  <w:num w:numId="28">
    <w:abstractNumId w:val="0"/>
  </w:num>
  <w:num w:numId="29">
    <w:abstractNumId w:val="14"/>
  </w:num>
  <w:num w:numId="30">
    <w:abstractNumId w:val="23"/>
  </w:num>
  <w:num w:numId="31">
    <w:abstractNumId w:val="3"/>
  </w:num>
  <w:num w:numId="32">
    <w:abstractNumId w:val="10"/>
  </w:num>
  <w:num w:numId="33">
    <w:abstractNumId w:val="21"/>
  </w:num>
  <w:num w:numId="34">
    <w:abstractNumId w:val="13"/>
  </w:num>
  <w:num w:numId="35">
    <w:abstractNumId w:val="9"/>
  </w:num>
  <w:num w:numId="36">
    <w:abstractNumId w:val="20"/>
  </w:num>
  <w:num w:numId="37">
    <w:abstractNumId w:val="6"/>
  </w:num>
  <w:num w:numId="38">
    <w:abstractNumId w:val="15"/>
  </w:num>
  <w:num w:numId="39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43D"/>
    <w:rsid w:val="000F05F0"/>
    <w:rsid w:val="000F1538"/>
    <w:rsid w:val="000F230D"/>
    <w:rsid w:val="000F3A66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2742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C493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67822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C7F10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514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8D2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606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90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6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eateatingdisorders.org.uk/uploads/documents/2018/7/workplac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6384B1-0144-4B0B-98A9-14680955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3</cp:revision>
  <cp:lastPrinted>2014-06-27T10:19:00Z</cp:lastPrinted>
  <dcterms:created xsi:type="dcterms:W3CDTF">2019-06-19T08:26:00Z</dcterms:created>
  <dcterms:modified xsi:type="dcterms:W3CDTF">2019-06-19T08:41:00Z</dcterms:modified>
</cp:coreProperties>
</file>