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DF2" w:rsidRDefault="00051DF2" w:rsidP="00051DF2">
      <w:pPr>
        <w:rPr>
          <w:b/>
        </w:rPr>
      </w:pPr>
      <w:r>
        <w:rPr>
          <w:b/>
          <w:noProof/>
          <w:lang w:eastAsia="en-GB"/>
        </w:rPr>
        <w:drawing>
          <wp:inline distT="0" distB="0" distL="0" distR="0">
            <wp:extent cx="1655064" cy="7010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55064" cy="701040"/>
                    </a:xfrm>
                    <a:prstGeom prst="rect">
                      <a:avLst/>
                    </a:prstGeom>
                  </pic:spPr>
                </pic:pic>
              </a:graphicData>
            </a:graphic>
          </wp:inline>
        </w:drawing>
      </w:r>
      <w:r>
        <w:rPr>
          <w:b/>
        </w:rPr>
        <w:tab/>
      </w:r>
      <w:r>
        <w:rPr>
          <w:b/>
        </w:rPr>
        <w:tab/>
      </w:r>
      <w:r>
        <w:rPr>
          <w:b/>
        </w:rPr>
        <w:tab/>
      </w:r>
      <w:r>
        <w:rPr>
          <w:b/>
        </w:rPr>
        <w:tab/>
      </w:r>
      <w:r>
        <w:rPr>
          <w:b/>
        </w:rPr>
        <w:tab/>
      </w:r>
      <w:r>
        <w:rPr>
          <w:b/>
        </w:rPr>
        <w:tab/>
      </w:r>
      <w:r>
        <w:rPr>
          <w:b/>
          <w:noProof/>
          <w:lang w:eastAsia="en-GB"/>
        </w:rPr>
        <w:drawing>
          <wp:inline distT="0" distB="0" distL="0" distR="0">
            <wp:extent cx="1578610" cy="532116"/>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positive_logo_445x150_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8610" cy="532116"/>
                    </a:xfrm>
                    <a:prstGeom prst="rect">
                      <a:avLst/>
                    </a:prstGeom>
                  </pic:spPr>
                </pic:pic>
              </a:graphicData>
            </a:graphic>
          </wp:inline>
        </w:drawing>
      </w:r>
    </w:p>
    <w:p w:rsidR="00051DF2" w:rsidRDefault="00051DF2" w:rsidP="00051DF2">
      <w:pPr>
        <w:rPr>
          <w:b/>
        </w:rPr>
      </w:pPr>
    </w:p>
    <w:p w:rsidR="00051DF2" w:rsidRPr="00051DF2" w:rsidRDefault="00051DF2" w:rsidP="00051DF2">
      <w:pPr>
        <w:rPr>
          <w:b/>
          <w:sz w:val="28"/>
          <w:szCs w:val="28"/>
        </w:rPr>
      </w:pPr>
      <w:r w:rsidRPr="00051DF2">
        <w:rPr>
          <w:b/>
          <w:sz w:val="28"/>
          <w:szCs w:val="28"/>
        </w:rPr>
        <w:t>The NETpositive approach</w:t>
      </w:r>
    </w:p>
    <w:p w:rsidR="00051DF2" w:rsidRPr="00051DF2" w:rsidRDefault="00051DF2" w:rsidP="00051DF2">
      <w:r w:rsidRPr="00051DF2">
        <w:t>In the recent report: </w:t>
      </w:r>
      <w:hyperlink r:id="rId8" w:tgtFrame="_blank" w:history="1">
        <w:r w:rsidRPr="00051DF2">
          <w:rPr>
            <w:rStyle w:val="Hyperlink"/>
            <w:i/>
            <w:iCs/>
          </w:rPr>
          <w:t>Measuring the Difference: the Economic and Social Impact of the University of Manchester</w:t>
        </w:r>
      </w:hyperlink>
      <w:r w:rsidRPr="00051DF2">
        <w:rPr>
          <w:i/>
          <w:iCs/>
        </w:rPr>
        <w:t> (2013)</w:t>
      </w:r>
      <w:r w:rsidRPr="00051DF2">
        <w:t> we were able to demonstrate the considerable positive contributions we make to wider society through our very existence as a learning and research-intensive institution.</w:t>
      </w:r>
    </w:p>
    <w:p w:rsidR="00051DF2" w:rsidRPr="00051DF2" w:rsidRDefault="00051DF2" w:rsidP="00051DF2">
      <w:r w:rsidRPr="00051DF2">
        <w:t>Clearly a significant part of our impact relates to our considerable purchasing power as well as our economic contribution to society. We have come to understand that our positive impact can be enhanced further and that our procurement practices and processes offer an opportunity to maximise this potential.</w:t>
      </w:r>
    </w:p>
    <w:p w:rsidR="00051DF2" w:rsidRPr="00051DF2" w:rsidRDefault="00051DF2" w:rsidP="00051DF2">
      <w:r w:rsidRPr="00051DF2">
        <w:t>We have been developing our understanding of taking a NETpositive approach to our procurement practices, exploring what this means for our procurement processes and engagement with our partners. We are confident that by adopting an approach that not only supports the reduction of our negative impacts but helps us to consider how we can enhance our positive impacts we will be able to engage effectively with both our internal and external stakeholders.</w:t>
      </w:r>
    </w:p>
    <w:p w:rsidR="00051DF2" w:rsidRPr="00051DF2" w:rsidRDefault="00051DF2" w:rsidP="00051DF2">
      <w:r w:rsidRPr="00051DF2">
        <w:t>Taking a NETpositive approach also provides us with a sensible framework for reporting progress, which in addition to demonstrating our transparency also supports our aspiration to take a lead regionally and within the higher education sector by sharing our own learning.</w:t>
      </w:r>
    </w:p>
    <w:p w:rsidR="00051DF2" w:rsidRPr="00051DF2" w:rsidRDefault="00051DF2" w:rsidP="00051DF2">
      <w:r w:rsidRPr="00051DF2">
        <w:t>Our approach to responsible procurement</w:t>
      </w:r>
    </w:p>
    <w:p w:rsidR="00051DF2" w:rsidRPr="00051DF2" w:rsidRDefault="00051DF2" w:rsidP="00051DF2">
      <w:r w:rsidRPr="00051DF2">
        <w:rPr>
          <w:b/>
          <w:bCs/>
        </w:rPr>
        <w:t>Utilising the Flexible Framework</w:t>
      </w:r>
    </w:p>
    <w:p w:rsidR="00051DF2" w:rsidRPr="00051DF2" w:rsidRDefault="00051DF2" w:rsidP="00051DF2">
      <w:r w:rsidRPr="00051DF2">
        <w:t>For those who are not familiar with the Flexible Framework, at its simplest level it is a tool developed for procurement professionals to support embedding sustainability into procurement practice. We have utilised this tool for three main reasons:</w:t>
      </w:r>
    </w:p>
    <w:p w:rsidR="00051DF2" w:rsidRPr="00051DF2" w:rsidRDefault="00051DF2" w:rsidP="00051DF2">
      <w:pPr>
        <w:numPr>
          <w:ilvl w:val="0"/>
          <w:numId w:val="1"/>
        </w:numPr>
      </w:pPr>
      <w:r w:rsidRPr="00051DF2">
        <w:t>It is a well-recognised tool in the public and private sectors and provides a logical and consistent framework</w:t>
      </w:r>
    </w:p>
    <w:p w:rsidR="00051DF2" w:rsidRPr="00051DF2" w:rsidRDefault="00051DF2" w:rsidP="00051DF2">
      <w:pPr>
        <w:numPr>
          <w:ilvl w:val="0"/>
          <w:numId w:val="1"/>
        </w:numPr>
      </w:pPr>
      <w:r w:rsidRPr="00051DF2">
        <w:t>It focuses on the procurement process and if we are to maximise and measure our positive contribution we need to focus our efforts where we can have significant and long-term impacts</w:t>
      </w:r>
    </w:p>
    <w:p w:rsidR="00051DF2" w:rsidRPr="00051DF2" w:rsidRDefault="00051DF2" w:rsidP="00051DF2">
      <w:pPr>
        <w:numPr>
          <w:ilvl w:val="0"/>
          <w:numId w:val="1"/>
        </w:numPr>
      </w:pPr>
      <w:r w:rsidRPr="00051DF2">
        <w:t>We are able to customise the detail of the Flexible Framework to ensure a good ‘fit’ with The University of Manchester’s existing strategic commitments to Social Responsibility and Environmental Sustainability</w:t>
      </w:r>
    </w:p>
    <w:p w:rsidR="00051DF2" w:rsidRPr="00051DF2" w:rsidRDefault="00051DF2" w:rsidP="00051DF2">
      <w:r w:rsidRPr="00051DF2">
        <w:t>The Flexible Framework focusses on key areas of procurement; policy and strategy, people development, the procurement process, supplier engagement and measurement of impact, and provided our starting point.</w:t>
      </w:r>
    </w:p>
    <w:p w:rsidR="00051DF2" w:rsidRPr="00051DF2" w:rsidRDefault="00051DF2" w:rsidP="00051DF2">
      <w:r w:rsidRPr="00051DF2">
        <w:lastRenderedPageBreak/>
        <w:t>Working with NETpositive Futures we have also been able to take the existing Framework even further and have developed a </w:t>
      </w:r>
      <w:hyperlink r:id="rId9" w:tgtFrame="_blank" w:history="1">
        <w:r w:rsidRPr="00051DF2">
          <w:rPr>
            <w:rStyle w:val="Hyperlink"/>
          </w:rPr>
          <w:t xml:space="preserve">NETpositive </w:t>
        </w:r>
        <w:r w:rsidRPr="00051DF2">
          <w:rPr>
            <w:rStyle w:val="Hyperlink"/>
          </w:rPr>
          <w:t>a</w:t>
        </w:r>
        <w:r w:rsidRPr="00051DF2">
          <w:rPr>
            <w:rStyle w:val="Hyperlink"/>
          </w:rPr>
          <w:t>pproach</w:t>
        </w:r>
      </w:hyperlink>
      <w:r w:rsidRPr="00051DF2">
        <w:t> to responsible procurement for The University of Manchester context. This has meant that rather than concentrating solely on the negative impacts of our procurement activity we have actively sought to maximise opportunities to consider our positive impacts too.</w:t>
      </w:r>
    </w:p>
    <w:p w:rsidR="00051DF2" w:rsidRDefault="00051DF2" w:rsidP="00051DF2"/>
    <w:p w:rsidR="00051DF2" w:rsidRPr="00051DF2" w:rsidRDefault="00051DF2" w:rsidP="00051DF2">
      <w:pPr>
        <w:rPr>
          <w:b/>
          <w:sz w:val="28"/>
          <w:szCs w:val="28"/>
        </w:rPr>
      </w:pPr>
      <w:r w:rsidRPr="00051DF2">
        <w:rPr>
          <w:b/>
          <w:sz w:val="28"/>
          <w:szCs w:val="28"/>
        </w:rPr>
        <w:t>Responsible procurement: A NETpositive approach utilising the Flexible Framework</w:t>
      </w:r>
    </w:p>
    <w:p w:rsidR="00051DF2" w:rsidRPr="00051DF2" w:rsidRDefault="00051DF2" w:rsidP="00051DF2">
      <w:r w:rsidRPr="00051DF2">
        <w:rPr>
          <w:b/>
          <w:bCs/>
        </w:rPr>
        <w:t>Introduction</w:t>
      </w:r>
    </w:p>
    <w:p w:rsidR="00051DF2" w:rsidRPr="00051DF2" w:rsidRDefault="00051DF2" w:rsidP="00051DF2">
      <w:r w:rsidRPr="00051DF2">
        <w:t>The University of Manchester Central Procurement Team have worked hard to develop our understanding of Responsible Procurement. We have also committed to sharing our approaches and learning with the wider sector and so this document has been created for procurement practitioners in other institutions to provide an overview of our activity to date.</w:t>
      </w:r>
    </w:p>
    <w:p w:rsidR="00051DF2" w:rsidRPr="00051DF2" w:rsidRDefault="00051DF2" w:rsidP="00051DF2">
      <w:r w:rsidRPr="00051DF2">
        <w:t>We chose to take a NETpositive approach to our procurement practices; exploring our processes and practices as they related to our social, environmental and economic impacts, both positive and negative. As well as providing a useful basis for our thinking we have found this particularly useful for engaging effectively with both our internal and external stakeholders. We have come to regard our approach to responsible procurement simply as excellent procurement and it has become part of our business-as-usual, we believe this is a true measure of its embeddedness.</w:t>
      </w:r>
    </w:p>
    <w:p w:rsidR="00051DF2" w:rsidRPr="00051DF2" w:rsidRDefault="00051DF2" w:rsidP="00051DF2">
      <w:r w:rsidRPr="00051DF2">
        <w:rPr>
          <w:b/>
          <w:bCs/>
        </w:rPr>
        <w:t>Why we used the Flexible framework</w:t>
      </w:r>
    </w:p>
    <w:p w:rsidR="00051DF2" w:rsidRPr="00051DF2" w:rsidRDefault="00051DF2" w:rsidP="00051DF2">
      <w:r w:rsidRPr="00051DF2">
        <w:t>Our core approach has been built around the Flexible Framework which offers a well-established mechanism for procurement professionals to embed sustainability into procurement practice. We found it useful for the following reasons:</w:t>
      </w:r>
    </w:p>
    <w:p w:rsidR="00051DF2" w:rsidRPr="00051DF2" w:rsidRDefault="00051DF2" w:rsidP="00051DF2">
      <w:pPr>
        <w:numPr>
          <w:ilvl w:val="0"/>
          <w:numId w:val="2"/>
        </w:numPr>
      </w:pPr>
      <w:r w:rsidRPr="00051DF2">
        <w:t>It provides a logical and consistent overview of how to embed sustainability</w:t>
      </w:r>
    </w:p>
    <w:p w:rsidR="00051DF2" w:rsidRPr="00051DF2" w:rsidRDefault="00051DF2" w:rsidP="00051DF2">
      <w:pPr>
        <w:numPr>
          <w:ilvl w:val="0"/>
          <w:numId w:val="2"/>
        </w:numPr>
      </w:pPr>
      <w:r w:rsidRPr="00051DF2">
        <w:t>We could start with our own particular expertise (procurement process)</w:t>
      </w:r>
    </w:p>
    <w:p w:rsidR="00051DF2" w:rsidRPr="00051DF2" w:rsidRDefault="00051DF2" w:rsidP="00051DF2">
      <w:pPr>
        <w:numPr>
          <w:ilvl w:val="0"/>
          <w:numId w:val="2"/>
        </w:numPr>
      </w:pPr>
      <w:r w:rsidRPr="00051DF2">
        <w:t>Its flexibility enabled us to ensure a good ‘fit’ with our existing strategic commitments</w:t>
      </w:r>
    </w:p>
    <w:p w:rsidR="00051DF2" w:rsidRPr="00051DF2" w:rsidRDefault="00051DF2" w:rsidP="00051DF2">
      <w:r w:rsidRPr="00051DF2">
        <w:t>The Flexible Framework focuses on key areas of procurement; policy and strategy, people development, the procurement process, supplier engagement and measurement of impact, and provided our starting point; our procurement process.</w:t>
      </w:r>
    </w:p>
    <w:p w:rsidR="00051DF2" w:rsidRPr="00051DF2" w:rsidRDefault="00051DF2" w:rsidP="00051DF2">
      <w:r w:rsidRPr="00051DF2">
        <w:t>A couple of key points to note:</w:t>
      </w:r>
    </w:p>
    <w:p w:rsidR="00051DF2" w:rsidRPr="00051DF2" w:rsidRDefault="00051DF2" w:rsidP="00051DF2">
      <w:r w:rsidRPr="00051DF2">
        <w:rPr>
          <w:i/>
          <w:iCs/>
        </w:rPr>
        <w:t>The importance of ambition:</w:t>
      </w:r>
    </w:p>
    <w:p w:rsidR="00051DF2" w:rsidRPr="00051DF2" w:rsidRDefault="00051DF2" w:rsidP="00051DF2">
      <w:r w:rsidRPr="00051DF2">
        <w:t>Establishing a starting point is essential, what is also very necessary is having the whole team engaged and bought-in to this process. We deliberately set ourselves a challenging target, to reach Level 4 of the Framework within 6 months, to ensure we maintained focus and the tasks remained high priority.</w:t>
      </w:r>
    </w:p>
    <w:p w:rsidR="00051DF2" w:rsidRPr="00051DF2" w:rsidRDefault="00051DF2" w:rsidP="00051DF2">
      <w:r w:rsidRPr="00051DF2">
        <w:rPr>
          <w:i/>
          <w:iCs/>
        </w:rPr>
        <w:lastRenderedPageBreak/>
        <w:t>The importance of collaboration:</w:t>
      </w:r>
    </w:p>
    <w:p w:rsidR="00051DF2" w:rsidRPr="00051DF2" w:rsidRDefault="00051DF2" w:rsidP="00051DF2">
      <w:r w:rsidRPr="00051DF2">
        <w:t xml:space="preserve">This work has been </w:t>
      </w:r>
      <w:proofErr w:type="gramStart"/>
      <w:r>
        <w:t xml:space="preserve">a </w:t>
      </w:r>
      <w:r w:rsidRPr="00051DF2">
        <w:t>collaboration</w:t>
      </w:r>
      <w:proofErr w:type="gramEnd"/>
      <w:r w:rsidRPr="00051DF2">
        <w:t xml:space="preserve"> between the Central Procurement team and the </w:t>
      </w:r>
      <w:hyperlink r:id="rId10" w:history="1">
        <w:r w:rsidRPr="00051DF2">
          <w:rPr>
            <w:rStyle w:val="Hyperlink"/>
          </w:rPr>
          <w:t>Office for Social Responsibility</w:t>
        </w:r>
      </w:hyperlink>
      <w:r w:rsidRPr="00051DF2">
        <w:t> and </w:t>
      </w:r>
      <w:hyperlink r:id="rId11" w:history="1">
        <w:r w:rsidRPr="00051DF2">
          <w:rPr>
            <w:rStyle w:val="Hyperlink"/>
          </w:rPr>
          <w:t>Environmental Sustainability</w:t>
        </w:r>
      </w:hyperlink>
      <w:r>
        <w:t xml:space="preserve"> </w:t>
      </w:r>
      <w:r w:rsidRPr="00051DF2">
        <w:t>teams. This has been key to its success.</w:t>
      </w:r>
    </w:p>
    <w:p w:rsidR="00051DF2" w:rsidRPr="00051DF2" w:rsidRDefault="00051DF2" w:rsidP="00051DF2">
      <w:r w:rsidRPr="00051DF2">
        <w:t>The University of Manchester was supported on this journey by NETpositive Futures (</w:t>
      </w:r>
      <w:hyperlink r:id="rId12" w:history="1">
        <w:r w:rsidRPr="00051DF2">
          <w:rPr>
            <w:rStyle w:val="Hyperlink"/>
          </w:rPr>
          <w:t>http://www.netpositivefutures.co.uk/</w:t>
        </w:r>
      </w:hyperlink>
      <w:r w:rsidRPr="00051DF2">
        <w:t>)</w:t>
      </w:r>
    </w:p>
    <w:p w:rsidR="00567475" w:rsidRDefault="00051DF2"/>
    <w:p w:rsidR="00051DF2" w:rsidRPr="00051DF2" w:rsidRDefault="00051DF2" w:rsidP="00051DF2">
      <w:pPr>
        <w:rPr>
          <w:b/>
          <w:sz w:val="28"/>
          <w:szCs w:val="28"/>
        </w:rPr>
      </w:pPr>
      <w:r w:rsidRPr="00051DF2">
        <w:rPr>
          <w:b/>
          <w:sz w:val="28"/>
          <w:szCs w:val="28"/>
        </w:rPr>
        <w:t>Breakdown of the NETpositive approach</w:t>
      </w:r>
    </w:p>
    <w:p w:rsidR="00051DF2" w:rsidRPr="00051DF2" w:rsidRDefault="00051DF2" w:rsidP="00051DF2">
      <w:r w:rsidRPr="00051DF2">
        <w:rPr>
          <w:b/>
          <w:bCs/>
        </w:rPr>
        <w:t>Governance and Strategic Commitments</w:t>
      </w:r>
    </w:p>
    <w:p w:rsidR="00051DF2" w:rsidRPr="00051DF2" w:rsidRDefault="00051DF2" w:rsidP="00051DF2">
      <w:r w:rsidRPr="00051DF2">
        <w:t>We started the process by taking time to identify and clarify our strategic commitment to responsible procurement. We had already made clear policy commitments to sustainability within the procurement function; however, there were other institutional commit</w:t>
      </w:r>
      <w:r>
        <w:t>ments we needed to be aware of.</w:t>
      </w:r>
    </w:p>
    <w:p w:rsidR="00051DF2" w:rsidRPr="00051DF2" w:rsidRDefault="00051DF2" w:rsidP="00051DF2">
      <w:r w:rsidRPr="00051DF2">
        <w:rPr>
          <w:i/>
          <w:iCs/>
        </w:rPr>
        <w:t>This enabled us to position our own activity within the organisation to maximise synergies and opportunities to demonstrate our contribution or impact.</w:t>
      </w:r>
    </w:p>
    <w:p w:rsidR="00051DF2" w:rsidRPr="00051DF2" w:rsidRDefault="00051DF2" w:rsidP="00051DF2">
      <w:r w:rsidRPr="00051DF2">
        <w:rPr>
          <w:b/>
          <w:bCs/>
        </w:rPr>
        <w:t>Materiality Analysis</w:t>
      </w:r>
    </w:p>
    <w:p w:rsidR="00051DF2" w:rsidRPr="00051DF2" w:rsidRDefault="00051DF2" w:rsidP="00051DF2">
      <w:r w:rsidRPr="00051DF2">
        <w:t>We systematically reviewed the priority environmental, social and economic issues identified as being material to our institution and broader partners. This meant clearly understanding how the procurement function contributed to delivering the Environmental Responsibility and Social Responsibility commitments of the institution.</w:t>
      </w:r>
    </w:p>
    <w:p w:rsidR="00051DF2" w:rsidRPr="00051DF2" w:rsidRDefault="00051DF2" w:rsidP="00051DF2">
      <w:r w:rsidRPr="00051DF2">
        <w:rPr>
          <w:i/>
          <w:iCs/>
        </w:rPr>
        <w:t>This has helped us ensure that the issues we try to address through the procurement process contribute to the strategic objectives of the institution and our key partners.</w:t>
      </w:r>
    </w:p>
    <w:p w:rsidR="00051DF2" w:rsidRPr="00051DF2" w:rsidRDefault="00051DF2" w:rsidP="00051DF2">
      <w:r w:rsidRPr="00051DF2">
        <w:rPr>
          <w:b/>
          <w:bCs/>
        </w:rPr>
        <w:t>Risk and impact analysis</w:t>
      </w:r>
    </w:p>
    <w:p w:rsidR="00051DF2" w:rsidRPr="00051DF2" w:rsidRDefault="00051DF2" w:rsidP="00051DF2">
      <w:r w:rsidRPr="00051DF2">
        <w:t>Utilising our spend analysis data, the Marrakesh Risk Analysis Tool and AUPO Sustainability Risk Analysis activity we identified the top 72 high risk and impact (environmental, social and economic) commodity areas. Once we had the priority commodity areas identified we supplemented this activity by doing a detailed sustainability impact appraisal on each one.</w:t>
      </w:r>
    </w:p>
    <w:p w:rsidR="00051DF2" w:rsidRPr="00051DF2" w:rsidRDefault="00051DF2" w:rsidP="00051DF2">
      <w:r w:rsidRPr="00051DF2">
        <w:t>This activity was carried out by the procurement team and reviewed by the environmental sustainability team, it now forms part of the core procurement process.</w:t>
      </w:r>
    </w:p>
    <w:p w:rsidR="00051DF2" w:rsidRPr="00051DF2" w:rsidRDefault="00051DF2" w:rsidP="00051DF2">
      <w:r w:rsidRPr="00051DF2">
        <w:rPr>
          <w:i/>
          <w:iCs/>
        </w:rPr>
        <w:t>We came to realise that although this activity was useful to develop our thinking, risk and opportunity was evident across all areas.</w:t>
      </w:r>
    </w:p>
    <w:p w:rsidR="00051DF2" w:rsidRPr="00051DF2" w:rsidRDefault="00051DF2" w:rsidP="00051DF2">
      <w:r w:rsidRPr="00051DF2">
        <w:rPr>
          <w:b/>
          <w:bCs/>
        </w:rPr>
        <w:t>Training and Development</w:t>
      </w:r>
    </w:p>
    <w:p w:rsidR="00051DF2" w:rsidRPr="00051DF2" w:rsidRDefault="00051DF2" w:rsidP="00051DF2">
      <w:r w:rsidRPr="00051DF2">
        <w:t>We sought to ensure that responsible procurement became synonymous with excellent procurement practice within our team. This has meant using the activity as an opportunity to build staff confidence and competence on integrating sustainability into procurement decisions.</w:t>
      </w:r>
    </w:p>
    <w:p w:rsidR="00051DF2" w:rsidRPr="00051DF2" w:rsidRDefault="00051DF2" w:rsidP="00051DF2">
      <w:r w:rsidRPr="00051DF2">
        <w:lastRenderedPageBreak/>
        <w:t>A series of 5 workshops has been delivered to the team ranging from basic training to advanced understanding on responsible procurement. This has been crucial to developing ownership within the procurement team. Working with the team in this way has also enabled us to be confident we are all communicating effectively and are able to engage with suppliers and the broader institution with real confidence and clarity. We are now rolling out a training programme to key devolved purchasers.</w:t>
      </w:r>
    </w:p>
    <w:p w:rsidR="00051DF2" w:rsidRPr="00051DF2" w:rsidRDefault="00051DF2" w:rsidP="00051DF2">
      <w:r w:rsidRPr="00051DF2">
        <w:rPr>
          <w:i/>
          <w:iCs/>
        </w:rPr>
        <w:t>The team training enabled us to develop and demonstrate how we undertake responsible procurement as a central function and has empowered the team to now influence suppliers and devolved purchasers.</w:t>
      </w:r>
    </w:p>
    <w:p w:rsidR="00051DF2" w:rsidRPr="00051DF2" w:rsidRDefault="00051DF2" w:rsidP="00051DF2">
      <w:r w:rsidRPr="00051DF2">
        <w:rPr>
          <w:b/>
          <w:bCs/>
        </w:rPr>
        <w:t>Supplier Engagement</w:t>
      </w:r>
    </w:p>
    <w:p w:rsidR="00051DF2" w:rsidRPr="00051DF2" w:rsidRDefault="00051DF2" w:rsidP="00051DF2">
      <w:r w:rsidRPr="00051DF2">
        <w:t xml:space="preserve">As our responsible procurement work has </w:t>
      </w:r>
      <w:proofErr w:type="gramStart"/>
      <w:r w:rsidRPr="00051DF2">
        <w:t>progr</w:t>
      </w:r>
      <w:bookmarkStart w:id="0" w:name="_GoBack"/>
      <w:bookmarkEnd w:id="0"/>
      <w:r w:rsidRPr="00051DF2">
        <w:t>essed</w:t>
      </w:r>
      <w:proofErr w:type="gramEnd"/>
      <w:r w:rsidRPr="00051DF2">
        <w:t xml:space="preserve"> our commitment to the NETpositive approach has deepened. Our training sessions have enabled the whole team to really understand the potential our procurement processes offer to enhance our positive impacts as well as reducing our negative impacts.</w:t>
      </w:r>
    </w:p>
    <w:p w:rsidR="00051DF2" w:rsidRPr="00051DF2" w:rsidRDefault="00051DF2" w:rsidP="00051DF2">
      <w:r w:rsidRPr="00051DF2">
        <w:t>A team that understands responsible procurement and has real clarity in terms of our own approach is a team well equipped to have meaningful conversations with suppliers.</w:t>
      </w:r>
    </w:p>
    <w:p w:rsidR="00051DF2" w:rsidRPr="00051DF2" w:rsidRDefault="00051DF2" w:rsidP="00051DF2">
      <w:r w:rsidRPr="00051DF2">
        <w:t>We were delighted to be the very first university using the NETpositive Supplier Engagement Tool </w:t>
      </w:r>
      <w:r w:rsidRPr="00051DF2">
        <w:rPr>
          <w:b/>
          <w:bCs/>
          <w:i/>
          <w:iCs/>
        </w:rPr>
        <w:t>with all our suppliers </w:t>
      </w:r>
      <w:r w:rsidRPr="00051DF2">
        <w:t>during 2015 and this has now been made available to the wider sector thanks to collaboration with NWUPC, NEUPC and TUCO.</w:t>
      </w:r>
    </w:p>
    <w:p w:rsidR="00051DF2" w:rsidRPr="00051DF2" w:rsidRDefault="00051DF2" w:rsidP="00051DF2">
      <w:r w:rsidRPr="00051DF2">
        <w:t>In a nutshell, all suppliers are given access to a tool which assists them in developing a sustainability action plan. Contracted suppliers are asked to present their action plan at contract management meetings for discussion. We have already used the data gathered from the tool to shape our ongoing supplier engagement activities on sustainability and to form part of our Annual Report.</w:t>
      </w:r>
    </w:p>
    <w:p w:rsidR="00051DF2" w:rsidRPr="00051DF2" w:rsidRDefault="00051DF2" w:rsidP="00051DF2">
      <w:r w:rsidRPr="00051DF2">
        <w:rPr>
          <w:b/>
          <w:bCs/>
        </w:rPr>
        <w:t>Staff Support and Guidance</w:t>
      </w:r>
    </w:p>
    <w:p w:rsidR="00051DF2" w:rsidRPr="00051DF2" w:rsidRDefault="00051DF2" w:rsidP="00051DF2">
      <w:r w:rsidRPr="00051DF2">
        <w:t xml:space="preserve">We have re-developed our website to support staff to develop a better understanding of responsible procurement and what they can do. We routinely speak at internal staff sessions to promote responsible procurement and ensure that </w:t>
      </w:r>
      <w:proofErr w:type="gramStart"/>
      <w:r w:rsidRPr="00051DF2">
        <w:t>staff are</w:t>
      </w:r>
      <w:proofErr w:type="gramEnd"/>
      <w:r w:rsidRPr="00051DF2">
        <w:t xml:space="preserve"> aware of the opportunities it provides.</w:t>
      </w:r>
    </w:p>
    <w:p w:rsidR="00051DF2" w:rsidRPr="00051DF2" w:rsidRDefault="00051DF2" w:rsidP="00051DF2">
      <w:r w:rsidRPr="00051DF2">
        <w:t>We have included a module on responsible procurement in a staff learning programme, which is being rolled out to all 11,000 staff. As part of the learning programme an action planning tool will provide the opportunity for staff to undertake actions to procure more sustainably and we are able to gather data from the tool to shape our engagement with staff and provide further guidance where it is needed. This is a major opportunity to support and influence the whole organisation to take responsible procurement forward as part of business excellence.</w:t>
      </w:r>
    </w:p>
    <w:p w:rsidR="00051DF2" w:rsidRPr="00051DF2" w:rsidRDefault="00051DF2" w:rsidP="00051DF2">
      <w:r w:rsidRPr="00051DF2">
        <w:rPr>
          <w:b/>
          <w:bCs/>
        </w:rPr>
        <w:t>Measurement and Reporting</w:t>
      </w:r>
    </w:p>
    <w:p w:rsidR="00051DF2" w:rsidRPr="00051DF2" w:rsidRDefault="00051DF2" w:rsidP="00051DF2">
      <w:r w:rsidRPr="00051DF2">
        <w:t xml:space="preserve">Measuring and reporting on the positive impact of our procurement activity in line with our commitment to Social Responsibility and Environmental Sustainability is an important part of how we will take responsible procurement forward. We have set a number of key targets/Key Performance Indicators, which we will report against annually. We will produce an external facing annual report to </w:t>
      </w:r>
      <w:r w:rsidRPr="00051DF2">
        <w:lastRenderedPageBreak/>
        <w:t>demonstrate our commitment to responsible procurement and share our learning with the sector. Some of our targets include;</w:t>
      </w:r>
    </w:p>
    <w:p w:rsidR="00051DF2" w:rsidRPr="00051DF2" w:rsidRDefault="00051DF2" w:rsidP="00051DF2">
      <w:pPr>
        <w:numPr>
          <w:ilvl w:val="0"/>
          <w:numId w:val="3"/>
        </w:numPr>
      </w:pPr>
      <w:r w:rsidRPr="00051DF2">
        <w:t>Achieving Level 5 on the Flexible Framework by early 2017</w:t>
      </w:r>
    </w:p>
    <w:p w:rsidR="00051DF2" w:rsidRPr="00051DF2" w:rsidRDefault="00051DF2" w:rsidP="00051DF2">
      <w:pPr>
        <w:numPr>
          <w:ilvl w:val="0"/>
          <w:numId w:val="3"/>
        </w:numPr>
      </w:pPr>
      <w:r w:rsidRPr="00051DF2">
        <w:t>Ensuring every supplier to The University of Manchester is provided with support to develop their own sustainability action plan by September 2015</w:t>
      </w:r>
    </w:p>
    <w:p w:rsidR="00051DF2" w:rsidRPr="00051DF2" w:rsidRDefault="00051DF2" w:rsidP="00051DF2">
      <w:pPr>
        <w:numPr>
          <w:ilvl w:val="0"/>
          <w:numId w:val="3"/>
        </w:numPr>
      </w:pPr>
      <w:r w:rsidRPr="00051DF2">
        <w:t>Provide the opportunity for all staff to develop their own commitment to sustainable procurement by December 2017</w:t>
      </w:r>
    </w:p>
    <w:p w:rsidR="00051DF2" w:rsidRPr="00051DF2" w:rsidRDefault="00051DF2" w:rsidP="00051DF2">
      <w:r w:rsidRPr="00051DF2">
        <w:t>We will report against these and other targets on an annual basis and share our learning with the sector as part of our ongoing commitment to both transparency and leadership.</w:t>
      </w:r>
    </w:p>
    <w:p w:rsidR="00051DF2" w:rsidRDefault="00051DF2"/>
    <w:p w:rsidR="00051DF2" w:rsidRDefault="00051DF2"/>
    <w:sectPr w:rsidR="00051DF2" w:rsidSect="0065488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A6378"/>
    <w:multiLevelType w:val="multilevel"/>
    <w:tmpl w:val="9634EC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0B13C8"/>
    <w:multiLevelType w:val="multilevel"/>
    <w:tmpl w:val="056C3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B4D0AD7"/>
    <w:multiLevelType w:val="multilevel"/>
    <w:tmpl w:val="35624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DF2"/>
    <w:rsid w:val="00051DF2"/>
    <w:rsid w:val="005F3140"/>
    <w:rsid w:val="0065488B"/>
    <w:rsid w:val="008B218C"/>
    <w:rsid w:val="008F3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1DF2"/>
    <w:rPr>
      <w:color w:val="0000FF" w:themeColor="hyperlink"/>
      <w:u w:val="single"/>
    </w:rPr>
  </w:style>
  <w:style w:type="paragraph" w:styleId="BalloonText">
    <w:name w:val="Balloon Text"/>
    <w:basedOn w:val="Normal"/>
    <w:link w:val="BalloonTextChar"/>
    <w:uiPriority w:val="99"/>
    <w:semiHidden/>
    <w:unhideWhenUsed/>
    <w:rsid w:val="00051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DF2"/>
    <w:rPr>
      <w:rFonts w:ascii="Tahoma" w:hAnsi="Tahoma" w:cs="Tahoma"/>
      <w:sz w:val="16"/>
      <w:szCs w:val="16"/>
    </w:rPr>
  </w:style>
  <w:style w:type="character" w:styleId="FollowedHyperlink">
    <w:name w:val="FollowedHyperlink"/>
    <w:basedOn w:val="DefaultParagraphFont"/>
    <w:uiPriority w:val="99"/>
    <w:semiHidden/>
    <w:unhideWhenUsed/>
    <w:rsid w:val="00051DF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1DF2"/>
    <w:rPr>
      <w:color w:val="0000FF" w:themeColor="hyperlink"/>
      <w:u w:val="single"/>
    </w:rPr>
  </w:style>
  <w:style w:type="paragraph" w:styleId="BalloonText">
    <w:name w:val="Balloon Text"/>
    <w:basedOn w:val="Normal"/>
    <w:link w:val="BalloonTextChar"/>
    <w:uiPriority w:val="99"/>
    <w:semiHidden/>
    <w:unhideWhenUsed/>
    <w:rsid w:val="00051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DF2"/>
    <w:rPr>
      <w:rFonts w:ascii="Tahoma" w:hAnsi="Tahoma" w:cs="Tahoma"/>
      <w:sz w:val="16"/>
      <w:szCs w:val="16"/>
    </w:rPr>
  </w:style>
  <w:style w:type="character" w:styleId="FollowedHyperlink">
    <w:name w:val="FollowedHyperlink"/>
    <w:basedOn w:val="DefaultParagraphFont"/>
    <w:uiPriority w:val="99"/>
    <w:semiHidden/>
    <w:unhideWhenUsed/>
    <w:rsid w:val="00051D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93319">
      <w:bodyDiv w:val="1"/>
      <w:marLeft w:val="0"/>
      <w:marRight w:val="0"/>
      <w:marTop w:val="0"/>
      <w:marBottom w:val="0"/>
      <w:divBdr>
        <w:top w:val="none" w:sz="0" w:space="0" w:color="auto"/>
        <w:left w:val="none" w:sz="0" w:space="0" w:color="auto"/>
        <w:bottom w:val="none" w:sz="0" w:space="0" w:color="auto"/>
        <w:right w:val="none" w:sz="0" w:space="0" w:color="auto"/>
      </w:divBdr>
    </w:div>
    <w:div w:id="783889125">
      <w:bodyDiv w:val="1"/>
      <w:marLeft w:val="0"/>
      <w:marRight w:val="0"/>
      <w:marTop w:val="0"/>
      <w:marBottom w:val="0"/>
      <w:divBdr>
        <w:top w:val="none" w:sz="0" w:space="0" w:color="auto"/>
        <w:left w:val="none" w:sz="0" w:space="0" w:color="auto"/>
        <w:bottom w:val="none" w:sz="0" w:space="0" w:color="auto"/>
        <w:right w:val="none" w:sz="0" w:space="0" w:color="auto"/>
      </w:divBdr>
      <w:divsChild>
        <w:div w:id="599601222">
          <w:marLeft w:val="0"/>
          <w:marRight w:val="0"/>
          <w:marTop w:val="0"/>
          <w:marBottom w:val="0"/>
          <w:divBdr>
            <w:top w:val="none" w:sz="0" w:space="0" w:color="auto"/>
            <w:left w:val="none" w:sz="0" w:space="0" w:color="auto"/>
            <w:bottom w:val="none" w:sz="0" w:space="0" w:color="auto"/>
            <w:right w:val="none" w:sz="0" w:space="0" w:color="auto"/>
          </w:divBdr>
        </w:div>
        <w:div w:id="1767849969">
          <w:marLeft w:val="0"/>
          <w:marRight w:val="0"/>
          <w:marTop w:val="300"/>
          <w:marBottom w:val="0"/>
          <w:divBdr>
            <w:top w:val="none" w:sz="0" w:space="0" w:color="auto"/>
            <w:left w:val="none" w:sz="0" w:space="0" w:color="auto"/>
            <w:bottom w:val="none" w:sz="0" w:space="0" w:color="auto"/>
            <w:right w:val="none" w:sz="0" w:space="0" w:color="auto"/>
          </w:divBdr>
        </w:div>
      </w:divsChild>
    </w:div>
    <w:div w:id="946156962">
      <w:bodyDiv w:val="1"/>
      <w:marLeft w:val="0"/>
      <w:marRight w:val="0"/>
      <w:marTop w:val="0"/>
      <w:marBottom w:val="0"/>
      <w:divBdr>
        <w:top w:val="none" w:sz="0" w:space="0" w:color="auto"/>
        <w:left w:val="none" w:sz="0" w:space="0" w:color="auto"/>
        <w:bottom w:val="none" w:sz="0" w:space="0" w:color="auto"/>
        <w:right w:val="none" w:sz="0" w:space="0" w:color="auto"/>
      </w:divBdr>
    </w:div>
    <w:div w:id="1299453436">
      <w:bodyDiv w:val="1"/>
      <w:marLeft w:val="0"/>
      <w:marRight w:val="0"/>
      <w:marTop w:val="0"/>
      <w:marBottom w:val="0"/>
      <w:divBdr>
        <w:top w:val="none" w:sz="0" w:space="0" w:color="auto"/>
        <w:left w:val="none" w:sz="0" w:space="0" w:color="auto"/>
        <w:bottom w:val="none" w:sz="0" w:space="0" w:color="auto"/>
        <w:right w:val="none" w:sz="0" w:space="0" w:color="auto"/>
      </w:divBdr>
      <w:divsChild>
        <w:div w:id="335503277">
          <w:marLeft w:val="0"/>
          <w:marRight w:val="0"/>
          <w:marTop w:val="0"/>
          <w:marBottom w:val="0"/>
          <w:divBdr>
            <w:top w:val="none" w:sz="0" w:space="0" w:color="auto"/>
            <w:left w:val="none" w:sz="0" w:space="0" w:color="auto"/>
            <w:bottom w:val="none" w:sz="0" w:space="0" w:color="auto"/>
            <w:right w:val="none" w:sz="0" w:space="0" w:color="auto"/>
          </w:divBdr>
        </w:div>
        <w:div w:id="231352705">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isplay.aspx?DocID=2156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ww.netpositivefuture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estates.manchester.ac.uk/services/es/" TargetMode="External"/><Relationship Id="rId5" Type="http://schemas.openxmlformats.org/officeDocument/2006/relationships/webSettings" Target="webSettings.xml"/><Relationship Id="rId10" Type="http://schemas.openxmlformats.org/officeDocument/2006/relationships/hyperlink" Target="http://www.socialresponsibility.manchester.ac.uk/" TargetMode="External"/><Relationship Id="rId4" Type="http://schemas.openxmlformats.org/officeDocument/2006/relationships/settings" Target="settings.xml"/><Relationship Id="rId9" Type="http://schemas.openxmlformats.org/officeDocument/2006/relationships/hyperlink" Target="http://documents.manchester.ac.uk/DocuInfo.aspx?DocID=232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1692</Words>
  <Characters>9645</Characters>
  <Application>Microsoft Office Word</Application>
  <DocSecurity>0</DocSecurity>
  <Lines>80</Lines>
  <Paragraphs>22</Paragraphs>
  <ScaleCrop>false</ScaleCrop>
  <Company>The University of Manchester</Company>
  <LinksUpToDate>false</LinksUpToDate>
  <CharactersWithSpaces>11315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 Gill</dc:creator>
  <cp:lastModifiedBy>Nichola Gill</cp:lastModifiedBy>
  <cp:revision>1</cp:revision>
  <dcterms:created xsi:type="dcterms:W3CDTF">2019-01-25T15:34:00Z</dcterms:created>
  <dcterms:modified xsi:type="dcterms:W3CDTF">2019-01-25T15:40:00Z</dcterms:modified>
</cp:coreProperties>
</file>