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7E31E" w14:textId="569568E6" w:rsidR="005F5DC7" w:rsidRPr="005033FB" w:rsidRDefault="005F5DC7" w:rsidP="00100D48">
      <w:pPr>
        <w:tabs>
          <w:tab w:val="left" w:pos="426"/>
        </w:tabs>
        <w:ind w:left="-284"/>
        <w:rPr>
          <w:rFonts w:ascii="Arial" w:hAnsi="Arial" w:cs="Arial"/>
          <w:b/>
          <w:sz w:val="28"/>
          <w:szCs w:val="28"/>
        </w:rPr>
      </w:pPr>
    </w:p>
    <w:p w14:paraId="1F570706" w14:textId="77777777" w:rsidR="004D72BA" w:rsidRDefault="004D72BA" w:rsidP="00372742">
      <w:pPr>
        <w:ind w:left="-284"/>
        <w:rPr>
          <w:rFonts w:ascii="Arial" w:hAnsi="Arial" w:cs="Arial"/>
          <w:b/>
          <w:color w:val="5F497A" w:themeColor="accent4" w:themeShade="BF"/>
          <w:sz w:val="40"/>
          <w:szCs w:val="40"/>
        </w:rPr>
      </w:pPr>
    </w:p>
    <w:p w14:paraId="077C5429" w14:textId="77777777" w:rsidR="00DB5D59" w:rsidRPr="00DB5D59" w:rsidRDefault="00DB5D59" w:rsidP="00372742">
      <w:pPr>
        <w:ind w:left="-284"/>
        <w:rPr>
          <w:rFonts w:ascii="Arial" w:hAnsi="Arial" w:cs="Arial"/>
          <w:b/>
          <w:color w:val="5F497A" w:themeColor="accent4" w:themeShade="BF"/>
          <w:sz w:val="44"/>
          <w:szCs w:val="44"/>
        </w:rPr>
      </w:pPr>
      <w:r w:rsidRPr="00DB5D59">
        <w:rPr>
          <w:rFonts w:ascii="Arial" w:hAnsi="Arial" w:cs="Arial"/>
          <w:b/>
          <w:color w:val="5F497A" w:themeColor="accent4" w:themeShade="BF"/>
          <w:sz w:val="44"/>
          <w:szCs w:val="44"/>
        </w:rPr>
        <w:t>Policy communications</w:t>
      </w:r>
    </w:p>
    <w:p w14:paraId="122A0B42" w14:textId="77777777" w:rsidR="00DB5D59" w:rsidRDefault="00DB5D59" w:rsidP="00372742">
      <w:pPr>
        <w:ind w:left="-284"/>
        <w:rPr>
          <w:rFonts w:ascii="Arial" w:hAnsi="Arial" w:cs="Arial"/>
          <w:b/>
          <w:color w:val="5F497A" w:themeColor="accent4" w:themeShade="BF"/>
          <w:sz w:val="40"/>
          <w:szCs w:val="40"/>
        </w:rPr>
      </w:pPr>
      <w:bookmarkStart w:id="0" w:name="_GoBack"/>
      <w:bookmarkEnd w:id="0"/>
    </w:p>
    <w:p w14:paraId="48133506" w14:textId="47B5527B" w:rsidR="00100D48" w:rsidRPr="004D72BA" w:rsidRDefault="00D53305" w:rsidP="00372742">
      <w:pPr>
        <w:ind w:left="-284"/>
        <w:rPr>
          <w:rFonts w:ascii="Arial" w:hAnsi="Arial" w:cs="Arial"/>
          <w:b/>
          <w:color w:val="5F497A" w:themeColor="accent4" w:themeShade="BF"/>
          <w:sz w:val="40"/>
          <w:szCs w:val="40"/>
        </w:rPr>
      </w:pPr>
      <w:r>
        <w:rPr>
          <w:rFonts w:ascii="Arial" w:hAnsi="Arial" w:cs="Arial"/>
          <w:b/>
          <w:color w:val="5F497A" w:themeColor="accent4" w:themeShade="BF"/>
          <w:sz w:val="40"/>
          <w:szCs w:val="40"/>
        </w:rPr>
        <w:t>‘</w:t>
      </w:r>
      <w:r w:rsidR="006E64BB" w:rsidRPr="004D72BA">
        <w:rPr>
          <w:rFonts w:ascii="Arial" w:hAnsi="Arial" w:cs="Arial"/>
          <w:b/>
          <w:color w:val="5F497A" w:themeColor="accent4" w:themeShade="BF"/>
          <w:sz w:val="40"/>
          <w:szCs w:val="40"/>
        </w:rPr>
        <w:t>How</w:t>
      </w:r>
      <w:r w:rsidR="00100D48" w:rsidRPr="004D72BA">
        <w:rPr>
          <w:rFonts w:ascii="Arial" w:hAnsi="Arial" w:cs="Arial"/>
          <w:b/>
          <w:color w:val="5F497A" w:themeColor="accent4" w:themeShade="BF"/>
          <w:sz w:val="40"/>
          <w:szCs w:val="40"/>
        </w:rPr>
        <w:t xml:space="preserve"> to </w:t>
      </w:r>
      <w:r w:rsidR="004D72BA">
        <w:rPr>
          <w:rFonts w:ascii="Arial" w:hAnsi="Arial" w:cs="Arial"/>
          <w:b/>
          <w:color w:val="5F497A" w:themeColor="accent4" w:themeShade="BF"/>
          <w:sz w:val="40"/>
          <w:szCs w:val="40"/>
        </w:rPr>
        <w:t>guides</w:t>
      </w:r>
      <w:r>
        <w:rPr>
          <w:rFonts w:ascii="Arial" w:hAnsi="Arial" w:cs="Arial"/>
          <w:b/>
          <w:color w:val="5F497A" w:themeColor="accent4" w:themeShade="BF"/>
          <w:sz w:val="40"/>
          <w:szCs w:val="40"/>
        </w:rPr>
        <w:t>’</w:t>
      </w:r>
      <w:r w:rsidR="004D72BA">
        <w:rPr>
          <w:rFonts w:ascii="Arial" w:hAnsi="Arial" w:cs="Arial"/>
          <w:b/>
          <w:color w:val="5F497A" w:themeColor="accent4" w:themeShade="BF"/>
          <w:sz w:val="40"/>
          <w:szCs w:val="40"/>
        </w:rPr>
        <w:t xml:space="preserve"> should: </w:t>
      </w:r>
    </w:p>
    <w:p w14:paraId="23E5FA6D" w14:textId="77777777" w:rsidR="005033FB" w:rsidRDefault="005033FB" w:rsidP="00100D48">
      <w:pPr>
        <w:ind w:left="-284"/>
        <w:jc w:val="both"/>
        <w:rPr>
          <w:rFonts w:ascii="Arial" w:hAnsi="Arial" w:cs="Arial"/>
          <w:sz w:val="28"/>
          <w:szCs w:val="28"/>
        </w:rPr>
      </w:pPr>
    </w:p>
    <w:p w14:paraId="3C6592A9" w14:textId="69BB50E1" w:rsidR="00D26FC5" w:rsidRPr="004D72BA" w:rsidRDefault="004D72BA" w:rsidP="00D26FC5">
      <w:pPr>
        <w:pStyle w:val="ListParagraph"/>
        <w:numPr>
          <w:ilvl w:val="0"/>
          <w:numId w:val="39"/>
        </w:numPr>
        <w:spacing w:line="480" w:lineRule="auto"/>
        <w:contextualSpacing w:val="0"/>
        <w:rPr>
          <w:rFonts w:ascii="Arial" w:hAnsi="Arial" w:cs="Arial"/>
          <w:b/>
          <w:color w:val="5F497A" w:themeColor="accent4" w:themeShade="BF"/>
        </w:rPr>
      </w:pPr>
      <w:r>
        <w:rPr>
          <w:rFonts w:ascii="Arial" w:hAnsi="Arial" w:cs="Arial"/>
          <w:b/>
          <w:color w:val="5F497A" w:themeColor="accent4" w:themeShade="BF"/>
        </w:rPr>
        <w:t xml:space="preserve">be </w:t>
      </w:r>
      <w:r w:rsidR="00D26FC5" w:rsidRPr="004D72BA">
        <w:rPr>
          <w:rFonts w:ascii="Arial" w:hAnsi="Arial" w:cs="Arial"/>
          <w:b/>
          <w:color w:val="5F497A" w:themeColor="accent4" w:themeShade="BF"/>
        </w:rPr>
        <w:t>a maximum of one page</w:t>
      </w:r>
      <w:r>
        <w:rPr>
          <w:rFonts w:ascii="Arial" w:hAnsi="Arial" w:cs="Arial"/>
          <w:b/>
          <w:color w:val="5F497A" w:themeColor="accent4" w:themeShade="BF"/>
        </w:rPr>
        <w:t>;</w:t>
      </w:r>
    </w:p>
    <w:p w14:paraId="1FB833B7" w14:textId="68B537FC" w:rsidR="00D26FC5" w:rsidRPr="004D72BA" w:rsidRDefault="004D72BA" w:rsidP="00D26FC5">
      <w:pPr>
        <w:pStyle w:val="ListParagraph"/>
        <w:numPr>
          <w:ilvl w:val="0"/>
          <w:numId w:val="39"/>
        </w:numPr>
        <w:spacing w:line="480" w:lineRule="auto"/>
        <w:contextualSpacing w:val="0"/>
        <w:rPr>
          <w:rFonts w:ascii="Arial" w:hAnsi="Arial" w:cs="Arial"/>
          <w:b/>
          <w:color w:val="5F497A" w:themeColor="accent4" w:themeShade="BF"/>
        </w:rPr>
      </w:pPr>
      <w:r>
        <w:rPr>
          <w:rFonts w:ascii="Arial" w:hAnsi="Arial" w:cs="Arial"/>
          <w:b/>
          <w:color w:val="5F497A" w:themeColor="accent4" w:themeShade="BF"/>
        </w:rPr>
        <w:t>u</w:t>
      </w:r>
      <w:r w:rsidR="00D26FC5" w:rsidRPr="004D72BA">
        <w:rPr>
          <w:rFonts w:ascii="Arial" w:hAnsi="Arial" w:cs="Arial"/>
          <w:b/>
          <w:color w:val="5F497A" w:themeColor="accent4" w:themeShade="BF"/>
        </w:rPr>
        <w:t xml:space="preserve">se </w:t>
      </w:r>
      <w:r>
        <w:rPr>
          <w:rFonts w:ascii="Arial" w:hAnsi="Arial" w:cs="Arial"/>
          <w:b/>
          <w:color w:val="5F497A" w:themeColor="accent4" w:themeShade="BF"/>
        </w:rPr>
        <w:t>hyper</w:t>
      </w:r>
      <w:r w:rsidR="00D26FC5" w:rsidRPr="004D72BA">
        <w:rPr>
          <w:rFonts w:ascii="Arial" w:hAnsi="Arial" w:cs="Arial"/>
          <w:b/>
          <w:color w:val="5F497A" w:themeColor="accent4" w:themeShade="BF"/>
        </w:rPr>
        <w:t>links to other information</w:t>
      </w:r>
      <w:r>
        <w:rPr>
          <w:rFonts w:ascii="Arial" w:hAnsi="Arial" w:cs="Arial"/>
          <w:b/>
          <w:color w:val="5F497A" w:themeColor="accent4" w:themeShade="BF"/>
        </w:rPr>
        <w:t>,</w:t>
      </w:r>
      <w:r w:rsidR="00D26FC5" w:rsidRPr="004D72BA">
        <w:rPr>
          <w:rFonts w:ascii="Arial" w:hAnsi="Arial" w:cs="Arial"/>
          <w:b/>
          <w:color w:val="5F497A" w:themeColor="accent4" w:themeShade="BF"/>
        </w:rPr>
        <w:t xml:space="preserve"> policies or resources</w:t>
      </w:r>
      <w:r>
        <w:rPr>
          <w:rFonts w:ascii="Arial" w:hAnsi="Arial" w:cs="Arial"/>
          <w:b/>
          <w:color w:val="5F497A" w:themeColor="accent4" w:themeShade="BF"/>
        </w:rPr>
        <w:t>;</w:t>
      </w:r>
    </w:p>
    <w:p w14:paraId="78A4B08B" w14:textId="2C8C59A0" w:rsidR="00D26FC5" w:rsidRPr="004D72BA" w:rsidRDefault="004D72BA" w:rsidP="00D26FC5">
      <w:pPr>
        <w:pStyle w:val="ListParagraph"/>
        <w:numPr>
          <w:ilvl w:val="0"/>
          <w:numId w:val="39"/>
        </w:numPr>
        <w:spacing w:line="480" w:lineRule="auto"/>
        <w:contextualSpacing w:val="0"/>
        <w:rPr>
          <w:rFonts w:ascii="Arial" w:hAnsi="Arial" w:cs="Arial"/>
          <w:b/>
          <w:color w:val="5F497A" w:themeColor="accent4" w:themeShade="BF"/>
        </w:rPr>
      </w:pPr>
      <w:proofErr w:type="gramStart"/>
      <w:r>
        <w:rPr>
          <w:rFonts w:ascii="Arial" w:hAnsi="Arial" w:cs="Arial"/>
          <w:b/>
          <w:color w:val="5F497A" w:themeColor="accent4" w:themeShade="BF"/>
        </w:rPr>
        <w:t>in</w:t>
      </w:r>
      <w:r w:rsidR="00D26FC5" w:rsidRPr="004D72BA">
        <w:rPr>
          <w:rFonts w:ascii="Arial" w:hAnsi="Arial" w:cs="Arial"/>
          <w:b/>
          <w:color w:val="5F497A" w:themeColor="accent4" w:themeShade="BF"/>
        </w:rPr>
        <w:t>clude</w:t>
      </w:r>
      <w:proofErr w:type="gramEnd"/>
      <w:r w:rsidR="00D26FC5" w:rsidRPr="004D72BA">
        <w:rPr>
          <w:rFonts w:ascii="Arial" w:hAnsi="Arial" w:cs="Arial"/>
          <w:b/>
          <w:color w:val="5F497A" w:themeColor="accent4" w:themeShade="BF"/>
        </w:rPr>
        <w:t xml:space="preserve"> 6-8 bullet points about the most important information the reader </w:t>
      </w:r>
      <w:r>
        <w:rPr>
          <w:rFonts w:ascii="Arial" w:hAnsi="Arial" w:cs="Arial"/>
          <w:b/>
          <w:color w:val="5F497A" w:themeColor="accent4" w:themeShade="BF"/>
        </w:rPr>
        <w:t xml:space="preserve">needs </w:t>
      </w:r>
      <w:r w:rsidR="00D26FC5" w:rsidRPr="004D72BA">
        <w:rPr>
          <w:rFonts w:ascii="Arial" w:hAnsi="Arial" w:cs="Arial"/>
          <w:b/>
          <w:color w:val="5F497A" w:themeColor="accent4" w:themeShade="BF"/>
        </w:rPr>
        <w:t>to know or do</w:t>
      </w:r>
      <w:r>
        <w:rPr>
          <w:rFonts w:ascii="Arial" w:hAnsi="Arial" w:cs="Arial"/>
          <w:b/>
          <w:color w:val="5F497A" w:themeColor="accent4" w:themeShade="BF"/>
        </w:rPr>
        <w:t>.</w:t>
      </w:r>
    </w:p>
    <w:p w14:paraId="2AD015AE" w14:textId="77777777" w:rsidR="00D26FC5" w:rsidRPr="00D26FC5" w:rsidRDefault="00D26FC5" w:rsidP="00100D48">
      <w:pPr>
        <w:ind w:left="-284"/>
        <w:jc w:val="both"/>
        <w:rPr>
          <w:rFonts w:ascii="Arial" w:hAnsi="Arial" w:cs="Arial"/>
          <w:sz w:val="28"/>
          <w:szCs w:val="28"/>
        </w:rPr>
      </w:pPr>
    </w:p>
    <w:sectPr w:rsidR="00D26FC5" w:rsidRPr="00D26FC5" w:rsidSect="00100D48">
      <w:headerReference w:type="default" r:id="rId9"/>
      <w:footerReference w:type="default" r:id="rId10"/>
      <w:pgSz w:w="12240" w:h="15840" w:code="1"/>
      <w:pgMar w:top="851" w:right="758" w:bottom="1021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A39AC" w14:textId="77777777" w:rsidR="00100D48" w:rsidRDefault="00100D48">
      <w:r>
        <w:separator/>
      </w:r>
    </w:p>
  </w:endnote>
  <w:endnote w:type="continuationSeparator" w:id="0">
    <w:p w14:paraId="04DC4B2E" w14:textId="77777777" w:rsidR="00100D48" w:rsidRDefault="0010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04BE6" w14:textId="77777777" w:rsidR="00100D48" w:rsidRDefault="00100D48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>The University of Manchester</w:t>
    </w:r>
  </w:p>
  <w:p w14:paraId="1BACA706" w14:textId="77777777" w:rsidR="00100D48" w:rsidRPr="00E00311" w:rsidRDefault="00100D48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DB5D59">
      <w:rPr>
        <w:rFonts w:ascii="Arial" w:hAnsi="Arial" w:cs="Arial"/>
        <w:noProof/>
        <w:color w:val="808080"/>
        <w:sz w:val="20"/>
        <w:szCs w:val="20"/>
      </w:rPr>
      <w:t>1</w:t>
    </w:r>
    <w:r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DB5D59">
      <w:rPr>
        <w:rFonts w:ascii="Arial" w:hAnsi="Arial" w:cs="Arial"/>
        <w:noProof/>
        <w:color w:val="808080"/>
        <w:sz w:val="20"/>
        <w:szCs w:val="20"/>
      </w:rPr>
      <w:t>1</w:t>
    </w:r>
    <w:r w:rsidRPr="00E00311">
      <w:rPr>
        <w:rFonts w:ascii="Arial" w:hAnsi="Arial" w:cs="Arial"/>
        <w:color w:val="808080"/>
        <w:sz w:val="20"/>
        <w:szCs w:val="20"/>
      </w:rPr>
      <w:fldChar w:fldCharType="end"/>
    </w:r>
  </w:p>
  <w:p w14:paraId="49905D62" w14:textId="77777777" w:rsidR="00100D48" w:rsidRDefault="00100D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46CB5" w14:textId="77777777" w:rsidR="00100D48" w:rsidRDefault="00100D48">
      <w:r>
        <w:separator/>
      </w:r>
    </w:p>
  </w:footnote>
  <w:footnote w:type="continuationSeparator" w:id="0">
    <w:p w14:paraId="44EDDFFC" w14:textId="77777777" w:rsidR="00100D48" w:rsidRDefault="00100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3BEB3" w14:textId="77824067" w:rsidR="00100D48" w:rsidRDefault="0074255E" w:rsidP="0074255E">
    <w:pPr>
      <w:pStyle w:val="Header"/>
      <w:ind w:hanging="567"/>
    </w:pPr>
    <w:r>
      <w:rPr>
        <w:noProof/>
        <w:lang w:val="en-GB" w:eastAsia="en-GB"/>
      </w:rPr>
      <w:drawing>
        <wp:inline distT="0" distB="0" distL="0" distR="0" wp14:anchorId="5AEDB7DC" wp14:editId="3ACC9C4F">
          <wp:extent cx="7400658" cy="150368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w to guid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084"/>
                  <a:stretch/>
                </pic:blipFill>
                <pic:spPr bwMode="auto">
                  <a:xfrm>
                    <a:off x="0" y="0"/>
                    <a:ext cx="7412160" cy="15060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8BF576B"/>
    <w:multiLevelType w:val="hybridMultilevel"/>
    <w:tmpl w:val="BF64F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2FEC297E"/>
    <w:multiLevelType w:val="hybridMultilevel"/>
    <w:tmpl w:val="E752E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EA6399"/>
    <w:multiLevelType w:val="hybridMultilevel"/>
    <w:tmpl w:val="689A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DD8544B"/>
    <w:multiLevelType w:val="hybridMultilevel"/>
    <w:tmpl w:val="12AA6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54661D"/>
    <w:multiLevelType w:val="hybridMultilevel"/>
    <w:tmpl w:val="6A9A2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887DD8"/>
    <w:multiLevelType w:val="hybridMultilevel"/>
    <w:tmpl w:val="28B06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B9510B"/>
    <w:multiLevelType w:val="hybridMultilevel"/>
    <w:tmpl w:val="8D162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B26112"/>
    <w:multiLevelType w:val="hybridMultilevel"/>
    <w:tmpl w:val="8FE0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5"/>
  </w:num>
  <w:num w:numId="3">
    <w:abstractNumId w:val="1"/>
  </w:num>
  <w:num w:numId="4">
    <w:abstractNumId w:val="27"/>
  </w:num>
  <w:num w:numId="5">
    <w:abstractNumId w:val="12"/>
  </w:num>
  <w:num w:numId="6">
    <w:abstractNumId w:val="25"/>
  </w:num>
  <w:num w:numId="7">
    <w:abstractNumId w:val="4"/>
  </w:num>
  <w:num w:numId="8">
    <w:abstractNumId w:val="8"/>
  </w:num>
  <w:num w:numId="9">
    <w:abstractNumId w:val="19"/>
  </w:num>
  <w:num w:numId="10">
    <w:abstractNumId w:val="19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>
    <w:abstractNumId w:val="19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>
    <w:abstractNumId w:val="19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19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>
    <w:abstractNumId w:val="8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>
    <w:abstractNumId w:val="8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>
    <w:abstractNumId w:val="8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>
    <w:abstractNumId w:val="8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>
    <w:abstractNumId w:val="8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>
    <w:abstractNumId w:val="8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>
    <w:abstractNumId w:val="8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>
    <w:abstractNumId w:val="20"/>
  </w:num>
  <w:num w:numId="22">
    <w:abstractNumId w:val="11"/>
  </w:num>
  <w:num w:numId="23">
    <w:abstractNumId w:val="18"/>
  </w:num>
  <w:num w:numId="24">
    <w:abstractNumId w:val="26"/>
  </w:num>
  <w:num w:numId="25">
    <w:abstractNumId w:val="2"/>
  </w:num>
  <w:num w:numId="26">
    <w:abstractNumId w:val="7"/>
  </w:num>
  <w:num w:numId="27">
    <w:abstractNumId w:val="23"/>
  </w:num>
  <w:num w:numId="28">
    <w:abstractNumId w:val="0"/>
  </w:num>
  <w:num w:numId="29">
    <w:abstractNumId w:val="14"/>
  </w:num>
  <w:num w:numId="30">
    <w:abstractNumId w:val="24"/>
  </w:num>
  <w:num w:numId="31">
    <w:abstractNumId w:val="3"/>
  </w:num>
  <w:num w:numId="32">
    <w:abstractNumId w:val="10"/>
  </w:num>
  <w:num w:numId="33">
    <w:abstractNumId w:val="22"/>
  </w:num>
  <w:num w:numId="34">
    <w:abstractNumId w:val="13"/>
  </w:num>
  <w:num w:numId="35">
    <w:abstractNumId w:val="9"/>
  </w:num>
  <w:num w:numId="36">
    <w:abstractNumId w:val="21"/>
  </w:num>
  <w:num w:numId="37">
    <w:abstractNumId w:val="6"/>
  </w:num>
  <w:num w:numId="38">
    <w:abstractNumId w:val="16"/>
  </w:num>
  <w:num w:numId="39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37F8"/>
    <w:rsid w:val="00087062"/>
    <w:rsid w:val="00087CBF"/>
    <w:rsid w:val="00091EF4"/>
    <w:rsid w:val="0009220B"/>
    <w:rsid w:val="000922A2"/>
    <w:rsid w:val="00092887"/>
    <w:rsid w:val="000A04FC"/>
    <w:rsid w:val="000A124D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62C6"/>
    <w:rsid w:val="000F78CE"/>
    <w:rsid w:val="00100D48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437"/>
    <w:rsid w:val="0014093F"/>
    <w:rsid w:val="0014147A"/>
    <w:rsid w:val="00144B72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5884"/>
    <w:rsid w:val="00185926"/>
    <w:rsid w:val="001864F0"/>
    <w:rsid w:val="001870F0"/>
    <w:rsid w:val="00190352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0280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B61"/>
    <w:rsid w:val="002A6CEE"/>
    <w:rsid w:val="002B0289"/>
    <w:rsid w:val="002B4F14"/>
    <w:rsid w:val="002B5183"/>
    <w:rsid w:val="002B56C9"/>
    <w:rsid w:val="002B63F9"/>
    <w:rsid w:val="002D00FB"/>
    <w:rsid w:val="002D0952"/>
    <w:rsid w:val="002D7938"/>
    <w:rsid w:val="002D7E31"/>
    <w:rsid w:val="002E2D45"/>
    <w:rsid w:val="002E4B85"/>
    <w:rsid w:val="002E53D4"/>
    <w:rsid w:val="002E6413"/>
    <w:rsid w:val="002F087D"/>
    <w:rsid w:val="002F0DD9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2742"/>
    <w:rsid w:val="00374917"/>
    <w:rsid w:val="00374921"/>
    <w:rsid w:val="00374AF4"/>
    <w:rsid w:val="00377049"/>
    <w:rsid w:val="00380DC9"/>
    <w:rsid w:val="00381E01"/>
    <w:rsid w:val="00382531"/>
    <w:rsid w:val="00384C8B"/>
    <w:rsid w:val="00386908"/>
    <w:rsid w:val="003877F4"/>
    <w:rsid w:val="003902BC"/>
    <w:rsid w:val="00390CB3"/>
    <w:rsid w:val="00391530"/>
    <w:rsid w:val="00394BF5"/>
    <w:rsid w:val="0039533B"/>
    <w:rsid w:val="00396E45"/>
    <w:rsid w:val="003A14FB"/>
    <w:rsid w:val="003A17E2"/>
    <w:rsid w:val="003A3FA5"/>
    <w:rsid w:val="003A4834"/>
    <w:rsid w:val="003A6DF5"/>
    <w:rsid w:val="003B0127"/>
    <w:rsid w:val="003B034E"/>
    <w:rsid w:val="003B4A69"/>
    <w:rsid w:val="003B5D50"/>
    <w:rsid w:val="003B751D"/>
    <w:rsid w:val="003B7915"/>
    <w:rsid w:val="003B7B71"/>
    <w:rsid w:val="003C0183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41"/>
    <w:rsid w:val="004D4F77"/>
    <w:rsid w:val="004D52F1"/>
    <w:rsid w:val="004D5A42"/>
    <w:rsid w:val="004D652F"/>
    <w:rsid w:val="004D70DF"/>
    <w:rsid w:val="004D7128"/>
    <w:rsid w:val="004D72BA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3FB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0C72"/>
    <w:rsid w:val="005B3F58"/>
    <w:rsid w:val="005B552A"/>
    <w:rsid w:val="005B6DA6"/>
    <w:rsid w:val="005B7502"/>
    <w:rsid w:val="005C1204"/>
    <w:rsid w:val="005C14AA"/>
    <w:rsid w:val="005C1AE9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3A86"/>
    <w:rsid w:val="00605DD7"/>
    <w:rsid w:val="00606881"/>
    <w:rsid w:val="00607986"/>
    <w:rsid w:val="00607D73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F60"/>
    <w:rsid w:val="0063722B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2D71"/>
    <w:rsid w:val="006E33F2"/>
    <w:rsid w:val="006E64BB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8B9"/>
    <w:rsid w:val="00736035"/>
    <w:rsid w:val="0073662D"/>
    <w:rsid w:val="0073726D"/>
    <w:rsid w:val="007376DD"/>
    <w:rsid w:val="007416E2"/>
    <w:rsid w:val="00741E59"/>
    <w:rsid w:val="0074255E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42E3E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432E"/>
    <w:rsid w:val="008951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3721"/>
    <w:rsid w:val="008C5F2A"/>
    <w:rsid w:val="008C68B3"/>
    <w:rsid w:val="008C74EF"/>
    <w:rsid w:val="008D0204"/>
    <w:rsid w:val="008D13F1"/>
    <w:rsid w:val="008D2068"/>
    <w:rsid w:val="008D775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6CA"/>
    <w:rsid w:val="00932D38"/>
    <w:rsid w:val="00934A8B"/>
    <w:rsid w:val="00934B63"/>
    <w:rsid w:val="009361C8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87B6B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26B"/>
    <w:rsid w:val="00A17B34"/>
    <w:rsid w:val="00A212F5"/>
    <w:rsid w:val="00A21BA7"/>
    <w:rsid w:val="00A23F61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0F1C"/>
    <w:rsid w:val="00A51BB2"/>
    <w:rsid w:val="00A52C9C"/>
    <w:rsid w:val="00A54AE7"/>
    <w:rsid w:val="00A567DE"/>
    <w:rsid w:val="00A62717"/>
    <w:rsid w:val="00A637ED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76E9"/>
    <w:rsid w:val="00B2084A"/>
    <w:rsid w:val="00B20CA9"/>
    <w:rsid w:val="00B218D2"/>
    <w:rsid w:val="00B2747D"/>
    <w:rsid w:val="00B275DC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7594"/>
    <w:rsid w:val="00B90929"/>
    <w:rsid w:val="00B919E7"/>
    <w:rsid w:val="00B93C92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0142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006C"/>
    <w:rsid w:val="00C01BCE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3654"/>
    <w:rsid w:val="00C93FD2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26FC5"/>
    <w:rsid w:val="00D357F1"/>
    <w:rsid w:val="00D3598A"/>
    <w:rsid w:val="00D46174"/>
    <w:rsid w:val="00D50667"/>
    <w:rsid w:val="00D53305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CE9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5D59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3FDF"/>
    <w:rsid w:val="00E34514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2333"/>
    <w:rsid w:val="00E74AB2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B99"/>
    <w:rsid w:val="00EF4A4F"/>
    <w:rsid w:val="00F004F3"/>
    <w:rsid w:val="00F0104A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37171"/>
    <w:rsid w:val="00F4008C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606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34900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1">
    <w:name w:val="Table Classic 1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4">
    <w:name w:val="Table Classic 4"/>
    <w:basedOn w:val="TableNormal"/>
    <w:rsid w:val="00100D4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1">
    <w:name w:val="Table Classic 1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4">
    <w:name w:val="Table Classic 4"/>
    <w:basedOn w:val="TableNormal"/>
    <w:rsid w:val="00100D4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C1157A-86F3-429F-95CF-DF62A8DBB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Helen Grew</cp:lastModifiedBy>
  <cp:revision>2</cp:revision>
  <cp:lastPrinted>2014-06-27T10:19:00Z</cp:lastPrinted>
  <dcterms:created xsi:type="dcterms:W3CDTF">2019-01-11T13:55:00Z</dcterms:created>
  <dcterms:modified xsi:type="dcterms:W3CDTF">2019-01-11T13:55:00Z</dcterms:modified>
</cp:coreProperties>
</file>